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41CD8">
            <w:pPr>
              <w:spacing w:after="120"/>
              <w:jc w:val="center"/>
              <w:rPr>
                <w:b/>
              </w:rPr>
            </w:pPr>
            <w:bookmarkStart w:id="0" w:name="_GoBack"/>
            <w:bookmarkEnd w:id="0"/>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981368"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Will Wiquist, 202-418-0509</w:t>
            </w:r>
          </w:p>
          <w:p w:rsidR="007A44F8" w:rsidP="00BB4E29">
            <w:pPr>
              <w:rPr>
                <w:bCs/>
                <w:sz w:val="22"/>
                <w:szCs w:val="22"/>
              </w:rPr>
            </w:pPr>
            <w:r>
              <w:rPr>
                <w:bCs/>
                <w:sz w:val="22"/>
                <w:szCs w:val="22"/>
              </w:rPr>
              <w:t>will.wiquist</w:t>
            </w:r>
            <w:r w:rsidRPr="00767BA3" w:rsidR="00767BA3">
              <w:rPr>
                <w:bCs/>
                <w:sz w:val="22"/>
                <w:szCs w:val="22"/>
              </w:rPr>
              <w:t xml:space="preserve">@fcc.gov </w:t>
            </w:r>
          </w:p>
          <w:p w:rsidR="00767BA3" w:rsidRPr="008A3940" w:rsidP="00BB4E29">
            <w:pPr>
              <w:rPr>
                <w:bCs/>
                <w:sz w:val="22"/>
                <w:szCs w:val="22"/>
              </w:rPr>
            </w:pPr>
          </w:p>
          <w:p w:rsidR="007A44F8" w:rsidP="00BB4E29">
            <w:pPr>
              <w:rPr>
                <w:b/>
                <w:sz w:val="22"/>
                <w:szCs w:val="22"/>
              </w:rPr>
            </w:pPr>
            <w:r w:rsidRPr="008A3940">
              <w:rPr>
                <w:b/>
                <w:sz w:val="22"/>
                <w:szCs w:val="22"/>
              </w:rPr>
              <w:t>For Immediate Release</w:t>
            </w:r>
          </w:p>
          <w:p w:rsidR="007A44F8" w:rsidRPr="00641CD8" w:rsidP="00BB4E29">
            <w:pPr>
              <w:jc w:val="center"/>
              <w:rPr>
                <w:b/>
                <w:bCs/>
                <w:sz w:val="22"/>
                <w:szCs w:val="22"/>
              </w:rPr>
            </w:pPr>
          </w:p>
          <w:p w:rsidR="00E34E3F" w:rsidRPr="00B47F70" w:rsidP="00A41840">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685D95">
              <w:rPr>
                <w:b/>
                <w:bCs/>
                <w:caps/>
              </w:rPr>
              <w:t>JANUARY</w:t>
            </w:r>
            <w:r w:rsidRPr="00B47F70" w:rsidR="00A41840">
              <w:rPr>
                <w:b/>
                <w:bCs/>
                <w:caps/>
              </w:rPr>
              <w:t xml:space="preserve"> OPEN MEETING</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P="00A41840">
            <w:pPr>
              <w:tabs>
                <w:tab w:val="left" w:pos="8640"/>
              </w:tabs>
              <w:rPr>
                <w:sz w:val="22"/>
                <w:szCs w:val="22"/>
              </w:rPr>
            </w:pPr>
            <w:r w:rsidRPr="008A3940">
              <w:rPr>
                <w:sz w:val="22"/>
                <w:szCs w:val="22"/>
              </w:rPr>
              <w:t>WASHINGTON</w:t>
            </w:r>
            <w:r w:rsidRPr="00685D95">
              <w:rPr>
                <w:sz w:val="22"/>
                <w:szCs w:val="22"/>
              </w:rPr>
              <w:t xml:space="preserve">, </w:t>
            </w:r>
            <w:r w:rsidRPr="00685D95" w:rsidR="004928D7">
              <w:rPr>
                <w:sz w:val="22"/>
                <w:szCs w:val="22"/>
              </w:rPr>
              <w:t>January 9</w:t>
            </w:r>
            <w:r w:rsidRPr="00685D95" w:rsidR="00D148D6">
              <w:rPr>
                <w:sz w:val="22"/>
                <w:szCs w:val="22"/>
              </w:rPr>
              <w:t>, 20</w:t>
            </w:r>
            <w:r w:rsidRPr="00685D95" w:rsidR="00B20477">
              <w:rPr>
                <w:sz w:val="22"/>
                <w:szCs w:val="22"/>
              </w:rPr>
              <w:t>20</w:t>
            </w:r>
            <w:r w:rsidRPr="00685D95" w:rsidR="00641CD8">
              <w:rPr>
                <w:sz w:val="22"/>
                <w:szCs w:val="22"/>
              </w:rPr>
              <w:t>—</w:t>
            </w:r>
            <w:r w:rsidRPr="00685D95">
              <w:rPr>
                <w:sz w:val="22"/>
                <w:szCs w:val="22"/>
              </w:rPr>
              <w:t xml:space="preserve">Federal Communications Commission Chairman </w:t>
            </w:r>
            <w:r w:rsidRPr="00685D95" w:rsidR="00A27E96">
              <w:rPr>
                <w:sz w:val="22"/>
                <w:szCs w:val="22"/>
              </w:rPr>
              <w:t xml:space="preserve">Ajit Pai </w:t>
            </w:r>
            <w:r w:rsidRPr="00685D95">
              <w:rPr>
                <w:sz w:val="22"/>
                <w:szCs w:val="22"/>
              </w:rPr>
              <w:t xml:space="preserve">announced that the items </w:t>
            </w:r>
            <w:r w:rsidRPr="00685D95" w:rsidR="000D7889">
              <w:rPr>
                <w:sz w:val="22"/>
                <w:szCs w:val="22"/>
              </w:rPr>
              <w:t xml:space="preserve">below </w:t>
            </w:r>
            <w:r w:rsidRPr="00685D95">
              <w:rPr>
                <w:sz w:val="22"/>
                <w:szCs w:val="22"/>
              </w:rPr>
              <w:t xml:space="preserve">are tentatively on the agenda for the </w:t>
            </w:r>
            <w:r w:rsidRPr="00685D95" w:rsidR="00685D95">
              <w:rPr>
                <w:sz w:val="22"/>
                <w:szCs w:val="22"/>
              </w:rPr>
              <w:t>January</w:t>
            </w:r>
            <w:r w:rsidRPr="00685D95">
              <w:rPr>
                <w:sz w:val="22"/>
                <w:szCs w:val="22"/>
              </w:rPr>
              <w:t xml:space="preserve"> Open Commission Meeting scheduled for </w:t>
            </w:r>
            <w:r w:rsidRPr="00685D95" w:rsidR="00D148D6">
              <w:rPr>
                <w:sz w:val="22"/>
                <w:szCs w:val="22"/>
              </w:rPr>
              <w:t xml:space="preserve">Thursday, </w:t>
            </w:r>
            <w:r w:rsidRPr="00685D95" w:rsidR="00685D95">
              <w:rPr>
                <w:sz w:val="22"/>
                <w:szCs w:val="22"/>
              </w:rPr>
              <w:t>January 30</w:t>
            </w:r>
            <w:r w:rsidRPr="00685D95" w:rsidR="00D148D6">
              <w:rPr>
                <w:sz w:val="22"/>
                <w:szCs w:val="22"/>
              </w:rPr>
              <w:t>, 20</w:t>
            </w:r>
            <w:r w:rsidRPr="00685D95" w:rsidR="00B20477">
              <w:rPr>
                <w:sz w:val="22"/>
                <w:szCs w:val="22"/>
              </w:rPr>
              <w:t>20</w:t>
            </w:r>
            <w:r w:rsidRPr="00685D95">
              <w:rPr>
                <w:sz w:val="22"/>
                <w:szCs w:val="22"/>
              </w:rPr>
              <w:t>:</w:t>
            </w:r>
          </w:p>
          <w:p w:rsidR="00B46AD6" w:rsidP="00A41840">
            <w:pPr>
              <w:tabs>
                <w:tab w:val="left" w:pos="8640"/>
              </w:tabs>
              <w:rPr>
                <w:sz w:val="22"/>
                <w:szCs w:val="22"/>
              </w:rPr>
            </w:pPr>
          </w:p>
          <w:p w:rsidR="00B46AD6" w:rsidRPr="00B46AD6" w:rsidP="00B46AD6">
            <w:pPr>
              <w:tabs>
                <w:tab w:val="left" w:pos="8640"/>
              </w:tabs>
              <w:rPr>
                <w:sz w:val="22"/>
                <w:szCs w:val="22"/>
              </w:rPr>
            </w:pPr>
            <w:r w:rsidRPr="00B46AD6">
              <w:rPr>
                <w:b/>
                <w:sz w:val="22"/>
                <w:szCs w:val="22"/>
              </w:rPr>
              <w:t>Establishing the Rural Digital Opportunity Fund</w:t>
            </w:r>
            <w:r w:rsidRPr="00B46AD6">
              <w:rPr>
                <w:sz w:val="22"/>
                <w:szCs w:val="22"/>
              </w:rPr>
              <w:t xml:space="preserve"> – The Commission will consider a Report and Order that would adopt a two-phase reverse auction framework for the Rural Digital Opportunity Fund, committing $20.4 billion in high-cost universal service support to bring high-speed broadband service to millions of unserved Americans.  (WC Docket Nos. 19-126, 10-90).</w:t>
            </w:r>
          </w:p>
          <w:p w:rsidR="00B46AD6" w:rsidRPr="00B46AD6" w:rsidP="00B46AD6">
            <w:pPr>
              <w:tabs>
                <w:tab w:val="left" w:pos="8640"/>
              </w:tabs>
              <w:rPr>
                <w:sz w:val="22"/>
                <w:szCs w:val="22"/>
              </w:rPr>
            </w:pPr>
          </w:p>
          <w:p w:rsidR="00B46AD6" w:rsidRPr="00B46AD6" w:rsidP="00B46AD6">
            <w:pPr>
              <w:tabs>
                <w:tab w:val="left" w:pos="8640"/>
              </w:tabs>
              <w:rPr>
                <w:sz w:val="22"/>
                <w:szCs w:val="22"/>
              </w:rPr>
            </w:pPr>
            <w:r w:rsidRPr="00B46AD6">
              <w:rPr>
                <w:b/>
                <w:sz w:val="22"/>
                <w:szCs w:val="22"/>
              </w:rPr>
              <w:t>Hearing Aid-Compatible Handset Rules</w:t>
            </w:r>
            <w:r w:rsidRPr="00B46AD6">
              <w:rPr>
                <w:sz w:val="22"/>
                <w:szCs w:val="22"/>
              </w:rPr>
              <w:t xml:space="preserve"> – The Commission will consider a Notice of Proposed Rulemaking that would propose to incorporate a new technical standard for determining whether a wireless handset is hearing aid-compatible and to simplify and update the Commission’s hearing aid compatibility rules.  (WT Docket No. 20-3)</w:t>
            </w:r>
          </w:p>
          <w:p w:rsidR="00B46AD6" w:rsidRPr="00B46AD6" w:rsidP="00B46AD6">
            <w:pPr>
              <w:tabs>
                <w:tab w:val="left" w:pos="8640"/>
              </w:tabs>
              <w:rPr>
                <w:sz w:val="22"/>
                <w:szCs w:val="22"/>
              </w:rPr>
            </w:pPr>
          </w:p>
          <w:p w:rsidR="00B46AD6" w:rsidRPr="00B46AD6" w:rsidP="00B46AD6">
            <w:pPr>
              <w:tabs>
                <w:tab w:val="left" w:pos="8640"/>
              </w:tabs>
              <w:rPr>
                <w:sz w:val="22"/>
                <w:szCs w:val="22"/>
              </w:rPr>
            </w:pPr>
            <w:r w:rsidRPr="00B46AD6">
              <w:rPr>
                <w:b/>
                <w:sz w:val="22"/>
                <w:szCs w:val="22"/>
              </w:rPr>
              <w:t>At-Home Call Handling for Video Relay Service</w:t>
            </w:r>
            <w:r w:rsidRPr="00B46AD6">
              <w:rPr>
                <w:sz w:val="22"/>
                <w:szCs w:val="22"/>
              </w:rPr>
              <w:t xml:space="preserve"> – The Commission will consider a Report and Order that would adopt regulations on the handling of Video Relay Service, or VRS, calls by communications assistants working from their homes.  (CG Docket Nos. 10-51,03-123)</w:t>
            </w:r>
          </w:p>
          <w:p w:rsidR="00B46AD6" w:rsidRPr="00B46AD6" w:rsidP="00B46AD6">
            <w:pPr>
              <w:tabs>
                <w:tab w:val="left" w:pos="8640"/>
              </w:tabs>
              <w:rPr>
                <w:sz w:val="22"/>
                <w:szCs w:val="22"/>
              </w:rPr>
            </w:pPr>
            <w:r w:rsidRPr="00B46AD6">
              <w:rPr>
                <w:sz w:val="22"/>
                <w:szCs w:val="22"/>
              </w:rPr>
              <w:tab/>
            </w:r>
            <w:r w:rsidRPr="00B46AD6">
              <w:rPr>
                <w:b/>
                <w:sz w:val="22"/>
                <w:szCs w:val="22"/>
              </w:rPr>
              <w:t>Electronic Delivery of Notices to Broadcast Television Stations</w:t>
            </w:r>
            <w:r w:rsidRPr="00B46AD6">
              <w:rPr>
                <w:sz w:val="22"/>
                <w:szCs w:val="22"/>
              </w:rPr>
              <w:t xml:space="preserve"> – The Commission will consider a Report and Order that would modernize certain cable and satellite television provider notice provisions in Part 76 of the FCC’s Rules by requiring certain notices to be delivered to broadcasters by e-mail instead of on paper.  (MB Docket Nos. 19-165, 17-105)</w:t>
            </w:r>
          </w:p>
          <w:p w:rsidR="00B46AD6" w:rsidRPr="00A41840" w:rsidP="00B46AD6">
            <w:pPr>
              <w:tabs>
                <w:tab w:val="left" w:pos="8640"/>
              </w:tabs>
              <w:rPr>
                <w:sz w:val="22"/>
                <w:szCs w:val="22"/>
              </w:rPr>
            </w:pPr>
            <w:r w:rsidRPr="00B46AD6">
              <w:rPr>
                <w:sz w:val="22"/>
                <w:szCs w:val="22"/>
              </w:rPr>
              <w:tab/>
            </w:r>
            <w:r w:rsidRPr="00B46AD6">
              <w:rPr>
                <w:b/>
                <w:sz w:val="22"/>
                <w:szCs w:val="22"/>
              </w:rPr>
              <w:t>Enforcement Bureau Action</w:t>
            </w:r>
            <w:r w:rsidRPr="00B46AD6">
              <w:rPr>
                <w:sz w:val="22"/>
                <w:szCs w:val="22"/>
              </w:rPr>
              <w:t xml:space="preserve"> – The Commission will consider an enforcement action.</w:t>
            </w:r>
          </w:p>
          <w:p w:rsidR="002819BC" w:rsidRPr="00A41840" w:rsidP="00A41840">
            <w:pPr>
              <w:tabs>
                <w:tab w:val="left" w:pos="8640"/>
              </w:tabs>
              <w:rPr>
                <w:sz w:val="22"/>
                <w:szCs w:val="22"/>
              </w:rPr>
            </w:pPr>
          </w:p>
          <w:p w:rsidR="00D569AA" w:rsidRPr="00D569AA" w:rsidP="00D569AA">
            <w:pPr>
              <w:tabs>
                <w:tab w:val="left" w:pos="8640"/>
              </w:tabs>
              <w:rPr>
                <w:bCs/>
                <w:sz w:val="22"/>
                <w:szCs w:val="22"/>
              </w:rPr>
            </w:pPr>
            <w:r w:rsidRPr="00D569AA">
              <w:rPr>
                <w:bCs/>
                <w:sz w:val="22"/>
                <w:szCs w:val="22"/>
              </w:rPr>
              <w:t>Public Drafts of Meeting Items – The FCC publicly releases the draft text of each item expected to be considered at the next Open Commission Meeting</w:t>
            </w:r>
            <w:r w:rsidRPr="00685D95">
              <w:rPr>
                <w:bCs/>
                <w:sz w:val="22"/>
                <w:szCs w:val="22"/>
              </w:rPr>
              <w:t xml:space="preserve">.  </w:t>
            </w:r>
            <w:r w:rsidRPr="00685D95" w:rsidR="00B03497">
              <w:rPr>
                <w:bCs/>
                <w:sz w:val="22"/>
                <w:szCs w:val="22"/>
              </w:rPr>
              <w:t>Drafts of items under consideration that involve specific, enforcement-related matters, which can include restricted proceedings and hearing designation orders, will not be publicly released.</w:t>
            </w:r>
            <w:r w:rsidRPr="00DA50C0" w:rsidR="00B03497">
              <w:rPr>
                <w:bCs/>
                <w:sz w:val="22"/>
                <w:szCs w:val="22"/>
              </w:rPr>
              <w:t xml:space="preserve">  </w:t>
            </w:r>
            <w:r w:rsidRPr="00D569AA">
              <w:rPr>
                <w:bCs/>
                <w:sz w:val="22"/>
                <w:szCs w:val="22"/>
              </w:rPr>
              <w:t xml:space="preserve">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r>
              <w:rPr>
                <w:bCs/>
                <w:sz w:val="22"/>
                <w:szCs w:val="22"/>
              </w:rPr>
              <w:t xml:space="preserve"> </w:t>
            </w:r>
            <w:r w:rsidRPr="00D569AA">
              <w:rPr>
                <w:bCs/>
                <w:sz w:val="22"/>
                <w:szCs w:val="22"/>
              </w:rPr>
              <w:t xml:space="preserve"> </w:t>
            </w:r>
          </w:p>
          <w:p w:rsidR="00D569AA" w:rsidRPr="00D569AA" w:rsidP="00D569AA">
            <w:pPr>
              <w:tabs>
                <w:tab w:val="left" w:pos="8640"/>
              </w:tabs>
              <w:rPr>
                <w:bCs/>
                <w:sz w:val="22"/>
                <w:szCs w:val="22"/>
              </w:rPr>
            </w:pPr>
          </w:p>
          <w:p w:rsidR="00D569AA" w:rsidRPr="00D569AA" w:rsidP="00D569AA">
            <w:pPr>
              <w:tabs>
                <w:tab w:val="left" w:pos="8640"/>
              </w:tabs>
              <w:rPr>
                <w:bCs/>
                <w:sz w:val="22"/>
                <w:szCs w:val="22"/>
              </w:rPr>
            </w:pPr>
            <w:r w:rsidRPr="00D569AA">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0B4CA4">
                <w:rPr>
                  <w:rStyle w:val="Hyperlink"/>
                  <w:sz w:val="22"/>
                  <w:szCs w:val="22"/>
                </w:rPr>
                <w:t>www.fcc.gov/live</w:t>
              </w:r>
            </w:hyperlink>
            <w:r>
              <w:rPr>
                <w:bCs/>
                <w:sz w:val="22"/>
                <w:szCs w:val="22"/>
              </w:rPr>
              <w:t xml:space="preserve"> </w:t>
            </w:r>
            <w:r w:rsidRPr="00D569AA">
              <w:rPr>
                <w:bCs/>
                <w:sz w:val="22"/>
                <w:szCs w:val="22"/>
              </w:rPr>
              <w:t>and can be followed on social media with #OpenMtgFCC.</w:t>
            </w:r>
          </w:p>
          <w:p w:rsidR="00D569AA" w:rsidRPr="00D569AA" w:rsidP="00D569AA">
            <w:pPr>
              <w:tabs>
                <w:tab w:val="left" w:pos="8640"/>
              </w:tabs>
              <w:rPr>
                <w:bCs/>
                <w:sz w:val="22"/>
                <w:szCs w:val="22"/>
              </w:rPr>
            </w:pPr>
          </w:p>
          <w:p w:rsidR="00323539" w:rsidRPr="00D569AA" w:rsidP="00D569AA">
            <w:pPr>
              <w:tabs>
                <w:tab w:val="left" w:pos="8640"/>
              </w:tabs>
              <w:rPr>
                <w:rStyle w:val="Hyperlink"/>
                <w:bCs/>
                <w:color w:val="auto"/>
                <w:sz w:val="22"/>
                <w:szCs w:val="22"/>
                <w:u w:val="none"/>
              </w:rPr>
            </w:pPr>
            <w:r w:rsidRPr="00D569AA">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Pr>
                <w:sz w:val="22"/>
                <w:szCs w:val="22"/>
              </w:rPr>
              <w:t xml:space="preserve">    </w:t>
            </w:r>
          </w:p>
          <w:p w:rsidR="00BD19E8" w:rsidRPr="008A3940" w:rsidP="00E349AA">
            <w:pPr>
              <w:jc w:val="both"/>
              <w:rPr>
                <w:rStyle w:val="Hyperlink"/>
                <w:sz w:val="22"/>
                <w:szCs w:val="22"/>
              </w:rPr>
            </w:pPr>
          </w:p>
          <w:p w:rsidR="004F0F1F" w:rsidRPr="00641CD8" w:rsidP="00B47F70">
            <w:pPr>
              <w:ind w:right="72"/>
              <w:jc w:val="center"/>
              <w:rPr>
                <w:sz w:val="22"/>
                <w:szCs w:val="22"/>
              </w:rPr>
            </w:pPr>
            <w:r w:rsidRPr="00641CD8">
              <w:rPr>
                <w:sz w:val="22"/>
                <w:szCs w:val="22"/>
              </w:rPr>
              <w:t>###</w:t>
            </w:r>
          </w:p>
          <w:p w:rsidR="00473441" w:rsidRPr="0080486B" w:rsidP="00473441">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pPr>
              <w:ind w:right="72"/>
              <w:jc w:val="center"/>
              <w:rPr>
                <w:b/>
                <w:bCs/>
                <w:sz w:val="18"/>
                <w:szCs w:val="18"/>
              </w:rPr>
            </w:pPr>
          </w:p>
          <w:p w:rsidR="00EE0E90" w:rsidRPr="00E644FE" w:rsidP="00473441">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pPr>
        <w:rPr>
          <w:b/>
          <w:bCs/>
          <w:sz w:val="32"/>
          <w:szCs w:val="32"/>
        </w:rPr>
      </w:pPr>
    </w:p>
    <w:p w:rsidR="00D24C3D">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50"/>
    <w:rsid w:val="0002500C"/>
    <w:rsid w:val="000311FC"/>
    <w:rsid w:val="00081232"/>
    <w:rsid w:val="00091E65"/>
    <w:rsid w:val="00096D4A"/>
    <w:rsid w:val="000A38EA"/>
    <w:rsid w:val="000A56AE"/>
    <w:rsid w:val="000B4CA4"/>
    <w:rsid w:val="000C1E47"/>
    <w:rsid w:val="000C26F3"/>
    <w:rsid w:val="000D7889"/>
    <w:rsid w:val="0010799B"/>
    <w:rsid w:val="00117DB2"/>
    <w:rsid w:val="00123ED2"/>
    <w:rsid w:val="00125BE0"/>
    <w:rsid w:val="00142384"/>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9BC"/>
    <w:rsid w:val="00294C0C"/>
    <w:rsid w:val="002A0934"/>
    <w:rsid w:val="002B1013"/>
    <w:rsid w:val="002D03E5"/>
    <w:rsid w:val="002E3F1D"/>
    <w:rsid w:val="002F31D0"/>
    <w:rsid w:val="002F3AC8"/>
    <w:rsid w:val="00300359"/>
    <w:rsid w:val="0031773E"/>
    <w:rsid w:val="00323539"/>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441"/>
    <w:rsid w:val="00473E9C"/>
    <w:rsid w:val="00480099"/>
    <w:rsid w:val="004928D7"/>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E214A"/>
    <w:rsid w:val="005F0D55"/>
    <w:rsid w:val="005F183E"/>
    <w:rsid w:val="00600DDA"/>
    <w:rsid w:val="00604211"/>
    <w:rsid w:val="00613498"/>
    <w:rsid w:val="00617B94"/>
    <w:rsid w:val="00620BED"/>
    <w:rsid w:val="006415B4"/>
    <w:rsid w:val="00641CD8"/>
    <w:rsid w:val="00644E3D"/>
    <w:rsid w:val="00651B9E"/>
    <w:rsid w:val="00652019"/>
    <w:rsid w:val="00653A2D"/>
    <w:rsid w:val="00657EC9"/>
    <w:rsid w:val="00665633"/>
    <w:rsid w:val="00674C86"/>
    <w:rsid w:val="0068015E"/>
    <w:rsid w:val="00685D95"/>
    <w:rsid w:val="006861AB"/>
    <w:rsid w:val="00686B89"/>
    <w:rsid w:val="00694685"/>
    <w:rsid w:val="006A2FC5"/>
    <w:rsid w:val="006A7D75"/>
    <w:rsid w:val="006B0A70"/>
    <w:rsid w:val="006B606A"/>
    <w:rsid w:val="006C2893"/>
    <w:rsid w:val="006C33AF"/>
    <w:rsid w:val="006D5D22"/>
    <w:rsid w:val="006E0324"/>
    <w:rsid w:val="006E4A76"/>
    <w:rsid w:val="006F1DBD"/>
    <w:rsid w:val="00700556"/>
    <w:rsid w:val="007167DD"/>
    <w:rsid w:val="0072478B"/>
    <w:rsid w:val="0073414D"/>
    <w:rsid w:val="0075235E"/>
    <w:rsid w:val="00767BA3"/>
    <w:rsid w:val="007732CC"/>
    <w:rsid w:val="00774079"/>
    <w:rsid w:val="00776F11"/>
    <w:rsid w:val="0077752B"/>
    <w:rsid w:val="00793D6F"/>
    <w:rsid w:val="00794090"/>
    <w:rsid w:val="007A44F8"/>
    <w:rsid w:val="007B1459"/>
    <w:rsid w:val="007D21BF"/>
    <w:rsid w:val="007F3C12"/>
    <w:rsid w:val="007F5205"/>
    <w:rsid w:val="0080486B"/>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55A2"/>
    <w:rsid w:val="008F1609"/>
    <w:rsid w:val="008F78D8"/>
    <w:rsid w:val="00902B59"/>
    <w:rsid w:val="00922D85"/>
    <w:rsid w:val="00961620"/>
    <w:rsid w:val="009734B6"/>
    <w:rsid w:val="00974DBD"/>
    <w:rsid w:val="0098096F"/>
    <w:rsid w:val="0098437A"/>
    <w:rsid w:val="00986C92"/>
    <w:rsid w:val="00993C47"/>
    <w:rsid w:val="009A5E3A"/>
    <w:rsid w:val="009B4B16"/>
    <w:rsid w:val="009D1B2E"/>
    <w:rsid w:val="009E54A1"/>
    <w:rsid w:val="009F4E25"/>
    <w:rsid w:val="009F5B1F"/>
    <w:rsid w:val="00A00E50"/>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4A3A"/>
    <w:rsid w:val="00AF051B"/>
    <w:rsid w:val="00B03497"/>
    <w:rsid w:val="00B037A2"/>
    <w:rsid w:val="00B03974"/>
    <w:rsid w:val="00B20477"/>
    <w:rsid w:val="00B31870"/>
    <w:rsid w:val="00B35EE2"/>
    <w:rsid w:val="00B36DEF"/>
    <w:rsid w:val="00B46AD6"/>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52896"/>
    <w:rsid w:val="00C70C26"/>
    <w:rsid w:val="00C72001"/>
    <w:rsid w:val="00C772B7"/>
    <w:rsid w:val="00C80347"/>
    <w:rsid w:val="00CB7C1A"/>
    <w:rsid w:val="00CC5E08"/>
    <w:rsid w:val="00CF6860"/>
    <w:rsid w:val="00D02AC6"/>
    <w:rsid w:val="00D03F0C"/>
    <w:rsid w:val="00D04312"/>
    <w:rsid w:val="00D10FE7"/>
    <w:rsid w:val="00D148D6"/>
    <w:rsid w:val="00D16A7F"/>
    <w:rsid w:val="00D16AD2"/>
    <w:rsid w:val="00D22596"/>
    <w:rsid w:val="00D22691"/>
    <w:rsid w:val="00D24C3D"/>
    <w:rsid w:val="00D26BED"/>
    <w:rsid w:val="00D46CB1"/>
    <w:rsid w:val="00D569AA"/>
    <w:rsid w:val="00D723F0"/>
    <w:rsid w:val="00D8133F"/>
    <w:rsid w:val="00D95B05"/>
    <w:rsid w:val="00D97E2D"/>
    <w:rsid w:val="00DA103D"/>
    <w:rsid w:val="00DA45D3"/>
    <w:rsid w:val="00DA4772"/>
    <w:rsid w:val="00DA50C0"/>
    <w:rsid w:val="00DB2667"/>
    <w:rsid w:val="00DB67B7"/>
    <w:rsid w:val="00DC15A9"/>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3797"/>
    <w:rsid w:val="00F83D6B"/>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BFFAB4E-0140-40C1-8D84-0FA1FB6E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B20477"/>
    <w:rPr>
      <w:rFonts w:ascii="Segoe UI" w:hAnsi="Segoe UI" w:cs="Segoe UI"/>
      <w:sz w:val="18"/>
      <w:szCs w:val="18"/>
    </w:rPr>
  </w:style>
  <w:style w:type="character" w:customStyle="1" w:styleId="BalloonTextChar">
    <w:name w:val="Balloon Text Char"/>
    <w:basedOn w:val="DefaultParagraphFont"/>
    <w:link w:val="BalloonText"/>
    <w:semiHidden/>
    <w:rsid w:val="00B204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