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A32859">
      <w:pPr>
        <w:jc w:val="center"/>
        <w:rPr>
          <w:b/>
          <w:szCs w:val="22"/>
        </w:rPr>
      </w:pPr>
      <w:bookmarkStart w:id="0" w:name="_GoBack"/>
      <w:bookmarkEnd w:id="0"/>
      <w:r w:rsidRPr="00A32859">
        <w:rPr>
          <w:b/>
          <w:kern w:val="0"/>
          <w:szCs w:val="22"/>
        </w:rPr>
        <w:t>Before</w:t>
      </w:r>
      <w:r w:rsidRPr="00A32859">
        <w:rPr>
          <w:b/>
          <w:szCs w:val="22"/>
        </w:rPr>
        <w:t xml:space="preserve"> the</w:t>
      </w:r>
    </w:p>
    <w:p w:rsidR="00921803" w:rsidRPr="00A32859" w:rsidP="00921803">
      <w:pPr>
        <w:pStyle w:val="StyleBoldCentered"/>
        <w:rPr>
          <w:rFonts w:ascii="Times New Roman" w:hAnsi="Times New Roman"/>
        </w:rPr>
      </w:pPr>
      <w:r w:rsidRPr="00A32859">
        <w:rPr>
          <w:rFonts w:ascii="Times New Roman" w:hAnsi="Times New Roman"/>
        </w:rPr>
        <w:t>F</w:t>
      </w:r>
      <w:r w:rsidRPr="00A32859">
        <w:rPr>
          <w:rFonts w:ascii="Times New Roman" w:hAnsi="Times New Roman"/>
          <w:caps w:val="0"/>
        </w:rPr>
        <w:t>ederal Communications Commission</w:t>
      </w:r>
    </w:p>
    <w:p w:rsidR="004C2EE3" w:rsidRPr="00A32859" w:rsidP="00096D8C">
      <w:pPr>
        <w:pStyle w:val="StyleBoldCentered"/>
        <w:rPr>
          <w:rFonts w:ascii="Times New Roman" w:hAnsi="Times New Roman"/>
        </w:rPr>
      </w:pPr>
      <w:r w:rsidRPr="00A32859">
        <w:rPr>
          <w:rFonts w:ascii="Times New Roman" w:hAnsi="Times New Roman"/>
          <w:caps w:val="0"/>
        </w:rPr>
        <w:t>Washington, D.C. 20554</w:t>
      </w:r>
    </w:p>
    <w:p w:rsidR="00F306CF" w:rsidRPr="00A32859" w:rsidP="00F306CF">
      <w:pPr>
        <w:rPr>
          <w:szCs w:val="22"/>
        </w:rPr>
      </w:pPr>
    </w:p>
    <w:p w:rsidR="00F306CF" w:rsidRPr="00A32859" w:rsidP="00F306CF">
      <w:pPr>
        <w:rPr>
          <w:szCs w:val="22"/>
        </w:rPr>
      </w:pPr>
    </w:p>
    <w:tbl>
      <w:tblPr>
        <w:tblW w:w="0" w:type="auto"/>
        <w:tblLayout w:type="fixed"/>
        <w:tblLook w:val="0000"/>
      </w:tblPr>
      <w:tblGrid>
        <w:gridCol w:w="4698"/>
        <w:gridCol w:w="720"/>
        <w:gridCol w:w="4230"/>
      </w:tblGrid>
      <w:tr w:rsidTr="00B75B66">
        <w:tblPrEx>
          <w:tblW w:w="0" w:type="auto"/>
          <w:tblLayout w:type="fixed"/>
          <w:tblLook w:val="0000"/>
        </w:tblPrEx>
        <w:tc>
          <w:tcPr>
            <w:tcW w:w="4698" w:type="dxa"/>
          </w:tcPr>
          <w:p w:rsidR="00F306CF" w:rsidRPr="00A32859" w:rsidP="00B75B66">
            <w:pPr>
              <w:ind w:right="-18"/>
              <w:rPr>
                <w:szCs w:val="22"/>
              </w:rPr>
            </w:pPr>
            <w:r w:rsidRPr="00A32859">
              <w:rPr>
                <w:szCs w:val="22"/>
              </w:rPr>
              <w:t>In the Matter of</w:t>
            </w:r>
          </w:p>
          <w:p w:rsidR="00F306CF" w:rsidRPr="00A32859" w:rsidP="00B75B66">
            <w:pPr>
              <w:ind w:right="-18"/>
              <w:rPr>
                <w:szCs w:val="22"/>
              </w:rPr>
            </w:pPr>
          </w:p>
          <w:p w:rsidR="00F306CF" w:rsidRPr="00A32859" w:rsidP="005C7405">
            <w:pPr>
              <w:tabs>
                <w:tab w:val="center" w:pos="4680"/>
              </w:tabs>
              <w:suppressAutoHyphens/>
              <w:rPr>
                <w:szCs w:val="22"/>
              </w:rPr>
            </w:pPr>
            <w:r w:rsidRPr="00C900F1">
              <w:rPr>
                <w:szCs w:val="22"/>
              </w:rPr>
              <w:t>Wireless E911 Location Accuracy Requirements</w:t>
            </w:r>
          </w:p>
        </w:tc>
        <w:tc>
          <w:tcPr>
            <w:tcW w:w="720" w:type="dxa"/>
          </w:tcPr>
          <w:p w:rsidR="00F306CF" w:rsidRPr="00A32859" w:rsidP="00B75B66">
            <w:pPr>
              <w:rPr>
                <w:b/>
                <w:szCs w:val="22"/>
              </w:rPr>
            </w:pPr>
            <w:r w:rsidRPr="00A32859">
              <w:rPr>
                <w:b/>
                <w:szCs w:val="22"/>
              </w:rPr>
              <w:t>)</w:t>
            </w:r>
          </w:p>
          <w:p w:rsidR="00F306CF" w:rsidRPr="00A32859" w:rsidP="00B75B66">
            <w:pPr>
              <w:rPr>
                <w:b/>
                <w:szCs w:val="22"/>
              </w:rPr>
            </w:pPr>
            <w:r w:rsidRPr="00A32859">
              <w:rPr>
                <w:b/>
                <w:szCs w:val="22"/>
              </w:rPr>
              <w:t>)</w:t>
            </w:r>
          </w:p>
          <w:p w:rsidR="00F306CF" w:rsidRPr="00FD5C89" w:rsidP="00B75B66">
            <w:pPr>
              <w:rPr>
                <w:b/>
                <w:szCs w:val="22"/>
              </w:rPr>
            </w:pPr>
            <w:r w:rsidRPr="00FD5C89">
              <w:rPr>
                <w:b/>
                <w:szCs w:val="22"/>
              </w:rPr>
              <w:t>)</w:t>
            </w:r>
          </w:p>
          <w:p w:rsidR="00F306CF" w:rsidRPr="00A32859" w:rsidP="00B75B66">
            <w:pPr>
              <w:rPr>
                <w:b/>
                <w:szCs w:val="22"/>
              </w:rPr>
            </w:pPr>
            <w:r w:rsidRPr="00A32859">
              <w:rPr>
                <w:b/>
                <w:szCs w:val="22"/>
              </w:rPr>
              <w:t>)</w:t>
            </w:r>
          </w:p>
        </w:tc>
        <w:tc>
          <w:tcPr>
            <w:tcW w:w="4230" w:type="dxa"/>
          </w:tcPr>
          <w:p w:rsidR="00F306CF" w:rsidRPr="00A32859" w:rsidP="00B75B66">
            <w:pPr>
              <w:rPr>
                <w:szCs w:val="22"/>
              </w:rPr>
            </w:pPr>
          </w:p>
          <w:p w:rsidR="00F306CF" w:rsidRPr="00A32859" w:rsidP="00B75B66">
            <w:pPr>
              <w:rPr>
                <w:szCs w:val="22"/>
              </w:rPr>
            </w:pPr>
          </w:p>
          <w:p w:rsidR="00F306CF" w:rsidRPr="00A32859" w:rsidP="00B75B66">
            <w:pPr>
              <w:pStyle w:val="TOAHeading"/>
              <w:tabs>
                <w:tab w:val="center" w:pos="4680"/>
              </w:tabs>
              <w:rPr>
                <w:spacing w:val="-2"/>
                <w:szCs w:val="22"/>
              </w:rPr>
            </w:pPr>
            <w:r w:rsidRPr="00A32859">
              <w:rPr>
                <w:spacing w:val="-2"/>
                <w:szCs w:val="22"/>
              </w:rPr>
              <w:t xml:space="preserve">PS Docket No. </w:t>
            </w:r>
            <w:r w:rsidRPr="00A32859" w:rsidR="0099347E">
              <w:rPr>
                <w:spacing w:val="-2"/>
                <w:szCs w:val="22"/>
              </w:rPr>
              <w:t>07-114</w:t>
            </w:r>
          </w:p>
          <w:p w:rsidR="00F306CF" w:rsidRPr="00A32859" w:rsidP="00B75B66">
            <w:pPr>
              <w:pStyle w:val="TOAHeading"/>
              <w:tabs>
                <w:tab w:val="center" w:pos="4680"/>
              </w:tabs>
              <w:rPr>
                <w:spacing w:val="-2"/>
                <w:szCs w:val="22"/>
              </w:rPr>
            </w:pPr>
          </w:p>
          <w:p w:rsidR="00F306CF" w:rsidRPr="00A32859" w:rsidP="00B75B66">
            <w:pPr>
              <w:pStyle w:val="TOAHeading"/>
              <w:tabs>
                <w:tab w:val="center" w:pos="4680"/>
              </w:tabs>
              <w:rPr>
                <w:spacing w:val="-2"/>
                <w:szCs w:val="22"/>
              </w:rPr>
            </w:pPr>
          </w:p>
          <w:p w:rsidR="00F306CF" w:rsidRPr="00A32859" w:rsidP="00B75B66">
            <w:pPr>
              <w:rPr>
                <w:b/>
                <w:szCs w:val="22"/>
              </w:rPr>
            </w:pPr>
          </w:p>
        </w:tc>
      </w:tr>
    </w:tbl>
    <w:p w:rsidR="00F306CF" w:rsidRPr="00A32859" w:rsidP="002D1C84">
      <w:pPr>
        <w:jc w:val="center"/>
        <w:rPr>
          <w:b/>
          <w:spacing w:val="-2"/>
          <w:szCs w:val="22"/>
        </w:rPr>
      </w:pPr>
      <w:r w:rsidRPr="00A32859">
        <w:rPr>
          <w:b/>
          <w:spacing w:val="-2"/>
          <w:szCs w:val="22"/>
        </w:rPr>
        <w:t>ERRATUM</w:t>
      </w:r>
    </w:p>
    <w:p w:rsidR="00F306CF" w:rsidRPr="00A32859" w:rsidP="002D1C84">
      <w:pPr>
        <w:rPr>
          <w:b/>
          <w:szCs w:val="22"/>
        </w:rPr>
      </w:pPr>
    </w:p>
    <w:p w:rsidR="00F306CF" w:rsidRPr="00A32859" w:rsidP="00F306CF">
      <w:pPr>
        <w:jc w:val="right"/>
        <w:rPr>
          <w:b/>
          <w:szCs w:val="22"/>
        </w:rPr>
      </w:pPr>
      <w:r w:rsidRPr="00A32859">
        <w:rPr>
          <w:b/>
          <w:szCs w:val="22"/>
        </w:rPr>
        <w:t xml:space="preserve">Released: </w:t>
      </w:r>
      <w:r w:rsidRPr="00A32859" w:rsidR="002B2C4C">
        <w:rPr>
          <w:b/>
          <w:szCs w:val="22"/>
        </w:rPr>
        <w:t>January</w:t>
      </w:r>
      <w:r w:rsidRPr="00A32859" w:rsidR="00B2215A">
        <w:rPr>
          <w:b/>
          <w:szCs w:val="22"/>
        </w:rPr>
        <w:t xml:space="preserve"> </w:t>
      </w:r>
      <w:r w:rsidR="00C900F1">
        <w:rPr>
          <w:b/>
          <w:szCs w:val="22"/>
        </w:rPr>
        <w:t>1</w:t>
      </w:r>
      <w:r w:rsidR="005A252A">
        <w:rPr>
          <w:b/>
          <w:szCs w:val="22"/>
        </w:rPr>
        <w:t>5</w:t>
      </w:r>
      <w:r w:rsidRPr="00A32859" w:rsidR="00B2215A">
        <w:rPr>
          <w:b/>
          <w:szCs w:val="22"/>
        </w:rPr>
        <w:t xml:space="preserve">, </w:t>
      </w:r>
      <w:r w:rsidRPr="00A32859" w:rsidR="007A31B0">
        <w:rPr>
          <w:b/>
          <w:szCs w:val="22"/>
        </w:rPr>
        <w:t>2020</w:t>
      </w:r>
    </w:p>
    <w:p w:rsidR="00F306CF" w:rsidRPr="00A32859" w:rsidP="002D1C84">
      <w:pPr>
        <w:rPr>
          <w:b/>
          <w:szCs w:val="22"/>
        </w:rPr>
      </w:pPr>
    </w:p>
    <w:p w:rsidR="00330AF3" w:rsidRPr="00A32859" w:rsidP="002D1C84">
      <w:pPr>
        <w:rPr>
          <w:spacing w:val="-2"/>
          <w:szCs w:val="22"/>
        </w:rPr>
      </w:pPr>
      <w:r w:rsidRPr="00A32859">
        <w:rPr>
          <w:szCs w:val="22"/>
        </w:rPr>
        <w:t>By the Chief, Public Safety and Homeland Security Bureau</w:t>
      </w:r>
      <w:r w:rsidRPr="00A32859">
        <w:rPr>
          <w:szCs w:val="22"/>
        </w:rPr>
        <w:t>, and the Managing Director</w:t>
      </w:r>
      <w:r w:rsidRPr="00A32859">
        <w:rPr>
          <w:spacing w:val="-2"/>
          <w:szCs w:val="22"/>
        </w:rPr>
        <w:t>:</w:t>
      </w:r>
    </w:p>
    <w:p w:rsidR="00F306CF" w:rsidRPr="00A32859" w:rsidP="002D1C84">
      <w:pPr>
        <w:rPr>
          <w:spacing w:val="-2"/>
          <w:szCs w:val="22"/>
        </w:rPr>
      </w:pPr>
    </w:p>
    <w:p w:rsidR="00934FE0" w:rsidRPr="00A32859" w:rsidP="00C900F1">
      <w:pPr>
        <w:pStyle w:val="ParaNum"/>
        <w:numPr>
          <w:ilvl w:val="0"/>
          <w:numId w:val="0"/>
        </w:numPr>
        <w:tabs>
          <w:tab w:val="clear" w:pos="1440"/>
        </w:tabs>
        <w:ind w:firstLine="720"/>
        <w:rPr>
          <w:szCs w:val="22"/>
        </w:rPr>
      </w:pPr>
      <w:r w:rsidRPr="00A32859">
        <w:t xml:space="preserve">On </w:t>
      </w:r>
      <w:r w:rsidRPr="00A32859" w:rsidR="0099347E">
        <w:t>November 25</w:t>
      </w:r>
      <w:r w:rsidRPr="00A32859">
        <w:t xml:space="preserve">, 2019, the Commission released </w:t>
      </w:r>
      <w:r w:rsidRPr="00A32859" w:rsidR="00544C08">
        <w:t xml:space="preserve">the </w:t>
      </w:r>
      <w:r w:rsidRPr="00A32859" w:rsidR="0099347E">
        <w:t xml:space="preserve">Fifth Report and Order and Fifth Further Notice of Proposed Rulemaking </w:t>
      </w:r>
      <w:r w:rsidRPr="00A32859" w:rsidR="00544C08">
        <w:t>(</w:t>
      </w:r>
      <w:r w:rsidRPr="00A32859" w:rsidR="0099347E">
        <w:rPr>
          <w:i/>
        </w:rPr>
        <w:t>Fifth R&amp;O and FNPRM</w:t>
      </w:r>
      <w:r w:rsidRPr="00A32859" w:rsidR="00544C08">
        <w:t>)</w:t>
      </w:r>
      <w:r w:rsidR="00A32859">
        <w:t>, FCC 19-124, in the above captioned proceeding</w:t>
      </w:r>
      <w:r w:rsidRPr="00A32859" w:rsidR="00544C08">
        <w:t xml:space="preserve">.  This </w:t>
      </w:r>
      <w:r w:rsidRPr="00A32859">
        <w:t xml:space="preserve">Erratum </w:t>
      </w:r>
      <w:r w:rsidR="00A32859">
        <w:t>amend</w:t>
      </w:r>
      <w:r w:rsidRPr="00A32859" w:rsidR="00A32859">
        <w:t xml:space="preserve">s </w:t>
      </w:r>
      <w:r w:rsidRPr="00A32859" w:rsidR="008219A9">
        <w:t xml:space="preserve">the </w:t>
      </w:r>
      <w:r w:rsidRPr="00A32859" w:rsidR="0099347E">
        <w:rPr>
          <w:i/>
        </w:rPr>
        <w:t>Fifth R&amp;O and FNPRM</w:t>
      </w:r>
      <w:r w:rsidRPr="00A32859" w:rsidR="008219A9">
        <w:rPr>
          <w:i/>
        </w:rPr>
        <w:t xml:space="preserve"> </w:t>
      </w:r>
      <w:r w:rsidR="00A32859">
        <w:t xml:space="preserve">by adding a </w:t>
      </w:r>
      <w:r w:rsidRPr="00A32859" w:rsidR="008219A9">
        <w:t>s</w:t>
      </w:r>
      <w:r w:rsidR="00A32859">
        <w:t>entence to the end of</w:t>
      </w:r>
      <w:r w:rsidR="00C900F1">
        <w:t xml:space="preserve"> </w:t>
      </w:r>
      <w:r w:rsidRPr="00A32859">
        <w:t>paragraph</w:t>
      </w:r>
      <w:r w:rsidRPr="00A32859" w:rsidR="00F218E8">
        <w:t xml:space="preserve"> </w:t>
      </w:r>
      <w:r w:rsidRPr="00A32859" w:rsidR="0099347E">
        <w:t>86</w:t>
      </w:r>
      <w:r w:rsidRPr="00A32859" w:rsidR="00F218E8">
        <w:t xml:space="preserve"> </w:t>
      </w:r>
      <w:r w:rsidR="00A32859">
        <w:t>to read as follows</w:t>
      </w:r>
      <w:r w:rsidRPr="00A32859" w:rsidR="0099347E">
        <w:t>:</w:t>
      </w:r>
    </w:p>
    <w:p w:rsidR="0099347E" w:rsidP="0099347E">
      <w:pPr>
        <w:pStyle w:val="ParaNum"/>
        <w:numPr>
          <w:ilvl w:val="0"/>
          <w:numId w:val="0"/>
        </w:numPr>
        <w:ind w:left="720"/>
        <w:rPr>
          <w:szCs w:val="22"/>
        </w:rPr>
      </w:pPr>
      <w:r>
        <w:rPr>
          <w:szCs w:val="22"/>
        </w:rPr>
        <w:t>“</w:t>
      </w:r>
      <w:r w:rsidRPr="00A32859">
        <w:rPr>
          <w:szCs w:val="22"/>
        </w:rPr>
        <w:t xml:space="preserve">This </w:t>
      </w:r>
      <w:r w:rsidRPr="00A32859">
        <w:rPr>
          <w:i/>
          <w:szCs w:val="22"/>
        </w:rPr>
        <w:t>Fifth Further Notice of Proposed Rulemaking</w:t>
      </w:r>
      <w:r w:rsidRPr="00A32859">
        <w:rPr>
          <w:szCs w:val="22"/>
        </w:rPr>
        <w:t xml:space="preserve"> does not contain proposed information collection(s) subject to the Paperwork Reduction Act of 1995 (PRA), Public Law 104-13. In addition, therefore, it does not contain any new or modified information collection burden for small business concerns with few</w:t>
      </w:r>
      <w:r w:rsidRPr="00FD5C89">
        <w:rPr>
          <w:szCs w:val="22"/>
        </w:rPr>
        <w:t>er than 25 employees, pursuant to the Small Business Paperwork Relief Act of 2002, Public Law 107-198, </w:t>
      </w:r>
      <w:r w:rsidRPr="00FD5C89">
        <w:rPr>
          <w:i/>
          <w:iCs/>
          <w:szCs w:val="22"/>
        </w:rPr>
        <w:t>see</w:t>
      </w:r>
      <w:r w:rsidRPr="00FD5C89">
        <w:rPr>
          <w:szCs w:val="22"/>
        </w:rPr>
        <w:t> 44 U.S.C. 3506(c)(4).</w:t>
      </w:r>
      <w:r>
        <w:rPr>
          <w:szCs w:val="22"/>
        </w:rPr>
        <w:t>”</w:t>
      </w:r>
    </w:p>
    <w:p w:rsidR="00C900F1" w:rsidRPr="00C22835" w:rsidP="00C900F1">
      <w:pPr>
        <w:pStyle w:val="ParaNum"/>
        <w:numPr>
          <w:ilvl w:val="0"/>
          <w:numId w:val="0"/>
        </w:numPr>
        <w:tabs>
          <w:tab w:val="clear" w:pos="1440"/>
        </w:tabs>
        <w:ind w:firstLine="720"/>
        <w:rPr>
          <w:szCs w:val="24"/>
        </w:rPr>
      </w:pPr>
      <w:r w:rsidRPr="00C22835">
        <w:rPr>
          <w:szCs w:val="24"/>
        </w:rPr>
        <w:t xml:space="preserve">To conform to the publishing conventions of the National Archives and Records Administration’s Office of the Federal Register, this Erratum also amends </w:t>
      </w:r>
      <w:r w:rsidRPr="00AD1B9A">
        <w:rPr>
          <w:szCs w:val="24"/>
        </w:rPr>
        <w:t>Appendi</w:t>
      </w:r>
      <w:r w:rsidRPr="00AD1B9A" w:rsidR="00AD1B9A">
        <w:rPr>
          <w:szCs w:val="24"/>
        </w:rPr>
        <w:t>ces</w:t>
      </w:r>
      <w:r w:rsidRPr="00AD1B9A">
        <w:rPr>
          <w:szCs w:val="24"/>
        </w:rPr>
        <w:t xml:space="preserve"> A </w:t>
      </w:r>
      <w:r w:rsidRPr="00AD1B9A" w:rsidR="00AD1B9A">
        <w:rPr>
          <w:szCs w:val="24"/>
        </w:rPr>
        <w:t>and B</w:t>
      </w:r>
      <w:r w:rsidR="00AD1B9A">
        <w:rPr>
          <w:szCs w:val="24"/>
        </w:rPr>
        <w:t xml:space="preserve"> </w:t>
      </w:r>
      <w:r w:rsidRPr="00C22835">
        <w:rPr>
          <w:szCs w:val="24"/>
        </w:rPr>
        <w:t xml:space="preserve">of the </w:t>
      </w:r>
      <w:r w:rsidRPr="00A32859">
        <w:rPr>
          <w:i/>
        </w:rPr>
        <w:t>Fifth R&amp;O and FNPRM</w:t>
      </w:r>
      <w:r w:rsidRPr="00C22835">
        <w:rPr>
          <w:szCs w:val="24"/>
        </w:rPr>
        <w:t xml:space="preserve"> as indicated below:</w:t>
      </w:r>
    </w:p>
    <w:p w:rsidR="00736570" w:rsidRPr="00B13237" w:rsidP="00C900F1">
      <w:pPr>
        <w:pStyle w:val="ParaNum"/>
        <w:tabs>
          <w:tab w:val="clear" w:pos="1440"/>
        </w:tabs>
      </w:pPr>
      <w:r>
        <w:t xml:space="preserve">In </w:t>
      </w:r>
      <w:r w:rsidRPr="00AD1B9A">
        <w:rPr>
          <w:b/>
        </w:rPr>
        <w:t>A</w:t>
      </w:r>
      <w:r w:rsidRPr="00AD1B9A">
        <w:rPr>
          <w:rFonts w:ascii="Times New Roman Bold" w:hAnsi="Times New Roman Bold"/>
          <w:b/>
          <w:caps/>
        </w:rPr>
        <w:t>ppendix</w:t>
      </w:r>
      <w:r w:rsidRPr="00AD1B9A">
        <w:rPr>
          <w:b/>
        </w:rPr>
        <w:t xml:space="preserve"> A</w:t>
      </w:r>
      <w:r>
        <w:t>, t</w:t>
      </w:r>
      <w:r w:rsidRPr="00B13237">
        <w:t xml:space="preserve">he first sentence </w:t>
      </w:r>
      <w:r w:rsidR="00FD5C89">
        <w:t xml:space="preserve">is corrected </w:t>
      </w:r>
      <w:r w:rsidRPr="00B13237">
        <w:t xml:space="preserve">to read as follows: </w:t>
      </w:r>
    </w:p>
    <w:p w:rsidR="00736570" w:rsidRPr="00FD5C89" w:rsidP="00351A2D">
      <w:pPr>
        <w:pStyle w:val="ParaNum"/>
        <w:numPr>
          <w:ilvl w:val="0"/>
          <w:numId w:val="0"/>
        </w:numPr>
        <w:tabs>
          <w:tab w:val="clear" w:pos="1440"/>
        </w:tabs>
        <w:ind w:left="720" w:hanging="90"/>
      </w:pPr>
      <w:r w:rsidRPr="00B13237">
        <w:t>“The Federal Communications Commission amends chapter I of title 47 of the Code of Federal Regulations as follows:</w:t>
      </w:r>
      <w:r w:rsidRPr="00FD5C89">
        <w:t>”</w:t>
      </w:r>
    </w:p>
    <w:p w:rsidR="00736570" w:rsidRPr="00FD5C89" w:rsidP="00FD5C89">
      <w:pPr>
        <w:pStyle w:val="ParaNum"/>
        <w:tabs>
          <w:tab w:val="clear" w:pos="1440"/>
        </w:tabs>
      </w:pPr>
      <w:r w:rsidRPr="00FD5C89">
        <w:t>In paragraph 2</w:t>
      </w:r>
      <w:r w:rsidR="00FD5C89">
        <w:t>,</w:t>
      </w:r>
      <w:r w:rsidRPr="00FD5C89">
        <w:t xml:space="preserve"> </w:t>
      </w:r>
      <w:r w:rsidR="00FD5C89">
        <w:t xml:space="preserve">the amendatory language is corrected </w:t>
      </w:r>
      <w:r w:rsidRPr="00FD5C89">
        <w:t>to read as follows:</w:t>
      </w:r>
    </w:p>
    <w:p w:rsidR="00736570" w:rsidRPr="00A32859" w:rsidP="00043C8B">
      <w:pPr>
        <w:pStyle w:val="ParaNum"/>
        <w:numPr>
          <w:ilvl w:val="0"/>
          <w:numId w:val="0"/>
        </w:numPr>
        <w:ind w:left="720" w:firstLine="360"/>
        <w:rPr>
          <w:szCs w:val="24"/>
        </w:rPr>
      </w:pPr>
      <w:r w:rsidRPr="00C22835">
        <w:t>“</w:t>
      </w:r>
      <w:r w:rsidR="00043C8B">
        <w:t>2.</w:t>
      </w:r>
      <w:r w:rsidR="00043C8B">
        <w:tab/>
      </w:r>
      <w:r w:rsidRPr="00C22835" w:rsidR="00141C78">
        <w:rPr>
          <w:szCs w:val="24"/>
        </w:rPr>
        <w:t>Section 9.10 is amended by revising paragraphs (</w:t>
      </w:r>
      <w:r w:rsidRPr="00C22835" w:rsidR="00141C78">
        <w:rPr>
          <w:szCs w:val="24"/>
        </w:rPr>
        <w:t>i</w:t>
      </w:r>
      <w:r w:rsidRPr="00C22835" w:rsidR="00141C78">
        <w:rPr>
          <w:szCs w:val="24"/>
        </w:rPr>
        <w:t>)(2)(ii)(C) introductory text and (</w:t>
      </w:r>
      <w:r w:rsidRPr="00C22835" w:rsidR="00141C78">
        <w:rPr>
          <w:szCs w:val="24"/>
        </w:rPr>
        <w:t>i</w:t>
      </w:r>
      <w:r w:rsidRPr="00C22835" w:rsidR="00141C78">
        <w:rPr>
          <w:szCs w:val="24"/>
        </w:rPr>
        <w:t>)(2)(ii)(D) introductory text</w:t>
      </w:r>
      <w:r w:rsidRPr="00A32859" w:rsidR="00141C78">
        <w:rPr>
          <w:szCs w:val="24"/>
        </w:rPr>
        <w:t>, adding paragraph (</w:t>
      </w:r>
      <w:r w:rsidRPr="00A32859" w:rsidR="00141C78">
        <w:rPr>
          <w:szCs w:val="24"/>
        </w:rPr>
        <w:t>i</w:t>
      </w:r>
      <w:r w:rsidRPr="00A32859" w:rsidR="00141C78">
        <w:rPr>
          <w:szCs w:val="24"/>
        </w:rPr>
        <w:t>)(4)(v), revising paragraph (j)(1) introductory text, adding paragraph (j)(4), and revising paragraph (s) to read as follows:</w:t>
      </w:r>
      <w:r w:rsidRPr="00A32859" w:rsidR="007A31B0">
        <w:rPr>
          <w:szCs w:val="24"/>
        </w:rPr>
        <w:t>”</w:t>
      </w:r>
    </w:p>
    <w:p w:rsidR="00141C78" w:rsidRPr="00C22835" w:rsidP="00C05BA6">
      <w:pPr>
        <w:pStyle w:val="ParaNum"/>
      </w:pPr>
      <w:r w:rsidRPr="00C22835">
        <w:t xml:space="preserve">In </w:t>
      </w:r>
      <w:r w:rsidRPr="00C22835" w:rsidR="007A31B0">
        <w:t>paragraph</w:t>
      </w:r>
      <w:r w:rsidRPr="00C22835">
        <w:t xml:space="preserve"> (</w:t>
      </w:r>
      <w:r w:rsidRPr="00C22835">
        <w:t>i</w:t>
      </w:r>
      <w:r w:rsidRPr="00C22835">
        <w:t>)(2)(ii)(C)</w:t>
      </w:r>
      <w:r w:rsidR="00C05BA6">
        <w:t>, under</w:t>
      </w:r>
      <w:r w:rsidRPr="00C22835">
        <w:t xml:space="preserve"> </w:t>
      </w:r>
      <w:r w:rsidR="00C05BA6">
        <w:rPr>
          <w:szCs w:val="24"/>
        </w:rPr>
        <w:t>Section 9.10</w:t>
      </w:r>
      <w:r w:rsidR="00C05BA6">
        <w:t xml:space="preserve">, </w:t>
      </w:r>
      <w:r w:rsidR="00C22835">
        <w:t xml:space="preserve">the </w:t>
      </w:r>
      <w:r w:rsidRPr="00C22835" w:rsidR="007A31B0">
        <w:t xml:space="preserve">introductory text </w:t>
      </w:r>
      <w:r w:rsidR="00C22835">
        <w:t xml:space="preserve">is corrected </w:t>
      </w:r>
      <w:r w:rsidRPr="00C22835">
        <w:t xml:space="preserve">to read as follows: </w:t>
      </w:r>
    </w:p>
    <w:p w:rsidR="00E5175C" w:rsidRPr="00C22835" w:rsidP="007865C9">
      <w:pPr>
        <w:pStyle w:val="ParaNum"/>
        <w:numPr>
          <w:ilvl w:val="0"/>
          <w:numId w:val="0"/>
        </w:numPr>
        <w:tabs>
          <w:tab w:val="clear" w:pos="1440"/>
        </w:tabs>
        <w:ind w:left="720" w:firstLine="360"/>
      </w:pPr>
      <w:r>
        <w:t>“</w:t>
      </w:r>
      <w:r w:rsidR="00043C8B">
        <w:t xml:space="preserve">(C) </w:t>
      </w:r>
      <w:r w:rsidRPr="00C22835">
        <w:t>By April 3, 2021:  In each of the top 25 cellular market areas (CMAs), nationwide CMRS providers shall deploy either dispatchable location, or z-axis technology in compliance with the following z-axis accuracy metric: within 3 meters above or below (plus or minus 3 meters) the handset for 80% of wireless E911 calls made from the z-axis capable device.  CMRS providers must deliver z-axis information in Height Above Ellipsoid.  Where available to the CMRS provider, floor level information must be provided in addition to z-axis location information.  CMRS providers that deploy z-axis technology must also comply with the compliance certification and call data reporting requirements of paragraphs (</w:t>
      </w:r>
      <w:r w:rsidRPr="00C22835">
        <w:t>i</w:t>
      </w:r>
      <w:r w:rsidRPr="00C22835">
        <w:t>)(2)(iii) and (</w:t>
      </w:r>
      <w:r w:rsidRPr="00C22835">
        <w:t>i</w:t>
      </w:r>
      <w:r w:rsidRPr="00C22835">
        <w:t>)(3) of this section.</w:t>
      </w:r>
      <w:r w:rsidR="004E0DB6">
        <w:t>”</w:t>
      </w:r>
    </w:p>
    <w:p w:rsidR="00141C78" w:rsidRPr="004E0DB6" w:rsidP="00C900F1">
      <w:pPr>
        <w:pStyle w:val="ParaNum"/>
        <w:tabs>
          <w:tab w:val="clear" w:pos="1440"/>
        </w:tabs>
      </w:pPr>
      <w:r w:rsidRPr="004E0DB6">
        <w:t xml:space="preserve">In </w:t>
      </w:r>
      <w:r w:rsidRPr="004E0DB6" w:rsidR="007A31B0">
        <w:t>paragraph</w:t>
      </w:r>
      <w:r w:rsidRPr="004E0DB6" w:rsidR="00B271C3">
        <w:t xml:space="preserve"> (</w:t>
      </w:r>
      <w:r w:rsidRPr="004E0DB6" w:rsidR="00B271C3">
        <w:t>i</w:t>
      </w:r>
      <w:r w:rsidRPr="004E0DB6" w:rsidR="00B271C3">
        <w:t>)(2)(ii)(D)</w:t>
      </w:r>
      <w:r w:rsidR="00C05BA6">
        <w:t>,</w:t>
      </w:r>
      <w:r w:rsidRPr="004E0DB6" w:rsidR="007A31B0">
        <w:t xml:space="preserve"> </w:t>
      </w:r>
      <w:r w:rsidR="00F63D8E">
        <w:t xml:space="preserve">also under Section 9.10, </w:t>
      </w:r>
      <w:r w:rsidRPr="004E0DB6" w:rsidR="00C05BA6">
        <w:t xml:space="preserve">the last sentence of </w:t>
      </w:r>
      <w:r w:rsidR="00F63D8E">
        <w:t xml:space="preserve">the </w:t>
      </w:r>
      <w:r w:rsidRPr="004E0DB6" w:rsidR="007A31B0">
        <w:t>introductory text</w:t>
      </w:r>
      <w:r w:rsidRPr="004E0DB6" w:rsidR="00B271C3">
        <w:t xml:space="preserve"> </w:t>
      </w:r>
      <w:r w:rsidR="004E0DB6">
        <w:t xml:space="preserve">is corrected </w:t>
      </w:r>
      <w:r w:rsidRPr="004E0DB6" w:rsidR="00B271C3">
        <w:t xml:space="preserve">to read as follows: </w:t>
      </w:r>
    </w:p>
    <w:p w:rsidR="00B271C3" w:rsidRPr="00A32859" w:rsidP="004A606D">
      <w:pPr>
        <w:pStyle w:val="ParaNum"/>
        <w:numPr>
          <w:ilvl w:val="0"/>
          <w:numId w:val="0"/>
        </w:numPr>
        <w:tabs>
          <w:tab w:val="clear" w:pos="1440"/>
        </w:tabs>
        <w:ind w:left="720" w:firstLine="360"/>
      </w:pPr>
      <w:r>
        <w:t>“</w:t>
      </w:r>
      <w:r w:rsidR="007865C9">
        <w:t xml:space="preserve">(D) * * * </w:t>
      </w:r>
      <w:r w:rsidRPr="00A32859">
        <w:t>CMRS providers that deploy z-axis technology must also comply with the compliance certification and call data reporting requirements of paragraphs (</w:t>
      </w:r>
      <w:r w:rsidRPr="00A32859">
        <w:t>i</w:t>
      </w:r>
      <w:r w:rsidRPr="00A32859">
        <w:t>)(2)(iii) and (</w:t>
      </w:r>
      <w:r w:rsidRPr="00A32859">
        <w:t>i</w:t>
      </w:r>
      <w:r w:rsidRPr="00A32859">
        <w:t>)(3) of this section.</w:t>
      </w:r>
      <w:r>
        <w:t>”</w:t>
      </w:r>
    </w:p>
    <w:p w:rsidR="00B271C3" w:rsidRPr="00A32859" w:rsidP="007865C9">
      <w:pPr>
        <w:pStyle w:val="ParaNum"/>
        <w:tabs>
          <w:tab w:val="clear" w:pos="1440"/>
        </w:tabs>
      </w:pPr>
      <w:r w:rsidRPr="00A32859">
        <w:t xml:space="preserve">In </w:t>
      </w:r>
      <w:r w:rsidRPr="00A32859" w:rsidR="00210053">
        <w:t>paragraph (</w:t>
      </w:r>
      <w:r w:rsidRPr="00A32859" w:rsidR="00210053">
        <w:t>i</w:t>
      </w:r>
      <w:r w:rsidRPr="00A32859" w:rsidR="00210053">
        <w:t>)(4)(v)</w:t>
      </w:r>
      <w:r w:rsidR="00210053">
        <w:t>,</w:t>
      </w:r>
      <w:r w:rsidRPr="00A32859" w:rsidR="00210053">
        <w:t xml:space="preserve"> the first sentence </w:t>
      </w:r>
      <w:r w:rsidR="00210053">
        <w:t xml:space="preserve">is </w:t>
      </w:r>
      <w:r w:rsidRPr="00A32859">
        <w:t>correct</w:t>
      </w:r>
      <w:r w:rsidR="00210053">
        <w:t>ed</w:t>
      </w:r>
      <w:r w:rsidRPr="00A32859">
        <w:t xml:space="preserve"> to read as follows: </w:t>
      </w:r>
    </w:p>
    <w:p w:rsidR="00B271C3" w:rsidRPr="00A32859" w:rsidP="00C900F1">
      <w:pPr>
        <w:pStyle w:val="ParaNum"/>
        <w:numPr>
          <w:ilvl w:val="0"/>
          <w:numId w:val="0"/>
        </w:numPr>
        <w:tabs>
          <w:tab w:val="clear" w:pos="1440"/>
        </w:tabs>
        <w:ind w:left="720" w:firstLine="360"/>
      </w:pPr>
      <w:r>
        <w:t xml:space="preserve">“(v) </w:t>
      </w:r>
      <w:r w:rsidRPr="00A32859">
        <w:rPr>
          <w:i/>
        </w:rPr>
        <w:t>Z-axis use certification</w:t>
      </w:r>
      <w:r w:rsidRPr="00A32859">
        <w:t>.  Prior to use of z-axis information to meet the Commission’s 911 vertical location accuracy requirements in paragraph (i)(2)(ii) of this section, CMRS providers must certify that neither they nor any third party they rely on to obtain z-axis information will use z-axis information or associated data for any non-911 purpose, except with prior express consent or as otherwise required by law.</w:t>
      </w:r>
      <w:r w:rsidR="00210053">
        <w:t>”</w:t>
      </w:r>
      <w:r w:rsidRPr="00A32859">
        <w:t xml:space="preserve">  </w:t>
      </w:r>
    </w:p>
    <w:p w:rsidR="00B271C3" w:rsidRPr="00A32859" w:rsidP="007865C9">
      <w:pPr>
        <w:pStyle w:val="ParaNum"/>
        <w:tabs>
          <w:tab w:val="clear" w:pos="1440"/>
        </w:tabs>
      </w:pPr>
      <w:r>
        <w:t>Paragraph</w:t>
      </w:r>
      <w:r w:rsidRPr="00A32859">
        <w:t xml:space="preserve"> (j)(1) </w:t>
      </w:r>
      <w:r>
        <w:t xml:space="preserve">is corrected </w:t>
      </w:r>
      <w:r w:rsidRPr="00A32859">
        <w:t xml:space="preserve">to read as follows: </w:t>
      </w:r>
    </w:p>
    <w:p w:rsidR="00B271C3" w:rsidRPr="00A32859" w:rsidP="00C900F1">
      <w:pPr>
        <w:pStyle w:val="ParaNum"/>
        <w:numPr>
          <w:ilvl w:val="0"/>
          <w:numId w:val="0"/>
        </w:numPr>
        <w:tabs>
          <w:tab w:val="clear" w:pos="1440"/>
        </w:tabs>
        <w:ind w:left="720" w:firstLine="360"/>
      </w:pPr>
      <w:r>
        <w:t xml:space="preserve">“(j) </w:t>
      </w:r>
      <w:r w:rsidRPr="00A32859">
        <w:rPr>
          <w:i/>
        </w:rPr>
        <w:t>Confidence and uncertainty data</w:t>
      </w:r>
      <w:r w:rsidRPr="00A32859">
        <w:t>.  (1) Except as provided in paragraphs (j)(2) through (4) of this section, CMRS providers subject to this section shall provide for all wireless 911 calls, whether from outdoor or indoor locations, x- and y-axis (latitude, longitude) and z-axis (vertical) confidence and uncertainty information (C/U data) on a per-call basis upon the request of a PSAP.  The data shall specify:</w:t>
      </w:r>
      <w:r w:rsidR="00210053">
        <w:t>”</w:t>
      </w:r>
      <w:r w:rsidRPr="00A32859">
        <w:t xml:space="preserve"> </w:t>
      </w:r>
    </w:p>
    <w:p w:rsidR="00617B36" w:rsidRPr="00A32859" w:rsidP="007865C9">
      <w:pPr>
        <w:pStyle w:val="ParaNum"/>
        <w:tabs>
          <w:tab w:val="clear" w:pos="1440"/>
        </w:tabs>
      </w:pPr>
      <w:r w:rsidRPr="00A32859">
        <w:t xml:space="preserve">In </w:t>
      </w:r>
      <w:r w:rsidRPr="00A32859" w:rsidR="0031036E">
        <w:t>paragraph (j)(4)</w:t>
      </w:r>
      <w:r w:rsidR="0031036E">
        <w:t>,</w:t>
      </w:r>
      <w:r w:rsidRPr="00A32859" w:rsidR="0031036E">
        <w:t xml:space="preserve"> </w:t>
      </w:r>
      <w:r w:rsidRPr="00A32859">
        <w:t xml:space="preserve">the first sentence </w:t>
      </w:r>
      <w:r w:rsidR="0031036E">
        <w:t>is</w:t>
      </w:r>
      <w:r w:rsidRPr="00A32859" w:rsidR="0031036E">
        <w:t xml:space="preserve"> correct</w:t>
      </w:r>
      <w:r w:rsidR="0031036E">
        <w:t>ed</w:t>
      </w:r>
      <w:r w:rsidRPr="00A32859" w:rsidR="0031036E">
        <w:t xml:space="preserve"> </w:t>
      </w:r>
      <w:r w:rsidRPr="00A32859" w:rsidR="00E5175C">
        <w:t xml:space="preserve">to read as follows: </w:t>
      </w:r>
    </w:p>
    <w:p w:rsidR="00E5175C" w:rsidRPr="00A32859" w:rsidP="00C900F1">
      <w:pPr>
        <w:pStyle w:val="ParaNum"/>
        <w:numPr>
          <w:ilvl w:val="0"/>
          <w:numId w:val="0"/>
        </w:numPr>
        <w:tabs>
          <w:tab w:val="clear" w:pos="1440"/>
        </w:tabs>
        <w:ind w:left="720" w:firstLine="360"/>
      </w:pPr>
      <w:r>
        <w:t xml:space="preserve">“(4) </w:t>
      </w:r>
      <w:r w:rsidRPr="00A32859">
        <w:t>Upon meeting the timeframes pursuant to paragraphs (i)(2)(ii)(C) and (D) of this section, CMRS providers shall provide with wireless 911 calls that have dispatchable location or z-axis (vertical) information the C/U data required under paragraph (j)(1) of this section.</w:t>
      </w:r>
      <w:r>
        <w:t>”</w:t>
      </w:r>
    </w:p>
    <w:p w:rsidR="00E5175C" w:rsidRPr="00A32859" w:rsidP="00AE6204">
      <w:pPr>
        <w:pStyle w:val="ParaNum"/>
        <w:tabs>
          <w:tab w:val="clear" w:pos="1440"/>
        </w:tabs>
      </w:pPr>
      <w:r>
        <w:t>P</w:t>
      </w:r>
      <w:r w:rsidRPr="00A32859" w:rsidR="00471EBD">
        <w:t>aragraph</w:t>
      </w:r>
      <w:r w:rsidRPr="00A32859">
        <w:t xml:space="preserve"> (s) </w:t>
      </w:r>
      <w:r w:rsidR="00AE6204">
        <w:t xml:space="preserve">is corrected </w:t>
      </w:r>
      <w:r w:rsidRPr="00A32859">
        <w:t xml:space="preserve">to read as follows: </w:t>
      </w:r>
    </w:p>
    <w:p w:rsidR="00E5175C" w:rsidRPr="00A32859" w:rsidP="00C900F1">
      <w:pPr>
        <w:pStyle w:val="ParaNum"/>
        <w:numPr>
          <w:ilvl w:val="0"/>
          <w:numId w:val="0"/>
        </w:numPr>
        <w:tabs>
          <w:tab w:val="clear" w:pos="1440"/>
        </w:tabs>
        <w:ind w:left="720" w:firstLine="360"/>
      </w:pPr>
      <w:r>
        <w:t xml:space="preserve">“(s) </w:t>
      </w:r>
      <w:r w:rsidRPr="00A32859">
        <w:rPr>
          <w:i/>
        </w:rPr>
        <w:t>Compliance date(s).</w:t>
      </w:r>
      <w:r w:rsidRPr="00A32859">
        <w:t xml:space="preserve"> Paragraphs (i)(2)(ii)(C) and (D), (i)(4)(v), (j)(4), and (q)(10)(v) of this section contain information-collection and recordkeeping requirements. Compliance with paragraphs (i)(2)(ii)(C) and (D), (i)(4)(v), (j)(4), and (q)(10)(v) will not be required until after approval by the Office of Management and Budget. The Commission will publish a document in the Federal Register announcing compliance dates with those paragraphs and revising this paragraph (s) accordingly.</w:t>
      </w:r>
    </w:p>
    <w:p w:rsidR="00BF0D0A" w:rsidRPr="00A32859" w:rsidP="00C900F1">
      <w:pPr>
        <w:pStyle w:val="ParaNum"/>
        <w:tabs>
          <w:tab w:val="clear" w:pos="1440"/>
        </w:tabs>
      </w:pPr>
      <w:r w:rsidRPr="00A32859">
        <w:t xml:space="preserve">In </w:t>
      </w:r>
      <w:r w:rsidRPr="00A32859">
        <w:rPr>
          <w:b/>
        </w:rPr>
        <w:t>A</w:t>
      </w:r>
      <w:r w:rsidRPr="00C900F1">
        <w:rPr>
          <w:rFonts w:ascii="Times New Roman Bold" w:hAnsi="Times New Roman Bold"/>
          <w:b/>
          <w:caps/>
        </w:rPr>
        <w:t>ppendix</w:t>
      </w:r>
      <w:r w:rsidRPr="00A32859">
        <w:rPr>
          <w:b/>
        </w:rPr>
        <w:t xml:space="preserve"> B</w:t>
      </w:r>
      <w:r w:rsidRPr="00AD1B9A" w:rsidR="004A606D">
        <w:t>,</w:t>
      </w:r>
      <w:r w:rsidRPr="00A32859">
        <w:t xml:space="preserve"> </w:t>
      </w:r>
      <w:r w:rsidR="00AE6204">
        <w:t xml:space="preserve">the amendatory language in </w:t>
      </w:r>
      <w:r w:rsidRPr="00A32859">
        <w:t xml:space="preserve">paragraph 2 </w:t>
      </w:r>
      <w:r w:rsidR="004A606D">
        <w:t xml:space="preserve">is </w:t>
      </w:r>
      <w:r w:rsidRPr="00A32859" w:rsidR="004A606D">
        <w:t>correct</w:t>
      </w:r>
      <w:r w:rsidR="004A606D">
        <w:t>ed</w:t>
      </w:r>
      <w:r w:rsidRPr="00A32859" w:rsidR="004A606D">
        <w:t xml:space="preserve"> </w:t>
      </w:r>
      <w:r w:rsidRPr="00A32859">
        <w:t>to read as follows:</w:t>
      </w:r>
    </w:p>
    <w:p w:rsidR="00BF0D0A" w:rsidRPr="00A32859" w:rsidP="00AE6204">
      <w:pPr>
        <w:pStyle w:val="ParaNum"/>
        <w:numPr>
          <w:ilvl w:val="0"/>
          <w:numId w:val="0"/>
        </w:numPr>
        <w:ind w:left="720" w:firstLine="360"/>
      </w:pPr>
      <w:r w:rsidRPr="00A32859">
        <w:t>“</w:t>
      </w:r>
      <w:r w:rsidR="004A606D">
        <w:t>2.</w:t>
      </w:r>
      <w:r w:rsidR="004A606D">
        <w:tab/>
      </w:r>
      <w:r w:rsidRPr="00A32859">
        <w:rPr>
          <w:szCs w:val="24"/>
        </w:rPr>
        <w:t>Section 9.10 is amended by revising paragraphs (i)(2)(ii)(C)(</w:t>
      </w:r>
      <w:r w:rsidRPr="00A32859">
        <w:rPr>
          <w:i/>
          <w:szCs w:val="24"/>
        </w:rPr>
        <w:t>1</w:t>
      </w:r>
      <w:r w:rsidRPr="00A32859">
        <w:rPr>
          <w:szCs w:val="24"/>
        </w:rPr>
        <w:t>) and (</w:t>
      </w:r>
      <w:r w:rsidRPr="00A32859">
        <w:rPr>
          <w:i/>
          <w:szCs w:val="24"/>
        </w:rPr>
        <w:t>2</w:t>
      </w:r>
      <w:r w:rsidRPr="00A32859">
        <w:rPr>
          <w:szCs w:val="24"/>
        </w:rPr>
        <w:t>) and (i)(2)(ii)(D)(</w:t>
      </w:r>
      <w:r w:rsidRPr="00A32859">
        <w:rPr>
          <w:i/>
          <w:szCs w:val="24"/>
        </w:rPr>
        <w:t>1</w:t>
      </w:r>
      <w:r w:rsidRPr="00A32859">
        <w:rPr>
          <w:szCs w:val="24"/>
        </w:rPr>
        <w:t>) and (</w:t>
      </w:r>
      <w:r w:rsidRPr="00A32859">
        <w:rPr>
          <w:i/>
          <w:szCs w:val="24"/>
        </w:rPr>
        <w:t>2</w:t>
      </w:r>
      <w:r w:rsidRPr="00A32859">
        <w:rPr>
          <w:szCs w:val="24"/>
        </w:rPr>
        <w:t>) to read as follows</w:t>
      </w:r>
      <w:r w:rsidRPr="00A32859">
        <w:t>:”</w:t>
      </w:r>
    </w:p>
    <w:p w:rsidR="00E94FC9" w:rsidRPr="00A32859" w:rsidP="00D96932">
      <w:pPr>
        <w:pStyle w:val="ParaNum"/>
        <w:keepNext/>
        <w:widowControl/>
        <w:numPr>
          <w:ilvl w:val="0"/>
          <w:numId w:val="0"/>
        </w:numPr>
        <w:spacing w:after="0"/>
        <w:rPr>
          <w:szCs w:val="22"/>
        </w:rPr>
      </w:pPr>
    </w:p>
    <w:p w:rsidR="00F306CF" w:rsidRPr="00A32859" w:rsidP="00CF7539">
      <w:pPr>
        <w:keepNext/>
        <w:widowControl/>
      </w:pPr>
      <w:r w:rsidRPr="00A32859">
        <w:tab/>
      </w:r>
      <w:r w:rsidRPr="00A32859">
        <w:tab/>
      </w:r>
      <w:r w:rsidRPr="00A32859">
        <w:tab/>
      </w:r>
      <w:r w:rsidRPr="00A32859">
        <w:tab/>
      </w:r>
      <w:r w:rsidRPr="00A32859">
        <w:tab/>
      </w:r>
      <w:r w:rsidRPr="00A32859">
        <w:tab/>
        <w:t>FEDERAL COMMUNICATIONS COMMISSION</w:t>
      </w:r>
    </w:p>
    <w:p w:rsidR="00F306CF" w:rsidRPr="00A32859" w:rsidP="00CF7539">
      <w:pPr>
        <w:keepNext/>
        <w:widowControl/>
      </w:pPr>
    </w:p>
    <w:p w:rsidR="00F306CF" w:rsidRPr="00A32859" w:rsidP="00CF7539">
      <w:pPr>
        <w:keepNext/>
        <w:widowControl/>
      </w:pPr>
    </w:p>
    <w:p w:rsidR="00F306CF" w:rsidRPr="00A32859" w:rsidP="00CF7539">
      <w:pPr>
        <w:keepNext/>
        <w:widowControl/>
      </w:pPr>
    </w:p>
    <w:p w:rsidR="0048313B" w:rsidRPr="00A32859" w:rsidP="00CF7539">
      <w:pPr>
        <w:keepNext/>
        <w:widowControl/>
      </w:pPr>
    </w:p>
    <w:p w:rsidR="005B1403" w:rsidRPr="00A32859" w:rsidP="005B1403">
      <w:pPr>
        <w:keepNext/>
        <w:widowControl/>
      </w:pPr>
      <w:r w:rsidRPr="00A32859">
        <w:tab/>
      </w:r>
      <w:r w:rsidRPr="00A32859">
        <w:tab/>
      </w:r>
      <w:r w:rsidRPr="00A32859">
        <w:tab/>
      </w:r>
      <w:r w:rsidRPr="00A32859">
        <w:tab/>
      </w:r>
      <w:r w:rsidRPr="00A32859">
        <w:tab/>
      </w:r>
      <w:r w:rsidRPr="00A32859" w:rsidR="00FE4A85">
        <w:tab/>
      </w:r>
      <w:r w:rsidRPr="00A32859">
        <w:t>Lisa M. Fowlkes</w:t>
      </w:r>
    </w:p>
    <w:p w:rsidR="005B1403" w:rsidRPr="00A32859" w:rsidP="005B1403">
      <w:pPr>
        <w:keepNext/>
        <w:widowControl/>
      </w:pPr>
      <w:r w:rsidRPr="00A32859">
        <w:tab/>
      </w:r>
      <w:r w:rsidRPr="00A32859">
        <w:tab/>
      </w:r>
      <w:r w:rsidRPr="00A32859">
        <w:tab/>
      </w:r>
      <w:r w:rsidRPr="00A32859">
        <w:tab/>
      </w:r>
      <w:r w:rsidRPr="00A32859">
        <w:tab/>
      </w:r>
      <w:r w:rsidRPr="00A32859">
        <w:tab/>
        <w:t>Chief, Public Safety and Homeland Security Bureau</w:t>
      </w:r>
    </w:p>
    <w:p w:rsidR="005B1403" w:rsidRPr="00A32859" w:rsidP="005B1403">
      <w:pPr>
        <w:keepNext/>
        <w:widowControl/>
      </w:pPr>
    </w:p>
    <w:p w:rsidR="005B1403" w:rsidRPr="00A32859" w:rsidP="005B1403">
      <w:pPr>
        <w:keepNext/>
        <w:widowControl/>
      </w:pPr>
    </w:p>
    <w:p w:rsidR="005B1403" w:rsidRPr="00A32859" w:rsidP="005B1403">
      <w:pPr>
        <w:keepNext/>
        <w:widowControl/>
      </w:pPr>
    </w:p>
    <w:p w:rsidR="005B1403" w:rsidRPr="00A32859" w:rsidP="005B1403">
      <w:pPr>
        <w:keepNext/>
        <w:widowControl/>
      </w:pPr>
    </w:p>
    <w:p w:rsidR="005B1403" w:rsidRPr="00A32859" w:rsidP="005B1403">
      <w:pPr>
        <w:keepNext/>
        <w:widowControl/>
      </w:pPr>
      <w:r w:rsidRPr="00A32859">
        <w:tab/>
      </w:r>
      <w:r w:rsidRPr="00A32859">
        <w:tab/>
      </w:r>
      <w:r w:rsidRPr="00A32859">
        <w:tab/>
      </w:r>
      <w:r w:rsidRPr="00A32859">
        <w:tab/>
      </w:r>
      <w:r w:rsidRPr="00A32859">
        <w:tab/>
      </w:r>
      <w:r w:rsidRPr="00A32859">
        <w:tab/>
        <w:t xml:space="preserve">Mark Stephens </w:t>
      </w:r>
    </w:p>
    <w:p w:rsidR="005B1403" w:rsidRPr="00A32859" w:rsidP="00BF0D0A">
      <w:r w:rsidRPr="00A32859">
        <w:tab/>
      </w:r>
      <w:r w:rsidRPr="00A32859">
        <w:tab/>
      </w:r>
      <w:r w:rsidRPr="00A32859">
        <w:tab/>
      </w:r>
      <w:r w:rsidRPr="00A32859">
        <w:tab/>
      </w:r>
      <w:r w:rsidRPr="00A32859">
        <w:tab/>
      </w:r>
      <w:r w:rsidRPr="00A32859">
        <w:tab/>
        <w:t>Managing Director</w:t>
      </w:r>
    </w:p>
    <w:p w:rsidR="00F306CF" w:rsidRPr="00A32859" w:rsidP="00F7639D">
      <w:pPr>
        <w:keepNext/>
        <w:widowControl/>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1C84">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E64DAB">
      <w:tab/>
      <w:t>Federal Communications Commission</w:t>
    </w:r>
    <w:r w:rsidR="00E64D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F031C"/>
    <w:multiLevelType w:val="hybridMultilevel"/>
    <w:tmpl w:val="1116E8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4B3486E"/>
    <w:multiLevelType w:val="hybridMultilevel"/>
    <w:tmpl w:val="E0E0B6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591C3F"/>
    <w:multiLevelType w:val="hybridMultilevel"/>
    <w:tmpl w:val="9A4260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643D32"/>
    <w:multiLevelType w:val="hybridMultilevel"/>
    <w:tmpl w:val="AF3E7B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B534C8"/>
    <w:multiLevelType w:val="hybridMultilevel"/>
    <w:tmpl w:val="3ABCA7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CA338F"/>
    <w:multiLevelType w:val="hybridMultilevel"/>
    <w:tmpl w:val="722EC7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0B67E65"/>
    <w:multiLevelType w:val="hybridMultilevel"/>
    <w:tmpl w:val="73DAE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48225B1"/>
    <w:multiLevelType w:val="hybridMultilevel"/>
    <w:tmpl w:val="616E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4FD4F63"/>
    <w:multiLevelType w:val="hybridMultilevel"/>
    <w:tmpl w:val="A49EAE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B6D4FCF"/>
    <w:multiLevelType w:val="hybridMultilevel"/>
    <w:tmpl w:val="DB6672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CD66D1"/>
    <w:multiLevelType w:val="hybridMultilevel"/>
    <w:tmpl w:val="714606A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2120AB"/>
    <w:multiLevelType w:val="hybridMultilevel"/>
    <w:tmpl w:val="FDB46D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D055182"/>
    <w:multiLevelType w:val="hybridMultilevel"/>
    <w:tmpl w:val="61C65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F7B34B1"/>
    <w:multiLevelType w:val="hybridMultilevel"/>
    <w:tmpl w:val="757EF9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1182925"/>
    <w:multiLevelType w:val="singleLevel"/>
    <w:tmpl w:val="AD063140"/>
    <w:lvl w:ilvl="0">
      <w:start w:val="1"/>
      <w:numFmt w:val="decimal"/>
      <w:pStyle w:val="ParaNum"/>
      <w:lvlText w:val="%1."/>
      <w:lvlJc w:val="left"/>
      <w:pPr>
        <w:tabs>
          <w:tab w:val="num" w:pos="720"/>
        </w:tabs>
        <w:ind w:left="0" w:firstLine="360"/>
      </w:pPr>
      <w:rPr>
        <w:rFonts w:ascii="Times New Roman" w:eastAsia="Times New Roman" w:hAnsi="Times New Roman" w:cs="Times New Roman" w:hint="default"/>
      </w:rPr>
    </w:lvl>
  </w:abstractNum>
  <w:abstractNum w:abstractNumId="20">
    <w:nsid w:val="76975343"/>
    <w:multiLevelType w:val="hybridMultilevel"/>
    <w:tmpl w:val="F63CDC6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19"/>
  </w:num>
  <w:num w:numId="3">
    <w:abstractNumId w:val="8"/>
  </w:num>
  <w:num w:numId="4">
    <w:abstractNumId w:val="15"/>
  </w:num>
  <w:num w:numId="5">
    <w:abstractNumId w:val="7"/>
  </w:num>
  <w:num w:numId="6">
    <w:abstractNumId w:val="0"/>
  </w:num>
  <w:num w:numId="7">
    <w:abstractNumId w:val="21"/>
  </w:num>
  <w:num w:numId="8">
    <w:abstractNumId w:val="10"/>
  </w:num>
  <w:num w:numId="9">
    <w:abstractNumId w:val="1"/>
  </w:num>
  <w:num w:numId="10">
    <w:abstractNumId w:val="11"/>
  </w:num>
  <w:num w:numId="11">
    <w:abstractNumId w:val="20"/>
  </w:num>
  <w:num w:numId="12">
    <w:abstractNumId w:val="12"/>
  </w:num>
  <w:num w:numId="13">
    <w:abstractNumId w:val="17"/>
  </w:num>
  <w:num w:numId="14">
    <w:abstractNumId w:val="4"/>
  </w:num>
  <w:num w:numId="15">
    <w:abstractNumId w:val="18"/>
  </w:num>
  <w:num w:numId="16">
    <w:abstractNumId w:val="9"/>
  </w:num>
  <w:num w:numId="17">
    <w:abstractNumId w:val="13"/>
  </w:num>
  <w:num w:numId="18">
    <w:abstractNumId w:val="2"/>
  </w:num>
  <w:num w:numId="19">
    <w:abstractNumId w:val="16"/>
  </w:num>
  <w:num w:numId="20">
    <w:abstractNumId w:val="3"/>
  </w:num>
  <w:num w:numId="21">
    <w:abstractNumId w:val="14"/>
  </w:num>
  <w:num w:numId="22">
    <w:abstractNumId w:val="19"/>
  </w:num>
  <w:num w:numId="23">
    <w:abstractNumId w:val="19"/>
  </w:num>
  <w:num w:numId="24">
    <w:abstractNumId w:val="5"/>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F"/>
    <w:rsid w:val="00007527"/>
    <w:rsid w:val="0000786D"/>
    <w:rsid w:val="00022D9D"/>
    <w:rsid w:val="00036039"/>
    <w:rsid w:val="000363E7"/>
    <w:rsid w:val="00037F90"/>
    <w:rsid w:val="00043C8B"/>
    <w:rsid w:val="0005561E"/>
    <w:rsid w:val="0006259D"/>
    <w:rsid w:val="00067034"/>
    <w:rsid w:val="0007193B"/>
    <w:rsid w:val="00074B78"/>
    <w:rsid w:val="000875BF"/>
    <w:rsid w:val="00096D8C"/>
    <w:rsid w:val="000A4804"/>
    <w:rsid w:val="000C0B65"/>
    <w:rsid w:val="000C30F1"/>
    <w:rsid w:val="000E05FE"/>
    <w:rsid w:val="000E3D42"/>
    <w:rsid w:val="00115480"/>
    <w:rsid w:val="00122BD5"/>
    <w:rsid w:val="0012400D"/>
    <w:rsid w:val="00133F79"/>
    <w:rsid w:val="00141C78"/>
    <w:rsid w:val="00147906"/>
    <w:rsid w:val="0017397A"/>
    <w:rsid w:val="00194A66"/>
    <w:rsid w:val="001B2E1C"/>
    <w:rsid w:val="001C0363"/>
    <w:rsid w:val="001C59DD"/>
    <w:rsid w:val="001D52BF"/>
    <w:rsid w:val="001D5DDE"/>
    <w:rsid w:val="001D6BCF"/>
    <w:rsid w:val="001E01CA"/>
    <w:rsid w:val="001E264F"/>
    <w:rsid w:val="00201697"/>
    <w:rsid w:val="00204617"/>
    <w:rsid w:val="00210053"/>
    <w:rsid w:val="00226A21"/>
    <w:rsid w:val="002409B9"/>
    <w:rsid w:val="002513EC"/>
    <w:rsid w:val="0025209C"/>
    <w:rsid w:val="002651C1"/>
    <w:rsid w:val="00275CF5"/>
    <w:rsid w:val="0028301F"/>
    <w:rsid w:val="00285017"/>
    <w:rsid w:val="002917C1"/>
    <w:rsid w:val="002A2D2E"/>
    <w:rsid w:val="002A7046"/>
    <w:rsid w:val="002B2C4C"/>
    <w:rsid w:val="002C00E8"/>
    <w:rsid w:val="002D1C84"/>
    <w:rsid w:val="002E311D"/>
    <w:rsid w:val="002E6502"/>
    <w:rsid w:val="0031036E"/>
    <w:rsid w:val="00311988"/>
    <w:rsid w:val="00330AF3"/>
    <w:rsid w:val="00343749"/>
    <w:rsid w:val="0034521C"/>
    <w:rsid w:val="00350454"/>
    <w:rsid w:val="00351A2D"/>
    <w:rsid w:val="00352142"/>
    <w:rsid w:val="003535E0"/>
    <w:rsid w:val="003660ED"/>
    <w:rsid w:val="00366100"/>
    <w:rsid w:val="0037017B"/>
    <w:rsid w:val="00375334"/>
    <w:rsid w:val="0037547E"/>
    <w:rsid w:val="0038058A"/>
    <w:rsid w:val="003A1528"/>
    <w:rsid w:val="003B0550"/>
    <w:rsid w:val="003B2F28"/>
    <w:rsid w:val="003B3D9E"/>
    <w:rsid w:val="003B694F"/>
    <w:rsid w:val="003C2D0F"/>
    <w:rsid w:val="003E6916"/>
    <w:rsid w:val="003E765A"/>
    <w:rsid w:val="003F171C"/>
    <w:rsid w:val="004121D5"/>
    <w:rsid w:val="00412FC5"/>
    <w:rsid w:val="00422276"/>
    <w:rsid w:val="004242F1"/>
    <w:rsid w:val="00435E55"/>
    <w:rsid w:val="004412B4"/>
    <w:rsid w:val="00445A00"/>
    <w:rsid w:val="00451B0F"/>
    <w:rsid w:val="00455324"/>
    <w:rsid w:val="004560F4"/>
    <w:rsid w:val="004567B2"/>
    <w:rsid w:val="00460363"/>
    <w:rsid w:val="00463031"/>
    <w:rsid w:val="00466E0C"/>
    <w:rsid w:val="00470DE8"/>
    <w:rsid w:val="00471EBD"/>
    <w:rsid w:val="00477A89"/>
    <w:rsid w:val="0048313B"/>
    <w:rsid w:val="004A606D"/>
    <w:rsid w:val="004C2EE3"/>
    <w:rsid w:val="004C4BEC"/>
    <w:rsid w:val="004D3076"/>
    <w:rsid w:val="004E0DB6"/>
    <w:rsid w:val="004E284B"/>
    <w:rsid w:val="004E4A22"/>
    <w:rsid w:val="005070A7"/>
    <w:rsid w:val="00511968"/>
    <w:rsid w:val="00517DC8"/>
    <w:rsid w:val="0052520F"/>
    <w:rsid w:val="00525CF3"/>
    <w:rsid w:val="00533741"/>
    <w:rsid w:val="005448DB"/>
    <w:rsid w:val="00544C08"/>
    <w:rsid w:val="005506EE"/>
    <w:rsid w:val="00551F3B"/>
    <w:rsid w:val="0055614C"/>
    <w:rsid w:val="0056210C"/>
    <w:rsid w:val="00566D06"/>
    <w:rsid w:val="00570E57"/>
    <w:rsid w:val="005716B1"/>
    <w:rsid w:val="00590892"/>
    <w:rsid w:val="005954F2"/>
    <w:rsid w:val="005A06E6"/>
    <w:rsid w:val="005A252A"/>
    <w:rsid w:val="005B1403"/>
    <w:rsid w:val="005C088F"/>
    <w:rsid w:val="005C4F34"/>
    <w:rsid w:val="005C7405"/>
    <w:rsid w:val="005D2D80"/>
    <w:rsid w:val="005E14C2"/>
    <w:rsid w:val="005E64E3"/>
    <w:rsid w:val="005F46DC"/>
    <w:rsid w:val="00607BA5"/>
    <w:rsid w:val="0061180A"/>
    <w:rsid w:val="0061371D"/>
    <w:rsid w:val="00617B36"/>
    <w:rsid w:val="00626EB6"/>
    <w:rsid w:val="00641B76"/>
    <w:rsid w:val="00641C94"/>
    <w:rsid w:val="006429C5"/>
    <w:rsid w:val="00652BAD"/>
    <w:rsid w:val="00655D03"/>
    <w:rsid w:val="00664AD9"/>
    <w:rsid w:val="00670D33"/>
    <w:rsid w:val="00673DE8"/>
    <w:rsid w:val="00675E56"/>
    <w:rsid w:val="0068143A"/>
    <w:rsid w:val="006831AB"/>
    <w:rsid w:val="00683388"/>
    <w:rsid w:val="00683F84"/>
    <w:rsid w:val="006A3772"/>
    <w:rsid w:val="006A6A81"/>
    <w:rsid w:val="006C6A7D"/>
    <w:rsid w:val="006E3A69"/>
    <w:rsid w:val="006F1B55"/>
    <w:rsid w:val="006F7393"/>
    <w:rsid w:val="0070224F"/>
    <w:rsid w:val="00710D2D"/>
    <w:rsid w:val="007115F7"/>
    <w:rsid w:val="007172DD"/>
    <w:rsid w:val="007220D4"/>
    <w:rsid w:val="00722322"/>
    <w:rsid w:val="0072775B"/>
    <w:rsid w:val="00731438"/>
    <w:rsid w:val="007331C2"/>
    <w:rsid w:val="00736570"/>
    <w:rsid w:val="00751742"/>
    <w:rsid w:val="00754046"/>
    <w:rsid w:val="007565D3"/>
    <w:rsid w:val="00757408"/>
    <w:rsid w:val="00765D1F"/>
    <w:rsid w:val="00777379"/>
    <w:rsid w:val="00785689"/>
    <w:rsid w:val="007865C9"/>
    <w:rsid w:val="00797192"/>
    <w:rsid w:val="0079754B"/>
    <w:rsid w:val="007A1E6D"/>
    <w:rsid w:val="007A31B0"/>
    <w:rsid w:val="007B0EB2"/>
    <w:rsid w:val="007E1D05"/>
    <w:rsid w:val="007F6CC9"/>
    <w:rsid w:val="00810B6F"/>
    <w:rsid w:val="00811C37"/>
    <w:rsid w:val="00817EA4"/>
    <w:rsid w:val="008219A9"/>
    <w:rsid w:val="00822CE0"/>
    <w:rsid w:val="00841AB1"/>
    <w:rsid w:val="00862BB0"/>
    <w:rsid w:val="0086333C"/>
    <w:rsid w:val="00876E89"/>
    <w:rsid w:val="008823E1"/>
    <w:rsid w:val="008934EB"/>
    <w:rsid w:val="00896264"/>
    <w:rsid w:val="008A04F7"/>
    <w:rsid w:val="008B2378"/>
    <w:rsid w:val="008B38CC"/>
    <w:rsid w:val="008C1149"/>
    <w:rsid w:val="008C3B45"/>
    <w:rsid w:val="008C43BC"/>
    <w:rsid w:val="008C517B"/>
    <w:rsid w:val="008C534D"/>
    <w:rsid w:val="008C68F1"/>
    <w:rsid w:val="008F3C79"/>
    <w:rsid w:val="00921803"/>
    <w:rsid w:val="00924525"/>
    <w:rsid w:val="00926503"/>
    <w:rsid w:val="00934FE0"/>
    <w:rsid w:val="009648F9"/>
    <w:rsid w:val="009726D8"/>
    <w:rsid w:val="0099347E"/>
    <w:rsid w:val="0099615C"/>
    <w:rsid w:val="009C1E4E"/>
    <w:rsid w:val="009C2F65"/>
    <w:rsid w:val="009D7308"/>
    <w:rsid w:val="009E72B4"/>
    <w:rsid w:val="009F4D20"/>
    <w:rsid w:val="009F5C68"/>
    <w:rsid w:val="009F6508"/>
    <w:rsid w:val="009F76DB"/>
    <w:rsid w:val="00A10D7D"/>
    <w:rsid w:val="00A11924"/>
    <w:rsid w:val="00A13654"/>
    <w:rsid w:val="00A304C5"/>
    <w:rsid w:val="00A30A35"/>
    <w:rsid w:val="00A32859"/>
    <w:rsid w:val="00A32C3B"/>
    <w:rsid w:val="00A45F4F"/>
    <w:rsid w:val="00A46CB3"/>
    <w:rsid w:val="00A600A9"/>
    <w:rsid w:val="00A60414"/>
    <w:rsid w:val="00A63EC0"/>
    <w:rsid w:val="00AA55B7"/>
    <w:rsid w:val="00AA5B9E"/>
    <w:rsid w:val="00AB2407"/>
    <w:rsid w:val="00AB53DF"/>
    <w:rsid w:val="00AB562E"/>
    <w:rsid w:val="00AD1B9A"/>
    <w:rsid w:val="00AD4B02"/>
    <w:rsid w:val="00AD6766"/>
    <w:rsid w:val="00AE097F"/>
    <w:rsid w:val="00AE6204"/>
    <w:rsid w:val="00B01FE8"/>
    <w:rsid w:val="00B07E5C"/>
    <w:rsid w:val="00B130EC"/>
    <w:rsid w:val="00B13237"/>
    <w:rsid w:val="00B2215A"/>
    <w:rsid w:val="00B271C3"/>
    <w:rsid w:val="00B458D8"/>
    <w:rsid w:val="00B6160F"/>
    <w:rsid w:val="00B75B66"/>
    <w:rsid w:val="00B811F7"/>
    <w:rsid w:val="00B9476D"/>
    <w:rsid w:val="00B9498E"/>
    <w:rsid w:val="00BA5DC6"/>
    <w:rsid w:val="00BA6196"/>
    <w:rsid w:val="00BB7CAF"/>
    <w:rsid w:val="00BC2CE7"/>
    <w:rsid w:val="00BC6D8C"/>
    <w:rsid w:val="00BF0D0A"/>
    <w:rsid w:val="00C008F9"/>
    <w:rsid w:val="00C05BA6"/>
    <w:rsid w:val="00C11B18"/>
    <w:rsid w:val="00C143E0"/>
    <w:rsid w:val="00C17CC2"/>
    <w:rsid w:val="00C22835"/>
    <w:rsid w:val="00C242A4"/>
    <w:rsid w:val="00C2501C"/>
    <w:rsid w:val="00C27B32"/>
    <w:rsid w:val="00C34006"/>
    <w:rsid w:val="00C36B4C"/>
    <w:rsid w:val="00C426B1"/>
    <w:rsid w:val="00C43FBB"/>
    <w:rsid w:val="00C4691A"/>
    <w:rsid w:val="00C520B1"/>
    <w:rsid w:val="00C54F82"/>
    <w:rsid w:val="00C637C5"/>
    <w:rsid w:val="00C66160"/>
    <w:rsid w:val="00C721AC"/>
    <w:rsid w:val="00C7691E"/>
    <w:rsid w:val="00C900F1"/>
    <w:rsid w:val="00C90D6A"/>
    <w:rsid w:val="00CA247E"/>
    <w:rsid w:val="00CA6D21"/>
    <w:rsid w:val="00CB0404"/>
    <w:rsid w:val="00CB0873"/>
    <w:rsid w:val="00CC72B6"/>
    <w:rsid w:val="00CD0E1A"/>
    <w:rsid w:val="00CD627C"/>
    <w:rsid w:val="00CF2D51"/>
    <w:rsid w:val="00CF3C9A"/>
    <w:rsid w:val="00CF6EEE"/>
    <w:rsid w:val="00CF7539"/>
    <w:rsid w:val="00D0218D"/>
    <w:rsid w:val="00D0656F"/>
    <w:rsid w:val="00D17A05"/>
    <w:rsid w:val="00D25FB5"/>
    <w:rsid w:val="00D26D46"/>
    <w:rsid w:val="00D44223"/>
    <w:rsid w:val="00D67FE0"/>
    <w:rsid w:val="00D9257F"/>
    <w:rsid w:val="00D96932"/>
    <w:rsid w:val="00DA2529"/>
    <w:rsid w:val="00DB130A"/>
    <w:rsid w:val="00DB2C5E"/>
    <w:rsid w:val="00DB2EBB"/>
    <w:rsid w:val="00DB62F7"/>
    <w:rsid w:val="00DC10A1"/>
    <w:rsid w:val="00DC655F"/>
    <w:rsid w:val="00DC77A0"/>
    <w:rsid w:val="00DD0B59"/>
    <w:rsid w:val="00DD7EBD"/>
    <w:rsid w:val="00DF3B24"/>
    <w:rsid w:val="00DF62B6"/>
    <w:rsid w:val="00E00D07"/>
    <w:rsid w:val="00E054E7"/>
    <w:rsid w:val="00E05747"/>
    <w:rsid w:val="00E07225"/>
    <w:rsid w:val="00E249AD"/>
    <w:rsid w:val="00E5175C"/>
    <w:rsid w:val="00E5409F"/>
    <w:rsid w:val="00E558D3"/>
    <w:rsid w:val="00E57244"/>
    <w:rsid w:val="00E6112E"/>
    <w:rsid w:val="00E64DAB"/>
    <w:rsid w:val="00E65818"/>
    <w:rsid w:val="00E701D1"/>
    <w:rsid w:val="00E810D1"/>
    <w:rsid w:val="00E81CB1"/>
    <w:rsid w:val="00E86F9D"/>
    <w:rsid w:val="00E918ED"/>
    <w:rsid w:val="00E94FC9"/>
    <w:rsid w:val="00E96A39"/>
    <w:rsid w:val="00EB573A"/>
    <w:rsid w:val="00EB57F8"/>
    <w:rsid w:val="00EE6488"/>
    <w:rsid w:val="00F020BB"/>
    <w:rsid w:val="00F021FA"/>
    <w:rsid w:val="00F1357C"/>
    <w:rsid w:val="00F15D1B"/>
    <w:rsid w:val="00F218E8"/>
    <w:rsid w:val="00F306CF"/>
    <w:rsid w:val="00F40ABC"/>
    <w:rsid w:val="00F4457B"/>
    <w:rsid w:val="00F5503F"/>
    <w:rsid w:val="00F60A6D"/>
    <w:rsid w:val="00F62E97"/>
    <w:rsid w:val="00F63D8E"/>
    <w:rsid w:val="00F64209"/>
    <w:rsid w:val="00F75620"/>
    <w:rsid w:val="00F7639D"/>
    <w:rsid w:val="00F80B55"/>
    <w:rsid w:val="00F87FBF"/>
    <w:rsid w:val="00F908C0"/>
    <w:rsid w:val="00F93BF5"/>
    <w:rsid w:val="00FC08AB"/>
    <w:rsid w:val="00FD01D1"/>
    <w:rsid w:val="00FD5C89"/>
    <w:rsid w:val="00FD7811"/>
    <w:rsid w:val="00FE4A85"/>
    <w:rsid w:val="00FF1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61DE11-0156-413A-85E9-8190D7E0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409B9"/>
    <w:pPr>
      <w:numPr>
        <w:numId w:val="2"/>
      </w:numPr>
      <w:tabs>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Caption">
    <w:name w:val="caption"/>
    <w:basedOn w:val="Normal"/>
    <w:next w:val="Normal"/>
    <w:qFormat/>
    <w:rsid w:val="00F306CF"/>
    <w:pPr>
      <w:widowControl/>
      <w:spacing w:before="120" w:after="120" w:line="276" w:lineRule="auto"/>
    </w:pPr>
    <w:rPr>
      <w:rFonts w:ascii="Calibri" w:eastAsia="Calibri" w:hAnsi="Calibri"/>
      <w:b/>
      <w:snapToGrid/>
      <w:kern w:val="0"/>
      <w:szCs w:val="22"/>
    </w:rPr>
  </w:style>
  <w:style w:type="paragraph" w:styleId="NormalWeb">
    <w:name w:val="Normal (Web)"/>
    <w:basedOn w:val="Normal"/>
    <w:uiPriority w:val="99"/>
    <w:unhideWhenUsed/>
    <w:rsid w:val="00F306CF"/>
    <w:pPr>
      <w:widowControl/>
      <w:spacing w:after="200" w:line="276" w:lineRule="auto"/>
    </w:pPr>
    <w:rPr>
      <w:rFonts w:ascii="Calibri" w:eastAsia="Calibri" w:hAnsi="Calibri"/>
      <w:kern w:val="0"/>
      <w:sz w:val="24"/>
      <w:szCs w:val="24"/>
    </w:rPr>
  </w:style>
  <w:style w:type="character" w:customStyle="1" w:styleId="ParaNumChar">
    <w:name w:val="ParaNum Char"/>
    <w:link w:val="ParaNum"/>
    <w:locked/>
    <w:rsid w:val="002409B9"/>
    <w:rPr>
      <w:snapToGrid w:val="0"/>
      <w:kern w:val="28"/>
      <w:sz w:val="22"/>
    </w:rPr>
  </w:style>
  <w:style w:type="character" w:styleId="CommentReference">
    <w:name w:val="annotation reference"/>
    <w:uiPriority w:val="99"/>
    <w:unhideWhenUsed/>
    <w:rsid w:val="00F306CF"/>
    <w:rPr>
      <w:sz w:val="16"/>
      <w:szCs w:val="16"/>
    </w:rPr>
  </w:style>
  <w:style w:type="paragraph" w:styleId="CommentText">
    <w:name w:val="annotation text"/>
    <w:basedOn w:val="Normal"/>
    <w:link w:val="CommentTextChar"/>
    <w:uiPriority w:val="99"/>
    <w:unhideWhenUsed/>
    <w:rsid w:val="00F306CF"/>
    <w:pPr>
      <w:widowControl/>
      <w:spacing w:after="200" w:line="276" w:lineRule="auto"/>
    </w:pPr>
    <w:rPr>
      <w:rFonts w:ascii="Calibri" w:eastAsia="Calibri" w:hAnsi="Calibri"/>
      <w:snapToGrid/>
      <w:kern w:val="0"/>
      <w:sz w:val="20"/>
      <w:szCs w:val="22"/>
    </w:rPr>
  </w:style>
  <w:style w:type="character" w:customStyle="1" w:styleId="CommentTextChar">
    <w:name w:val="Comment Text Char"/>
    <w:link w:val="CommentText"/>
    <w:uiPriority w:val="99"/>
    <w:rsid w:val="00F306CF"/>
    <w:rPr>
      <w:rFonts w:ascii="Calibri" w:eastAsia="Calibri" w:hAnsi="Calibri"/>
      <w:szCs w:val="22"/>
    </w:rPr>
  </w:style>
  <w:style w:type="paragraph" w:styleId="BalloonText">
    <w:name w:val="Balloon Text"/>
    <w:basedOn w:val="Normal"/>
    <w:link w:val="BalloonTextChar"/>
    <w:rsid w:val="00F306CF"/>
    <w:rPr>
      <w:rFonts w:ascii="Segoe UI" w:hAnsi="Segoe UI" w:cs="Segoe UI"/>
      <w:sz w:val="18"/>
      <w:szCs w:val="18"/>
    </w:rPr>
  </w:style>
  <w:style w:type="character" w:customStyle="1" w:styleId="BalloonTextChar">
    <w:name w:val="Balloon Text Char"/>
    <w:link w:val="BalloonText"/>
    <w:rsid w:val="00F306C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B9498E"/>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B9498E"/>
    <w:rPr>
      <w:rFonts w:ascii="Calibri" w:eastAsia="Calibri" w:hAnsi="Calibri"/>
      <w:b/>
      <w:bCs/>
      <w:snapToGrid w:val="0"/>
      <w:kern w:val="28"/>
      <w:szCs w:val="22"/>
    </w:rPr>
  </w:style>
  <w:style w:type="paragraph" w:styleId="Revision">
    <w:name w:val="Revision"/>
    <w:hidden/>
    <w:uiPriority w:val="99"/>
    <w:semiHidden/>
    <w:rsid w:val="00B9476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