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E502F5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D3180D1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7667923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F27B4D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151203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53A5A" w:rsidRPr="008A3940" w:rsidP="00853A5A" w14:paraId="304E2A89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 Wise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8165</w:t>
            </w:r>
          </w:p>
          <w:p w:rsidR="00853A5A" w:rsidRPr="008A3940" w:rsidP="00853A5A" w14:paraId="41C29EF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janice.wise</w:t>
            </w:r>
            <w:r w:rsidRPr="008A3940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259315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2C7892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BE4E11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A5A" w:rsidRPr="003E703E" w:rsidP="00853A5A" w14:paraId="669B7C2D" w14:textId="4CBC8904">
            <w:pPr>
              <w:tabs>
                <w:tab w:val="left" w:pos="8625"/>
              </w:tabs>
              <w:jc w:val="center"/>
              <w:rPr>
                <w:b/>
                <w:bCs/>
                <w:sz w:val="12"/>
                <w:szCs w:val="12"/>
              </w:rPr>
            </w:pPr>
            <w:r w:rsidRPr="00F90AD1">
              <w:rPr>
                <w:b/>
                <w:sz w:val="26"/>
                <w:szCs w:val="26"/>
              </w:rPr>
              <w:t xml:space="preserve">FCC </w:t>
            </w:r>
            <w:r>
              <w:rPr>
                <w:b/>
                <w:sz w:val="26"/>
                <w:szCs w:val="26"/>
              </w:rPr>
              <w:t>MODERNIZE</w:t>
            </w:r>
            <w:r w:rsidR="003977E4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 xml:space="preserve"> BROADCASTER NOTIFICATION RULES FOR CABLE AND SATELLITE TV PROVIDERS</w:t>
            </w:r>
          </w:p>
          <w:p w:rsidR="00F61155" w:rsidRPr="006B0A70" w:rsidP="00BB4E29" w14:paraId="75F7C83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572D9" w:rsidP="00A572D9" w14:paraId="3DC938E7" w14:textId="5D075369">
            <w:pPr>
              <w:rPr>
                <w:sz w:val="22"/>
                <w:szCs w:val="22"/>
              </w:rPr>
            </w:pPr>
            <w:r w:rsidRPr="009B30C8">
              <w:rPr>
                <w:sz w:val="22"/>
                <w:szCs w:val="22"/>
              </w:rPr>
              <w:t xml:space="preserve">WASHINGTON, </w:t>
            </w:r>
            <w:r w:rsidR="003977E4">
              <w:rPr>
                <w:sz w:val="22"/>
                <w:szCs w:val="22"/>
              </w:rPr>
              <w:t>January 30</w:t>
            </w:r>
            <w:r w:rsidRPr="009B30C8">
              <w:rPr>
                <w:sz w:val="22"/>
                <w:szCs w:val="22"/>
              </w:rPr>
              <w:t xml:space="preserve">, </w:t>
            </w:r>
            <w:r w:rsidRPr="009B30C8" w:rsidR="003977E4">
              <w:rPr>
                <w:sz w:val="22"/>
                <w:szCs w:val="22"/>
              </w:rPr>
              <w:t>20</w:t>
            </w:r>
            <w:r w:rsidR="003977E4">
              <w:rPr>
                <w:sz w:val="22"/>
                <w:szCs w:val="22"/>
              </w:rPr>
              <w:t>20</w:t>
            </w:r>
            <w:r w:rsidRPr="009B30C8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The Federal Communications Commission </w:t>
            </w:r>
            <w:r w:rsidRPr="006F5522">
              <w:rPr>
                <w:sz w:val="22"/>
                <w:szCs w:val="22"/>
              </w:rPr>
              <w:t>today</w:t>
            </w:r>
            <w:r>
              <w:rPr>
                <w:sz w:val="22"/>
                <w:szCs w:val="22"/>
              </w:rPr>
              <w:t xml:space="preserve"> </w:t>
            </w:r>
            <w:r w:rsidR="003A2B5C">
              <w:rPr>
                <w:sz w:val="22"/>
                <w:szCs w:val="22"/>
              </w:rPr>
              <w:t xml:space="preserve">modernized </w:t>
            </w:r>
            <w:r>
              <w:rPr>
                <w:sz w:val="22"/>
                <w:szCs w:val="22"/>
              </w:rPr>
              <w:t>its notification rules for cable and satellite TV providers by transition</w:t>
            </w:r>
            <w:r w:rsidR="005E36C0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</w:t>
            </w:r>
            <w:r w:rsidR="00B32304">
              <w:rPr>
                <w:sz w:val="22"/>
                <w:szCs w:val="22"/>
              </w:rPr>
              <w:t xml:space="preserve">certain </w:t>
            </w:r>
            <w:r>
              <w:rPr>
                <w:sz w:val="22"/>
                <w:szCs w:val="22"/>
              </w:rPr>
              <w:t xml:space="preserve">notices to broadcast TV stations from paper to electronic delivery.  </w:t>
            </w:r>
          </w:p>
          <w:p w:rsidR="00A572D9" w:rsidP="00A572D9" w14:paraId="6B98DC0B" w14:textId="77777777">
            <w:pPr>
              <w:rPr>
                <w:sz w:val="22"/>
                <w:szCs w:val="22"/>
              </w:rPr>
            </w:pPr>
          </w:p>
          <w:p w:rsidR="00A572D9" w:rsidP="00A572D9" w14:paraId="623E81F0" w14:textId="09675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FCC</w:t>
            </w:r>
            <w:r w:rsidR="00410BA8">
              <w:rPr>
                <w:sz w:val="22"/>
                <w:szCs w:val="22"/>
              </w:rPr>
              <w:t xml:space="preserve"> </w:t>
            </w:r>
            <w:r w:rsidR="00166830">
              <w:rPr>
                <w:sz w:val="22"/>
                <w:szCs w:val="22"/>
              </w:rPr>
              <w:t xml:space="preserve">rules require that cable and satellite TV providers </w:t>
            </w:r>
            <w:r w:rsidR="00F33355">
              <w:rPr>
                <w:sz w:val="22"/>
                <w:szCs w:val="22"/>
              </w:rPr>
              <w:t>provide</w:t>
            </w:r>
            <w:r w:rsidR="00B178A1">
              <w:rPr>
                <w:sz w:val="22"/>
                <w:szCs w:val="22"/>
              </w:rPr>
              <w:t xml:space="preserve"> </w:t>
            </w:r>
            <w:r w:rsidR="00166830">
              <w:rPr>
                <w:sz w:val="22"/>
                <w:szCs w:val="22"/>
              </w:rPr>
              <w:t>written notice to local TV stations before taking certain actions.  For example, cable operators</w:t>
            </w:r>
            <w:r w:rsidR="00DE7AF7">
              <w:rPr>
                <w:sz w:val="22"/>
                <w:szCs w:val="22"/>
              </w:rPr>
              <w:t xml:space="preserve"> must</w:t>
            </w:r>
            <w:r w:rsidR="00166830">
              <w:rPr>
                <w:sz w:val="22"/>
                <w:szCs w:val="22"/>
              </w:rPr>
              <w:t xml:space="preserve"> provide notice </w:t>
            </w:r>
            <w:r>
              <w:rPr>
                <w:sz w:val="22"/>
                <w:szCs w:val="22"/>
              </w:rPr>
              <w:t xml:space="preserve">to TV broadcasters </w:t>
            </w:r>
            <w:r w:rsidR="00166830">
              <w:rPr>
                <w:sz w:val="22"/>
                <w:szCs w:val="22"/>
              </w:rPr>
              <w:t xml:space="preserve">before </w:t>
            </w:r>
            <w:r>
              <w:rPr>
                <w:sz w:val="22"/>
                <w:szCs w:val="22"/>
              </w:rPr>
              <w:t xml:space="preserve">launching </w:t>
            </w:r>
            <w:r w:rsidR="00166830">
              <w:rPr>
                <w:sz w:val="22"/>
                <w:szCs w:val="22"/>
              </w:rPr>
              <w:t xml:space="preserve">service in a </w:t>
            </w:r>
            <w:r>
              <w:rPr>
                <w:sz w:val="22"/>
                <w:szCs w:val="22"/>
              </w:rPr>
              <w:t xml:space="preserve">new </w:t>
            </w:r>
            <w:r w:rsidR="00166830">
              <w:rPr>
                <w:sz w:val="22"/>
                <w:szCs w:val="22"/>
              </w:rPr>
              <w:t>market or deleting or repositioning a broadcast station</w:t>
            </w:r>
            <w:r>
              <w:rPr>
                <w:sz w:val="22"/>
                <w:szCs w:val="22"/>
              </w:rPr>
              <w:t xml:space="preserve"> within its channel lineup</w:t>
            </w:r>
            <w:r w:rsidR="00166830">
              <w:rPr>
                <w:sz w:val="22"/>
                <w:szCs w:val="22"/>
              </w:rPr>
              <w:t xml:space="preserve">.  Similarly, satellite providers must give notice prior to retransmitting certain stations </w:t>
            </w:r>
            <w:r w:rsidR="003F47A1">
              <w:rPr>
                <w:sz w:val="22"/>
                <w:szCs w:val="22"/>
              </w:rPr>
              <w:t xml:space="preserve">or </w:t>
            </w:r>
            <w:r w:rsidR="00166830">
              <w:rPr>
                <w:sz w:val="22"/>
                <w:szCs w:val="22"/>
              </w:rPr>
              <w:t xml:space="preserve">launching new services into a market.  </w:t>
            </w:r>
          </w:p>
          <w:p w:rsidR="00A572D9" w:rsidP="00A572D9" w14:paraId="130BBC6A" w14:textId="77777777">
            <w:pPr>
              <w:rPr>
                <w:sz w:val="22"/>
                <w:szCs w:val="22"/>
              </w:rPr>
            </w:pPr>
          </w:p>
          <w:p w:rsidR="00A572D9" w:rsidP="00EF711E" w14:paraId="4447FB62" w14:textId="7260F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new rules adopted today will </w:t>
            </w:r>
            <w:r w:rsidR="004846DC">
              <w:rPr>
                <w:sz w:val="22"/>
                <w:szCs w:val="22"/>
              </w:rPr>
              <w:t xml:space="preserve">require that </w:t>
            </w:r>
            <w:r w:rsidR="00166830">
              <w:rPr>
                <w:sz w:val="22"/>
                <w:szCs w:val="22"/>
              </w:rPr>
              <w:t xml:space="preserve">cable </w:t>
            </w:r>
            <w:r w:rsidR="0058498D">
              <w:rPr>
                <w:sz w:val="22"/>
                <w:szCs w:val="22"/>
              </w:rPr>
              <w:t>and satellite TV providers</w:t>
            </w:r>
            <w:r w:rsidR="00166830">
              <w:rPr>
                <w:sz w:val="22"/>
                <w:szCs w:val="22"/>
              </w:rPr>
              <w:t xml:space="preserve"> </w:t>
            </w:r>
            <w:r w:rsidR="002166B1">
              <w:rPr>
                <w:sz w:val="22"/>
                <w:szCs w:val="22"/>
              </w:rPr>
              <w:t xml:space="preserve">use email to </w:t>
            </w:r>
            <w:r w:rsidR="00D7186C">
              <w:rPr>
                <w:sz w:val="22"/>
                <w:szCs w:val="22"/>
              </w:rPr>
              <w:t>deliver</w:t>
            </w:r>
            <w:r w:rsidR="00567055">
              <w:rPr>
                <w:sz w:val="22"/>
                <w:szCs w:val="22"/>
              </w:rPr>
              <w:t xml:space="preserve"> </w:t>
            </w:r>
            <w:r w:rsidR="00135A3F">
              <w:rPr>
                <w:sz w:val="22"/>
                <w:szCs w:val="22"/>
              </w:rPr>
              <w:t xml:space="preserve">covered </w:t>
            </w:r>
            <w:r w:rsidR="00567055">
              <w:rPr>
                <w:sz w:val="22"/>
                <w:szCs w:val="22"/>
              </w:rPr>
              <w:t>notice</w:t>
            </w:r>
            <w:r w:rsidR="00D7186C">
              <w:rPr>
                <w:sz w:val="22"/>
                <w:szCs w:val="22"/>
              </w:rPr>
              <w:t>s</w:t>
            </w:r>
            <w:r w:rsidR="0058498D">
              <w:rPr>
                <w:sz w:val="22"/>
                <w:szCs w:val="22"/>
              </w:rPr>
              <w:t xml:space="preserve"> </w:t>
            </w:r>
            <w:r w:rsidR="00166830">
              <w:rPr>
                <w:sz w:val="22"/>
                <w:szCs w:val="22"/>
              </w:rPr>
              <w:t xml:space="preserve">to </w:t>
            </w:r>
            <w:r w:rsidR="00C96CA8">
              <w:rPr>
                <w:sz w:val="22"/>
                <w:szCs w:val="22"/>
              </w:rPr>
              <w:t>local</w:t>
            </w:r>
            <w:r w:rsidR="00567055">
              <w:rPr>
                <w:sz w:val="22"/>
                <w:szCs w:val="22"/>
              </w:rPr>
              <w:t xml:space="preserve"> </w:t>
            </w:r>
            <w:r w:rsidR="00166830">
              <w:rPr>
                <w:sz w:val="22"/>
                <w:szCs w:val="22"/>
              </w:rPr>
              <w:t>TV station</w:t>
            </w:r>
            <w:r w:rsidR="0058498D">
              <w:rPr>
                <w:sz w:val="22"/>
                <w:szCs w:val="22"/>
              </w:rPr>
              <w:t>s</w:t>
            </w:r>
            <w:r w:rsidR="00006942">
              <w:rPr>
                <w:sz w:val="22"/>
                <w:szCs w:val="22"/>
              </w:rPr>
              <w:t>—consistent with recent updates to the FCC’s carriage election notice rules</w:t>
            </w:r>
            <w:r w:rsidR="00194450">
              <w:rPr>
                <w:sz w:val="22"/>
                <w:szCs w:val="22"/>
              </w:rPr>
              <w:t xml:space="preserve">.  For stations that maintain an online public inspection file, notices will be </w:t>
            </w:r>
            <w:r w:rsidR="00FC0CC9">
              <w:rPr>
                <w:sz w:val="22"/>
                <w:szCs w:val="22"/>
              </w:rPr>
              <w:t>emailed</w:t>
            </w:r>
            <w:r w:rsidR="00194450">
              <w:rPr>
                <w:sz w:val="22"/>
                <w:szCs w:val="22"/>
              </w:rPr>
              <w:t xml:space="preserve"> to the same inbox that the station uses for </w:t>
            </w:r>
            <w:r w:rsidR="001A3C91">
              <w:rPr>
                <w:sz w:val="22"/>
                <w:szCs w:val="22"/>
              </w:rPr>
              <w:t xml:space="preserve">communications relating to its election of must carry/retransmission consent status.  </w:t>
            </w:r>
            <w:r w:rsidR="00FC0CC9">
              <w:rPr>
                <w:sz w:val="22"/>
                <w:szCs w:val="22"/>
              </w:rPr>
              <w:t xml:space="preserve">Stations that are not required to maintain </w:t>
            </w:r>
            <w:r w:rsidR="00006942">
              <w:rPr>
                <w:sz w:val="22"/>
                <w:szCs w:val="22"/>
              </w:rPr>
              <w:t xml:space="preserve">such public files </w:t>
            </w:r>
            <w:r w:rsidR="00C34BE7">
              <w:rPr>
                <w:sz w:val="22"/>
                <w:szCs w:val="22"/>
              </w:rPr>
              <w:t xml:space="preserve">will receive notices </w:t>
            </w:r>
            <w:r w:rsidR="00E21A5B">
              <w:rPr>
                <w:sz w:val="22"/>
                <w:szCs w:val="22"/>
              </w:rPr>
              <w:t xml:space="preserve">at the </w:t>
            </w:r>
            <w:r w:rsidR="00366F24">
              <w:rPr>
                <w:sz w:val="22"/>
                <w:szCs w:val="22"/>
              </w:rPr>
              <w:t xml:space="preserve">general </w:t>
            </w:r>
            <w:r w:rsidR="00E21A5B">
              <w:rPr>
                <w:sz w:val="22"/>
                <w:szCs w:val="22"/>
              </w:rPr>
              <w:t xml:space="preserve">email address </w:t>
            </w:r>
            <w:r w:rsidR="00F204C8">
              <w:rPr>
                <w:sz w:val="22"/>
                <w:szCs w:val="22"/>
              </w:rPr>
              <w:t>already</w:t>
            </w:r>
            <w:r w:rsidR="00C7685B">
              <w:rPr>
                <w:sz w:val="22"/>
                <w:szCs w:val="22"/>
              </w:rPr>
              <w:t xml:space="preserve"> provide</w:t>
            </w:r>
            <w:r w:rsidR="000D2067">
              <w:rPr>
                <w:sz w:val="22"/>
                <w:szCs w:val="22"/>
              </w:rPr>
              <w:t>d</w:t>
            </w:r>
            <w:r w:rsidR="00E21A5B">
              <w:rPr>
                <w:sz w:val="22"/>
                <w:szCs w:val="22"/>
              </w:rPr>
              <w:t xml:space="preserve"> </w:t>
            </w:r>
            <w:r w:rsidR="00B33A54">
              <w:rPr>
                <w:sz w:val="22"/>
                <w:szCs w:val="22"/>
              </w:rPr>
              <w:t xml:space="preserve">in the </w:t>
            </w:r>
            <w:r w:rsidRPr="00BD4EC3" w:rsidR="00B33A54">
              <w:rPr>
                <w:sz w:val="22"/>
                <w:szCs w:val="22"/>
              </w:rPr>
              <w:t>Licensing and Management System</w:t>
            </w:r>
            <w:r w:rsidR="00E21A5B">
              <w:rPr>
                <w:sz w:val="22"/>
                <w:szCs w:val="22"/>
              </w:rPr>
              <w:t xml:space="preserve"> under existing procedures</w:t>
            </w:r>
            <w:r w:rsidR="00166830">
              <w:rPr>
                <w:sz w:val="22"/>
                <w:szCs w:val="22"/>
              </w:rPr>
              <w:t xml:space="preserve">.  </w:t>
            </w:r>
          </w:p>
          <w:p w:rsidR="00A572D9" w:rsidP="00F204C8" w14:paraId="1883C661" w14:textId="52BD65CA">
            <w:pPr>
              <w:rPr>
                <w:sz w:val="22"/>
                <w:szCs w:val="22"/>
              </w:rPr>
            </w:pPr>
          </w:p>
          <w:p w:rsidR="00127AA0" w:rsidRPr="00FF7095" w:rsidP="00445BE7" w14:paraId="267CE0F9" w14:textId="74C2A02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FF7095">
              <w:rPr>
                <w:sz w:val="22"/>
                <w:szCs w:val="22"/>
              </w:rPr>
              <w:t xml:space="preserve">Today’s </w:t>
            </w:r>
            <w:r w:rsidR="0073551C">
              <w:rPr>
                <w:sz w:val="22"/>
                <w:szCs w:val="22"/>
              </w:rPr>
              <w:t>action</w:t>
            </w:r>
            <w:r w:rsidR="003A2B5C">
              <w:rPr>
                <w:sz w:val="22"/>
                <w:szCs w:val="22"/>
              </w:rPr>
              <w:t xml:space="preserve"> will make the notification process more efficient</w:t>
            </w:r>
            <w:r w:rsidR="00C95CFB">
              <w:rPr>
                <w:sz w:val="22"/>
                <w:szCs w:val="22"/>
              </w:rPr>
              <w:t>,</w:t>
            </w:r>
            <w:r w:rsidR="003A2B5C">
              <w:rPr>
                <w:sz w:val="22"/>
                <w:szCs w:val="22"/>
              </w:rPr>
              <w:t xml:space="preserve"> reduce paper waste</w:t>
            </w:r>
            <w:r w:rsidR="00C95CFB">
              <w:rPr>
                <w:sz w:val="22"/>
                <w:szCs w:val="22"/>
              </w:rPr>
              <w:t>,</w:t>
            </w:r>
            <w:r w:rsidR="003A2B5C">
              <w:rPr>
                <w:sz w:val="22"/>
                <w:szCs w:val="22"/>
              </w:rPr>
              <w:t xml:space="preserve"> and</w:t>
            </w:r>
            <w:r w:rsidR="0073551C">
              <w:rPr>
                <w:sz w:val="22"/>
                <w:szCs w:val="22"/>
              </w:rPr>
              <w:t xml:space="preserve"> </w:t>
            </w:r>
            <w:r w:rsidR="00927261">
              <w:rPr>
                <w:sz w:val="22"/>
                <w:szCs w:val="22"/>
              </w:rPr>
              <w:t xml:space="preserve">is part of </w:t>
            </w:r>
            <w:r w:rsidRPr="00FF7095">
              <w:rPr>
                <w:sz w:val="22"/>
                <w:szCs w:val="22"/>
              </w:rPr>
              <w:t xml:space="preserve">the Commission’s </w:t>
            </w:r>
            <w:r w:rsidR="00927261">
              <w:rPr>
                <w:sz w:val="22"/>
                <w:szCs w:val="22"/>
              </w:rPr>
              <w:t>Modernization of Media Regulation Initiative to eliminate or modify media regulations that are outdated, unnecessary or unduly burdensome.</w:t>
            </w:r>
          </w:p>
          <w:p w:rsidR="00A572D9" w:rsidRPr="00CA7C85" w:rsidP="00A572D9" w14:paraId="44E3BA43" w14:textId="77777777">
            <w:pPr>
              <w:rPr>
                <w:b/>
                <w:sz w:val="22"/>
                <w:szCs w:val="22"/>
              </w:rPr>
            </w:pPr>
          </w:p>
          <w:p w:rsidR="00B0264E" w:rsidRPr="00B0264E" w:rsidP="00B0264E" w14:paraId="59F60B34" w14:textId="14A9134B">
            <w:pPr>
              <w:rPr>
                <w:sz w:val="22"/>
                <w:szCs w:val="22"/>
              </w:rPr>
            </w:pPr>
            <w:r w:rsidRPr="00B0264E">
              <w:rPr>
                <w:sz w:val="22"/>
                <w:szCs w:val="22"/>
              </w:rPr>
              <w:t>Action by the Commission January 30, 2020 by Report and Order (FCC 20-8).  Chairman Pai, Commissioners O’Rielly, Carr, Rosenworcel, and Starks approving.  Chairman Pai, Commissioners O’Rielly, Carr, and Rosenworcel issuing separate statements.</w:t>
            </w:r>
          </w:p>
          <w:p w:rsidR="00B0264E" w:rsidRPr="00B0264E" w:rsidP="00B0264E" w14:paraId="4F18A334" w14:textId="77777777">
            <w:pPr>
              <w:rPr>
                <w:sz w:val="22"/>
                <w:szCs w:val="22"/>
              </w:rPr>
            </w:pPr>
          </w:p>
          <w:p w:rsidR="00BD19E8" w:rsidP="00B0264E" w14:paraId="625757E1" w14:textId="6CA64476">
            <w:pPr>
              <w:rPr>
                <w:sz w:val="22"/>
                <w:szCs w:val="22"/>
              </w:rPr>
            </w:pPr>
            <w:r w:rsidRPr="00B0264E">
              <w:rPr>
                <w:sz w:val="22"/>
                <w:szCs w:val="22"/>
              </w:rPr>
              <w:t>MB Docket Nos. 19-165, 17-105</w:t>
            </w:r>
          </w:p>
          <w:p w:rsidR="00B0264E" w:rsidRPr="002E165B" w:rsidP="00B0264E" w14:paraId="419D54F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4BD33B4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195621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5AE0E3A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08A223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14:paraId="7533EFE5" w14:textId="4BB91FBA">
      <w:pPr>
        <w:rPr>
          <w:b/>
          <w:bCs/>
          <w:sz w:val="2"/>
          <w:szCs w:val="2"/>
        </w:rPr>
      </w:pPr>
    </w:p>
    <w:p w:rsidR="00927261" w14:paraId="180312D1" w14:textId="48F59326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02441"/>
    <w:rsid w:val="00006942"/>
    <w:rsid w:val="0001039A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C7E73"/>
    <w:rsid w:val="000D2067"/>
    <w:rsid w:val="000E009D"/>
    <w:rsid w:val="000E049E"/>
    <w:rsid w:val="001002DC"/>
    <w:rsid w:val="0010799B"/>
    <w:rsid w:val="00117DB2"/>
    <w:rsid w:val="00123ED2"/>
    <w:rsid w:val="00125BE0"/>
    <w:rsid w:val="00127AA0"/>
    <w:rsid w:val="00135A3F"/>
    <w:rsid w:val="00142C13"/>
    <w:rsid w:val="00152776"/>
    <w:rsid w:val="00153222"/>
    <w:rsid w:val="001577D3"/>
    <w:rsid w:val="00163FB0"/>
    <w:rsid w:val="001659CD"/>
    <w:rsid w:val="00166830"/>
    <w:rsid w:val="001733A6"/>
    <w:rsid w:val="001865A9"/>
    <w:rsid w:val="00187DB2"/>
    <w:rsid w:val="00194450"/>
    <w:rsid w:val="001A3C91"/>
    <w:rsid w:val="001B20BB"/>
    <w:rsid w:val="001C2D25"/>
    <w:rsid w:val="001C4370"/>
    <w:rsid w:val="001C453E"/>
    <w:rsid w:val="001D2011"/>
    <w:rsid w:val="001D3779"/>
    <w:rsid w:val="001F0469"/>
    <w:rsid w:val="00203A98"/>
    <w:rsid w:val="00206EDD"/>
    <w:rsid w:val="0021247E"/>
    <w:rsid w:val="00214168"/>
    <w:rsid w:val="002146F6"/>
    <w:rsid w:val="00214BE7"/>
    <w:rsid w:val="002166B1"/>
    <w:rsid w:val="00217725"/>
    <w:rsid w:val="00231C32"/>
    <w:rsid w:val="00240345"/>
    <w:rsid w:val="002421F0"/>
    <w:rsid w:val="002437EF"/>
    <w:rsid w:val="00247274"/>
    <w:rsid w:val="002474F9"/>
    <w:rsid w:val="002511BD"/>
    <w:rsid w:val="00266966"/>
    <w:rsid w:val="00276126"/>
    <w:rsid w:val="00277AEB"/>
    <w:rsid w:val="00285C36"/>
    <w:rsid w:val="00290BC8"/>
    <w:rsid w:val="00294C0C"/>
    <w:rsid w:val="002A0934"/>
    <w:rsid w:val="002B1013"/>
    <w:rsid w:val="002B7769"/>
    <w:rsid w:val="002C620D"/>
    <w:rsid w:val="002D03E5"/>
    <w:rsid w:val="002D324F"/>
    <w:rsid w:val="002E0F00"/>
    <w:rsid w:val="002E165B"/>
    <w:rsid w:val="002E2B6E"/>
    <w:rsid w:val="002E3F1D"/>
    <w:rsid w:val="002F31D0"/>
    <w:rsid w:val="00300359"/>
    <w:rsid w:val="0031773E"/>
    <w:rsid w:val="00333871"/>
    <w:rsid w:val="003371C3"/>
    <w:rsid w:val="00347716"/>
    <w:rsid w:val="003506E1"/>
    <w:rsid w:val="00366F24"/>
    <w:rsid w:val="003727E3"/>
    <w:rsid w:val="003737BC"/>
    <w:rsid w:val="00385A93"/>
    <w:rsid w:val="00386990"/>
    <w:rsid w:val="003910F1"/>
    <w:rsid w:val="003977E4"/>
    <w:rsid w:val="003A2B5C"/>
    <w:rsid w:val="003A798B"/>
    <w:rsid w:val="003D2A60"/>
    <w:rsid w:val="003E42FC"/>
    <w:rsid w:val="003E5324"/>
    <w:rsid w:val="003E5991"/>
    <w:rsid w:val="003E703E"/>
    <w:rsid w:val="003F344A"/>
    <w:rsid w:val="003F47A1"/>
    <w:rsid w:val="003F65AD"/>
    <w:rsid w:val="00403FF0"/>
    <w:rsid w:val="00410BA8"/>
    <w:rsid w:val="0042046D"/>
    <w:rsid w:val="0042116E"/>
    <w:rsid w:val="00425AEF"/>
    <w:rsid w:val="00426518"/>
    <w:rsid w:val="00427B06"/>
    <w:rsid w:val="00441F59"/>
    <w:rsid w:val="00444E07"/>
    <w:rsid w:val="00444FA9"/>
    <w:rsid w:val="00445BE7"/>
    <w:rsid w:val="00452A9D"/>
    <w:rsid w:val="00473E9C"/>
    <w:rsid w:val="00480099"/>
    <w:rsid w:val="004846DC"/>
    <w:rsid w:val="004941A2"/>
    <w:rsid w:val="00497858"/>
    <w:rsid w:val="004A30FC"/>
    <w:rsid w:val="004A729A"/>
    <w:rsid w:val="004B4FEA"/>
    <w:rsid w:val="004B751A"/>
    <w:rsid w:val="004B7D5B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63EF8"/>
    <w:rsid w:val="00567055"/>
    <w:rsid w:val="00571B83"/>
    <w:rsid w:val="00575A00"/>
    <w:rsid w:val="0058498D"/>
    <w:rsid w:val="00584FA3"/>
    <w:rsid w:val="00585E93"/>
    <w:rsid w:val="00586417"/>
    <w:rsid w:val="0058673C"/>
    <w:rsid w:val="005A7972"/>
    <w:rsid w:val="005B11B0"/>
    <w:rsid w:val="005B17E7"/>
    <w:rsid w:val="005B2643"/>
    <w:rsid w:val="005D17FD"/>
    <w:rsid w:val="005E36C0"/>
    <w:rsid w:val="005F0D55"/>
    <w:rsid w:val="005F183E"/>
    <w:rsid w:val="00600DDA"/>
    <w:rsid w:val="00603A30"/>
    <w:rsid w:val="00604211"/>
    <w:rsid w:val="00613498"/>
    <w:rsid w:val="00617B94"/>
    <w:rsid w:val="00620BED"/>
    <w:rsid w:val="00630EEF"/>
    <w:rsid w:val="006415B4"/>
    <w:rsid w:val="00644E3D"/>
    <w:rsid w:val="00651B9E"/>
    <w:rsid w:val="00652019"/>
    <w:rsid w:val="00657EC9"/>
    <w:rsid w:val="00665633"/>
    <w:rsid w:val="00674C86"/>
    <w:rsid w:val="006758CD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C4BA2"/>
    <w:rsid w:val="006D5D22"/>
    <w:rsid w:val="006E0324"/>
    <w:rsid w:val="006E4A76"/>
    <w:rsid w:val="006F1DBD"/>
    <w:rsid w:val="006F5522"/>
    <w:rsid w:val="00700556"/>
    <w:rsid w:val="0070589A"/>
    <w:rsid w:val="007167DD"/>
    <w:rsid w:val="0072478B"/>
    <w:rsid w:val="0073414D"/>
    <w:rsid w:val="0073551C"/>
    <w:rsid w:val="007475A1"/>
    <w:rsid w:val="007515B4"/>
    <w:rsid w:val="0075235E"/>
    <w:rsid w:val="007528A5"/>
    <w:rsid w:val="007732CC"/>
    <w:rsid w:val="00774079"/>
    <w:rsid w:val="0077752B"/>
    <w:rsid w:val="00790705"/>
    <w:rsid w:val="00793D6F"/>
    <w:rsid w:val="00794090"/>
    <w:rsid w:val="007A44F8"/>
    <w:rsid w:val="007D21BF"/>
    <w:rsid w:val="007F3C12"/>
    <w:rsid w:val="007F5205"/>
    <w:rsid w:val="0080486B"/>
    <w:rsid w:val="008061EF"/>
    <w:rsid w:val="008215E7"/>
    <w:rsid w:val="00825598"/>
    <w:rsid w:val="00830FC6"/>
    <w:rsid w:val="00850E26"/>
    <w:rsid w:val="00853A5A"/>
    <w:rsid w:val="00865EAA"/>
    <w:rsid w:val="00866F06"/>
    <w:rsid w:val="008713BC"/>
    <w:rsid w:val="008728F5"/>
    <w:rsid w:val="00872985"/>
    <w:rsid w:val="008811DD"/>
    <w:rsid w:val="008824C2"/>
    <w:rsid w:val="00887264"/>
    <w:rsid w:val="008960E4"/>
    <w:rsid w:val="008A3940"/>
    <w:rsid w:val="008B13C9"/>
    <w:rsid w:val="008C1A84"/>
    <w:rsid w:val="008C248C"/>
    <w:rsid w:val="008C5432"/>
    <w:rsid w:val="008C7BF1"/>
    <w:rsid w:val="008D00D6"/>
    <w:rsid w:val="008D4D00"/>
    <w:rsid w:val="008D4E5E"/>
    <w:rsid w:val="008D7ABD"/>
    <w:rsid w:val="008E55A2"/>
    <w:rsid w:val="008F0626"/>
    <w:rsid w:val="008F1609"/>
    <w:rsid w:val="008F78D8"/>
    <w:rsid w:val="00926A4A"/>
    <w:rsid w:val="00927261"/>
    <w:rsid w:val="0093373C"/>
    <w:rsid w:val="00961620"/>
    <w:rsid w:val="009734B6"/>
    <w:rsid w:val="0098096F"/>
    <w:rsid w:val="00982F4A"/>
    <w:rsid w:val="0098437A"/>
    <w:rsid w:val="00986C92"/>
    <w:rsid w:val="0099025E"/>
    <w:rsid w:val="00993C47"/>
    <w:rsid w:val="009972BC"/>
    <w:rsid w:val="009B30C8"/>
    <w:rsid w:val="009B4B16"/>
    <w:rsid w:val="009C5043"/>
    <w:rsid w:val="009D17E2"/>
    <w:rsid w:val="009E54A1"/>
    <w:rsid w:val="009F4E25"/>
    <w:rsid w:val="009F5B1F"/>
    <w:rsid w:val="00A1657E"/>
    <w:rsid w:val="00A225A9"/>
    <w:rsid w:val="00A3308E"/>
    <w:rsid w:val="00A35DFD"/>
    <w:rsid w:val="00A572D9"/>
    <w:rsid w:val="00A66581"/>
    <w:rsid w:val="00A702DF"/>
    <w:rsid w:val="00A775A3"/>
    <w:rsid w:val="00A81700"/>
    <w:rsid w:val="00A81B5B"/>
    <w:rsid w:val="00A82FAD"/>
    <w:rsid w:val="00A9673A"/>
    <w:rsid w:val="00A96EF2"/>
    <w:rsid w:val="00AA1D6E"/>
    <w:rsid w:val="00AA5C35"/>
    <w:rsid w:val="00AA5ED9"/>
    <w:rsid w:val="00AC0A38"/>
    <w:rsid w:val="00AC3B32"/>
    <w:rsid w:val="00AC44FE"/>
    <w:rsid w:val="00AC4E0E"/>
    <w:rsid w:val="00AC517B"/>
    <w:rsid w:val="00AC5386"/>
    <w:rsid w:val="00AD0D19"/>
    <w:rsid w:val="00AD4184"/>
    <w:rsid w:val="00AF051B"/>
    <w:rsid w:val="00B0264E"/>
    <w:rsid w:val="00B037A2"/>
    <w:rsid w:val="00B07FBF"/>
    <w:rsid w:val="00B178A1"/>
    <w:rsid w:val="00B22B6A"/>
    <w:rsid w:val="00B31870"/>
    <w:rsid w:val="00B320B8"/>
    <w:rsid w:val="00B32304"/>
    <w:rsid w:val="00B33A54"/>
    <w:rsid w:val="00B35EE2"/>
    <w:rsid w:val="00B36DEF"/>
    <w:rsid w:val="00B414D3"/>
    <w:rsid w:val="00B44B0C"/>
    <w:rsid w:val="00B57131"/>
    <w:rsid w:val="00B62F2C"/>
    <w:rsid w:val="00B727C9"/>
    <w:rsid w:val="00B735C8"/>
    <w:rsid w:val="00B76A63"/>
    <w:rsid w:val="00B85D05"/>
    <w:rsid w:val="00BA6350"/>
    <w:rsid w:val="00BB4E29"/>
    <w:rsid w:val="00BB74C9"/>
    <w:rsid w:val="00BC3AB6"/>
    <w:rsid w:val="00BD19E8"/>
    <w:rsid w:val="00BD4273"/>
    <w:rsid w:val="00BD445A"/>
    <w:rsid w:val="00BD4EC3"/>
    <w:rsid w:val="00BF6CF5"/>
    <w:rsid w:val="00C31ED8"/>
    <w:rsid w:val="00C34BE7"/>
    <w:rsid w:val="00C432E4"/>
    <w:rsid w:val="00C503EF"/>
    <w:rsid w:val="00C70C26"/>
    <w:rsid w:val="00C72001"/>
    <w:rsid w:val="00C7685B"/>
    <w:rsid w:val="00C772B7"/>
    <w:rsid w:val="00C80347"/>
    <w:rsid w:val="00C91F71"/>
    <w:rsid w:val="00C95CFB"/>
    <w:rsid w:val="00C96CA8"/>
    <w:rsid w:val="00CA7C85"/>
    <w:rsid w:val="00CB24D2"/>
    <w:rsid w:val="00CB3C26"/>
    <w:rsid w:val="00CB7C1A"/>
    <w:rsid w:val="00CC5E08"/>
    <w:rsid w:val="00CE0553"/>
    <w:rsid w:val="00CE14FD"/>
    <w:rsid w:val="00CF3CAF"/>
    <w:rsid w:val="00CF6860"/>
    <w:rsid w:val="00D02AC6"/>
    <w:rsid w:val="00D03F0C"/>
    <w:rsid w:val="00D04312"/>
    <w:rsid w:val="00D16A7F"/>
    <w:rsid w:val="00D16AD2"/>
    <w:rsid w:val="00D2052C"/>
    <w:rsid w:val="00D22596"/>
    <w:rsid w:val="00D22691"/>
    <w:rsid w:val="00D24C3D"/>
    <w:rsid w:val="00D46CB1"/>
    <w:rsid w:val="00D52A72"/>
    <w:rsid w:val="00D7186C"/>
    <w:rsid w:val="00D723F0"/>
    <w:rsid w:val="00D775A2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5DC"/>
    <w:rsid w:val="00DD1750"/>
    <w:rsid w:val="00DE7AF7"/>
    <w:rsid w:val="00E14F20"/>
    <w:rsid w:val="00E21A5B"/>
    <w:rsid w:val="00E349AA"/>
    <w:rsid w:val="00E41390"/>
    <w:rsid w:val="00E41CA0"/>
    <w:rsid w:val="00E42DE7"/>
    <w:rsid w:val="00E4366B"/>
    <w:rsid w:val="00E50A4A"/>
    <w:rsid w:val="00E606DE"/>
    <w:rsid w:val="00E644FE"/>
    <w:rsid w:val="00E72733"/>
    <w:rsid w:val="00E742FA"/>
    <w:rsid w:val="00E764D3"/>
    <w:rsid w:val="00E76816"/>
    <w:rsid w:val="00E83DBF"/>
    <w:rsid w:val="00E87C13"/>
    <w:rsid w:val="00E9157C"/>
    <w:rsid w:val="00E94CD9"/>
    <w:rsid w:val="00EA1A76"/>
    <w:rsid w:val="00EA1C7E"/>
    <w:rsid w:val="00EA290B"/>
    <w:rsid w:val="00EC358A"/>
    <w:rsid w:val="00EE0E90"/>
    <w:rsid w:val="00EF3BCA"/>
    <w:rsid w:val="00EF5444"/>
    <w:rsid w:val="00EF711E"/>
    <w:rsid w:val="00EF729B"/>
    <w:rsid w:val="00F01B0D"/>
    <w:rsid w:val="00F1238F"/>
    <w:rsid w:val="00F16485"/>
    <w:rsid w:val="00F204C8"/>
    <w:rsid w:val="00F21C40"/>
    <w:rsid w:val="00F228ED"/>
    <w:rsid w:val="00F26E31"/>
    <w:rsid w:val="00F27C6C"/>
    <w:rsid w:val="00F33355"/>
    <w:rsid w:val="00F34A8D"/>
    <w:rsid w:val="00F4602F"/>
    <w:rsid w:val="00F50D25"/>
    <w:rsid w:val="00F535D8"/>
    <w:rsid w:val="00F61155"/>
    <w:rsid w:val="00F708E3"/>
    <w:rsid w:val="00F76561"/>
    <w:rsid w:val="00F84736"/>
    <w:rsid w:val="00F90AD1"/>
    <w:rsid w:val="00F95922"/>
    <w:rsid w:val="00FA28B3"/>
    <w:rsid w:val="00FB582B"/>
    <w:rsid w:val="00FC0ACE"/>
    <w:rsid w:val="00FC0CC9"/>
    <w:rsid w:val="00FC4531"/>
    <w:rsid w:val="00FC6C29"/>
    <w:rsid w:val="00FD58E0"/>
    <w:rsid w:val="00FD71AE"/>
    <w:rsid w:val="00FE0198"/>
    <w:rsid w:val="00FE3A7C"/>
    <w:rsid w:val="00FF1C0B"/>
    <w:rsid w:val="00FF232D"/>
    <w:rsid w:val="00FF4A97"/>
    <w:rsid w:val="00FF7095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0EA3FD0-AA29-419D-A770-FBAD9AC9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C0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0A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C50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50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043"/>
    <w:rPr>
      <w:b/>
      <w:bCs/>
    </w:rPr>
  </w:style>
  <w:style w:type="character" w:customStyle="1" w:styleId="UnresolvedMention">
    <w:name w:val="Unresolved Mention"/>
    <w:basedOn w:val="DefaultParagraphFont"/>
    <w:rsid w:val="0000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