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33DC9" w:rsidP="00A33DC9">
      <w:pPr>
        <w:pStyle w:val="Title"/>
        <w:rPr>
          <w:spacing w:val="0"/>
        </w:rPr>
      </w:pPr>
      <w:r w:rsidRPr="006470DE">
        <w:rPr>
          <w:noProof/>
        </w:rPr>
        <w:drawing>
          <wp:anchor distT="0" distB="0" distL="114300" distR="114300" simplePos="0" relativeHeight="251658240" behindDoc="1" locked="0" layoutInCell="1" allowOverlap="1">
            <wp:simplePos x="0" y="0"/>
            <wp:positionH relativeFrom="column">
              <wp:posOffset>-272956</wp:posOffset>
            </wp:positionH>
            <wp:positionV relativeFrom="paragraph">
              <wp:posOffset>0</wp:posOffset>
            </wp:positionV>
            <wp:extent cx="82296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5646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spacing w:val="0"/>
        </w:rPr>
        <w:t>Federal Communications Commission</w:t>
      </w:r>
    </w:p>
    <w:p w:rsidR="00A33DC9" w:rsidP="00A33DC9">
      <w:pPr>
        <w:pStyle w:val="Subtitle"/>
        <w:rPr>
          <w:spacing w:val="0"/>
          <w:sz w:val="24"/>
        </w:rPr>
      </w:pPr>
      <w:r>
        <w:rPr>
          <w:spacing w:val="0"/>
          <w:sz w:val="24"/>
        </w:rPr>
        <w:t>Enforcement Bureau</w:t>
      </w:r>
    </w:p>
    <w:p w:rsidR="00AC0543" w:rsidRPr="006470DE" w:rsidP="00AC0543">
      <w:pPr>
        <w:pStyle w:val="Header"/>
        <w:tabs>
          <w:tab w:val="clear" w:pos="4320"/>
          <w:tab w:val="clear" w:pos="8640"/>
        </w:tabs>
        <w:jc w:val="center"/>
        <w:rPr>
          <w:b/>
        </w:rPr>
      </w:pPr>
      <w:r w:rsidRPr="006470DE">
        <w:rPr>
          <w:b/>
        </w:rPr>
        <w:t>R</w:t>
      </w:r>
      <w:r>
        <w:rPr>
          <w:b/>
        </w:rPr>
        <w:t>egion</w:t>
      </w:r>
      <w:r w:rsidRPr="006470DE">
        <w:rPr>
          <w:b/>
        </w:rPr>
        <w:t xml:space="preserve"> </w:t>
      </w:r>
      <w:r>
        <w:rPr>
          <w:b/>
        </w:rPr>
        <w:t>Three</w:t>
      </w:r>
    </w:p>
    <w:p w:rsidR="00A33DC9" w:rsidRPr="00F85347" w:rsidP="00A33DC9">
      <w:pPr>
        <w:rPr>
          <w:b/>
          <w:smallCaps/>
        </w:rPr>
      </w:pPr>
    </w:p>
    <w:p w:rsidR="005E376F" w:rsidRPr="00C0358B" w:rsidP="005E376F">
      <w:pPr>
        <w:suppressAutoHyphens/>
        <w:jc w:val="center"/>
        <w:outlineLvl w:val="0"/>
        <w:rPr>
          <w:b/>
        </w:rPr>
      </w:pPr>
      <w:r w:rsidRPr="00C0358B">
        <w:rPr>
          <w:b/>
        </w:rPr>
        <w:t>Los Angeles Regional Office</w:t>
      </w:r>
    </w:p>
    <w:p w:rsidR="005E376F" w:rsidRPr="006470DE" w:rsidP="005E376F">
      <w:pPr>
        <w:suppressAutoHyphens/>
        <w:jc w:val="center"/>
        <w:outlineLvl w:val="0"/>
      </w:pPr>
      <w:r>
        <w:t>11331 183</w:t>
      </w:r>
      <w:r w:rsidRPr="00CA7AC0">
        <w:rPr>
          <w:vertAlign w:val="superscript"/>
        </w:rPr>
        <w:t>rd</w:t>
      </w:r>
      <w:r>
        <w:t xml:space="preserve"> St., PMB #365</w:t>
      </w:r>
    </w:p>
    <w:p w:rsidR="005E376F" w:rsidRPr="006470DE" w:rsidP="005E376F">
      <w:pPr>
        <w:suppressAutoHyphens/>
        <w:jc w:val="center"/>
        <w:outlineLvl w:val="0"/>
      </w:pPr>
      <w:r>
        <w:t>Cerritos</w:t>
      </w:r>
      <w:r w:rsidRPr="00C0358B">
        <w:t xml:space="preserve">, CA </w:t>
      </w:r>
      <w:r>
        <w:t>9</w:t>
      </w:r>
      <w:r w:rsidRPr="00C0358B">
        <w:t>0703</w:t>
      </w:r>
    </w:p>
    <w:p w:rsidR="005E376F" w:rsidP="005E376F">
      <w:pPr>
        <w:suppressAutoHyphens/>
        <w:jc w:val="center"/>
        <w:outlineLvl w:val="0"/>
      </w:pPr>
      <w:r>
        <w:t>(562) 860-7474</w:t>
      </w:r>
    </w:p>
    <w:p w:rsidR="005E376F" w:rsidRPr="006470DE" w:rsidP="005E376F">
      <w:pPr>
        <w:suppressAutoHyphens/>
        <w:jc w:val="center"/>
        <w:outlineLvl w:val="0"/>
        <w:rPr>
          <w:szCs w:val="24"/>
        </w:rPr>
      </w:pPr>
      <w:r>
        <w:rPr>
          <w:szCs w:val="24"/>
        </w:rPr>
        <w:t>f</w:t>
      </w:r>
      <w:r>
        <w:rPr>
          <w:szCs w:val="24"/>
        </w:rPr>
        <w:t>ield@fcc.gov</w:t>
      </w:r>
    </w:p>
    <w:p w:rsidR="006F752F" w:rsidRPr="00450D66" w:rsidP="006F752F">
      <w:pPr>
        <w:suppressAutoHyphens/>
        <w:jc w:val="center"/>
        <w:rPr>
          <w:sz w:val="22"/>
          <w:szCs w:val="22"/>
        </w:rPr>
      </w:pPr>
    </w:p>
    <w:p w:rsidR="006F752F" w:rsidRPr="00450D66" w:rsidP="006F752F">
      <w:pPr>
        <w:suppressAutoHyphens/>
        <w:jc w:val="center"/>
        <w:rPr>
          <w:rStyle w:val="StyleRed"/>
          <w:sz w:val="22"/>
          <w:szCs w:val="22"/>
        </w:rPr>
      </w:pPr>
      <w:r>
        <w:rPr>
          <w:rStyle w:val="StyleRed"/>
          <w:sz w:val="22"/>
          <w:szCs w:val="22"/>
        </w:rPr>
        <w:t>January 29</w:t>
      </w:r>
      <w:bookmarkStart w:id="0" w:name="_GoBack"/>
      <w:bookmarkEnd w:id="0"/>
      <w:r w:rsidR="00A33DC9">
        <w:rPr>
          <w:rStyle w:val="StyleRed"/>
          <w:sz w:val="22"/>
          <w:szCs w:val="22"/>
        </w:rPr>
        <w:t>, 20</w:t>
      </w:r>
      <w:r>
        <w:rPr>
          <w:rStyle w:val="StyleRed"/>
          <w:sz w:val="22"/>
          <w:szCs w:val="22"/>
        </w:rPr>
        <w:t>20</w:t>
      </w:r>
    </w:p>
    <w:p w:rsidR="006F752F" w:rsidRPr="00450D66" w:rsidP="006F752F">
      <w:pPr>
        <w:suppressAutoHyphens/>
        <w:jc w:val="center"/>
        <w:rPr>
          <w:sz w:val="22"/>
          <w:szCs w:val="22"/>
        </w:rPr>
      </w:pPr>
    </w:p>
    <w:p w:rsidR="00174950" w:rsidRPr="00A07635" w:rsidP="00174950">
      <w:pPr>
        <w:pStyle w:val="InsideAddressName"/>
        <w:tabs>
          <w:tab w:val="right" w:pos="8640"/>
        </w:tabs>
        <w:spacing w:before="0"/>
        <w:jc w:val="left"/>
        <w:rPr>
          <w:rFonts w:ascii="Times New Roman" w:hAnsi="Times New Roman"/>
          <w:sz w:val="22"/>
          <w:szCs w:val="22"/>
        </w:rPr>
      </w:pPr>
      <w:r>
        <w:rPr>
          <w:rFonts w:ascii="Times New Roman" w:hAnsi="Times New Roman"/>
          <w:sz w:val="22"/>
          <w:szCs w:val="22"/>
        </w:rPr>
        <w:t>Issac</w:t>
      </w:r>
      <w:r>
        <w:rPr>
          <w:rFonts w:ascii="Times New Roman" w:hAnsi="Times New Roman"/>
          <w:sz w:val="22"/>
          <w:szCs w:val="22"/>
        </w:rPr>
        <w:t xml:space="preserve"> </w:t>
      </w:r>
      <w:r>
        <w:rPr>
          <w:rFonts w:ascii="Times New Roman" w:hAnsi="Times New Roman"/>
          <w:sz w:val="22"/>
          <w:szCs w:val="22"/>
        </w:rPr>
        <w:t>Danielian</w:t>
      </w:r>
    </w:p>
    <w:p w:rsidR="00174950" w:rsidRPr="00A07635" w:rsidP="00174950">
      <w:pPr>
        <w:pStyle w:val="InsideAddressName"/>
        <w:tabs>
          <w:tab w:val="right" w:pos="8640"/>
        </w:tabs>
        <w:spacing w:before="0"/>
        <w:jc w:val="left"/>
        <w:rPr>
          <w:rFonts w:ascii="Times New Roman" w:hAnsi="Times New Roman"/>
          <w:sz w:val="22"/>
          <w:szCs w:val="22"/>
        </w:rPr>
      </w:pPr>
      <w:r>
        <w:rPr>
          <w:rFonts w:ascii="Times New Roman" w:hAnsi="Times New Roman"/>
          <w:sz w:val="22"/>
          <w:szCs w:val="22"/>
        </w:rPr>
        <w:t>Encino, CA</w:t>
      </w:r>
    </w:p>
    <w:p w:rsidR="00174950" w:rsidRPr="00A07635" w:rsidP="00174950">
      <w:pPr>
        <w:pStyle w:val="InsideAddressName"/>
        <w:tabs>
          <w:tab w:val="right" w:pos="8640"/>
        </w:tabs>
        <w:rPr>
          <w:rFonts w:ascii="Times New Roman" w:hAnsi="Times New Roman"/>
          <w:sz w:val="22"/>
          <w:szCs w:val="22"/>
        </w:rPr>
      </w:pPr>
      <w:r w:rsidRPr="00A07635">
        <w:rPr>
          <w:rFonts w:ascii="Times New Roman" w:hAnsi="Times New Roman"/>
          <w:sz w:val="22"/>
          <w:szCs w:val="22"/>
        </w:rPr>
        <w:tab/>
        <w:t>Case No.: EB-FIELD</w:t>
      </w:r>
      <w:r w:rsidR="008130C0">
        <w:rPr>
          <w:rFonts w:ascii="Times New Roman" w:hAnsi="Times New Roman"/>
          <w:sz w:val="22"/>
          <w:szCs w:val="22"/>
        </w:rPr>
        <w:t>W</w:t>
      </w:r>
      <w:r w:rsidRPr="00A07635">
        <w:rPr>
          <w:rFonts w:ascii="Times New Roman" w:hAnsi="Times New Roman"/>
          <w:sz w:val="22"/>
          <w:szCs w:val="22"/>
        </w:rPr>
        <w:t>R-1</w:t>
      </w:r>
      <w:r w:rsidR="00A33DC9">
        <w:rPr>
          <w:rFonts w:ascii="Times New Roman" w:hAnsi="Times New Roman"/>
          <w:sz w:val="22"/>
          <w:szCs w:val="22"/>
        </w:rPr>
        <w:t>9</w:t>
      </w:r>
      <w:r w:rsidR="00074424">
        <w:rPr>
          <w:rFonts w:ascii="Times New Roman" w:hAnsi="Times New Roman"/>
          <w:sz w:val="22"/>
          <w:szCs w:val="22"/>
        </w:rPr>
        <w:t>-00029991</w:t>
      </w:r>
    </w:p>
    <w:p w:rsidR="00ED0AD8" w:rsidRPr="00A07635" w:rsidP="006F752F">
      <w:pPr>
        <w:widowControl/>
        <w:rPr>
          <w:b/>
          <w:sz w:val="22"/>
          <w:szCs w:val="22"/>
        </w:rPr>
      </w:pPr>
    </w:p>
    <w:p w:rsidR="00971B68" w:rsidRPr="00A07635" w:rsidP="006F752F">
      <w:pPr>
        <w:widowControl/>
        <w:rPr>
          <w:b/>
          <w:sz w:val="22"/>
          <w:szCs w:val="22"/>
        </w:rPr>
      </w:pPr>
    </w:p>
    <w:p w:rsidR="006F752F" w:rsidRPr="00A07635" w:rsidP="006F752F">
      <w:pPr>
        <w:widowControl/>
        <w:jc w:val="center"/>
        <w:rPr>
          <w:sz w:val="22"/>
          <w:szCs w:val="22"/>
        </w:rPr>
      </w:pPr>
      <w:r w:rsidRPr="00A07635">
        <w:rPr>
          <w:b/>
          <w:sz w:val="22"/>
          <w:szCs w:val="22"/>
        </w:rPr>
        <w:t>NOTIFICATION OF HARMFUL INTERFERENCE</w:t>
      </w:r>
    </w:p>
    <w:p w:rsidR="00971B68" w:rsidRPr="00A07635" w:rsidP="00174950">
      <w:pPr>
        <w:tabs>
          <w:tab w:val="num" w:pos="1440"/>
        </w:tabs>
        <w:rPr>
          <w:sz w:val="22"/>
          <w:szCs w:val="22"/>
        </w:rPr>
      </w:pPr>
    </w:p>
    <w:p w:rsidR="00174950" w:rsidP="0095104E">
      <w:pPr>
        <w:tabs>
          <w:tab w:val="num" w:pos="1440"/>
        </w:tabs>
        <w:rPr>
          <w:sz w:val="22"/>
          <w:szCs w:val="22"/>
        </w:rPr>
      </w:pPr>
      <w:r w:rsidRPr="00A07635">
        <w:rPr>
          <w:sz w:val="22"/>
          <w:szCs w:val="22"/>
        </w:rPr>
        <w:t xml:space="preserve">On </w:t>
      </w:r>
      <w:r w:rsidR="00074424">
        <w:rPr>
          <w:sz w:val="22"/>
          <w:szCs w:val="22"/>
        </w:rPr>
        <w:t>October 7, 2019</w:t>
      </w:r>
      <w:r w:rsidRPr="00A07635">
        <w:rPr>
          <w:sz w:val="22"/>
          <w:szCs w:val="22"/>
        </w:rPr>
        <w:t>,</w:t>
      </w:r>
      <w:r w:rsidRPr="00A07635" w:rsidR="00F87ECC">
        <w:rPr>
          <w:sz w:val="22"/>
          <w:szCs w:val="22"/>
        </w:rPr>
        <w:t xml:space="preserve"> </w:t>
      </w:r>
      <w:r w:rsidRPr="00450D66" w:rsidR="00F87ECC">
        <w:rPr>
          <w:sz w:val="22"/>
          <w:szCs w:val="22"/>
        </w:rPr>
        <w:t xml:space="preserve">in response to an interference complaint, </w:t>
      </w:r>
      <w:r w:rsidRPr="00A07635">
        <w:rPr>
          <w:sz w:val="22"/>
          <w:szCs w:val="22"/>
        </w:rPr>
        <w:t xml:space="preserve">an Agent from the </w:t>
      </w:r>
      <w:r w:rsidR="00074424">
        <w:rPr>
          <w:sz w:val="22"/>
          <w:szCs w:val="22"/>
        </w:rPr>
        <w:t>Los Angeles</w:t>
      </w:r>
      <w:r w:rsidRPr="00A07635">
        <w:rPr>
          <w:sz w:val="22"/>
          <w:szCs w:val="22"/>
        </w:rPr>
        <w:t xml:space="preserve"> Office of the </w:t>
      </w:r>
      <w:r w:rsidRPr="00A07635" w:rsidR="008451F3">
        <w:rPr>
          <w:sz w:val="22"/>
          <w:szCs w:val="22"/>
        </w:rPr>
        <w:t>Enforcement</w:t>
      </w:r>
      <w:r w:rsidRPr="00A07635" w:rsidR="00F87ECC">
        <w:rPr>
          <w:sz w:val="22"/>
          <w:szCs w:val="22"/>
        </w:rPr>
        <w:t xml:space="preserve"> Bureau of the </w:t>
      </w:r>
      <w:r w:rsidRPr="00A07635">
        <w:rPr>
          <w:sz w:val="22"/>
          <w:szCs w:val="22"/>
        </w:rPr>
        <w:t xml:space="preserve">Federal Communications Commission’s (FCC or Commission) </w:t>
      </w:r>
      <w:r w:rsidRPr="00A07635" w:rsidR="007B3F6B">
        <w:rPr>
          <w:sz w:val="22"/>
          <w:szCs w:val="22"/>
        </w:rPr>
        <w:t>confirmed, by direction finding techniques, that radio emissions in the</w:t>
      </w:r>
      <w:r w:rsidRPr="00A07635">
        <w:rPr>
          <w:sz w:val="22"/>
          <w:szCs w:val="22"/>
        </w:rPr>
        <w:t xml:space="preserve"> </w:t>
      </w:r>
      <w:r w:rsidRPr="00A07635" w:rsidR="007B3F6B">
        <w:rPr>
          <w:sz w:val="22"/>
          <w:szCs w:val="22"/>
        </w:rPr>
        <w:t xml:space="preserve">156.8 MHz band (the VHF marine safety and calling Channel 16) were emanating from a radio transmitter device located </w:t>
      </w:r>
      <w:r w:rsidR="00407016">
        <w:rPr>
          <w:sz w:val="22"/>
          <w:szCs w:val="22"/>
        </w:rPr>
        <w:t>o</w:t>
      </w:r>
      <w:r w:rsidRPr="00A07635" w:rsidR="008451F3">
        <w:rPr>
          <w:sz w:val="22"/>
          <w:szCs w:val="22"/>
        </w:rPr>
        <w:t>n your vessel “</w:t>
      </w:r>
      <w:r w:rsidR="00074424">
        <w:rPr>
          <w:sz w:val="22"/>
          <w:szCs w:val="22"/>
        </w:rPr>
        <w:t>Sea Birds</w:t>
      </w:r>
      <w:r w:rsidRPr="00A07635" w:rsidR="008451F3">
        <w:rPr>
          <w:sz w:val="22"/>
          <w:szCs w:val="22"/>
        </w:rPr>
        <w:t xml:space="preserve">” (ID: </w:t>
      </w:r>
      <w:r w:rsidR="00074424">
        <w:rPr>
          <w:sz w:val="22"/>
          <w:szCs w:val="22"/>
        </w:rPr>
        <w:t>PEA881171687</w:t>
      </w:r>
      <w:r w:rsidRPr="00A07635" w:rsidR="008451F3">
        <w:rPr>
          <w:sz w:val="22"/>
          <w:szCs w:val="22"/>
        </w:rPr>
        <w:t xml:space="preserve">) at </w:t>
      </w:r>
      <w:r w:rsidR="00A25325">
        <w:rPr>
          <w:sz w:val="22"/>
          <w:szCs w:val="22"/>
        </w:rPr>
        <w:t xml:space="preserve">13924 Panay Way, </w:t>
      </w:r>
      <w:r w:rsidR="002D6DB4">
        <w:rPr>
          <w:sz w:val="22"/>
          <w:szCs w:val="22"/>
        </w:rPr>
        <w:t xml:space="preserve">D1300:Slip 15, </w:t>
      </w:r>
      <w:r w:rsidRPr="00A07635" w:rsidR="008451F3">
        <w:rPr>
          <w:sz w:val="22"/>
          <w:szCs w:val="22"/>
        </w:rPr>
        <w:t>Marina</w:t>
      </w:r>
      <w:r w:rsidR="00074424">
        <w:rPr>
          <w:sz w:val="22"/>
          <w:szCs w:val="22"/>
        </w:rPr>
        <w:t xml:space="preserve"> Del Rey</w:t>
      </w:r>
      <w:r w:rsidRPr="00A07635" w:rsidR="008451F3">
        <w:rPr>
          <w:sz w:val="22"/>
          <w:szCs w:val="22"/>
        </w:rPr>
        <w:t>,</w:t>
      </w:r>
      <w:r w:rsidRPr="00174950" w:rsidR="008451F3">
        <w:rPr>
          <w:sz w:val="22"/>
          <w:szCs w:val="22"/>
        </w:rPr>
        <w:t xml:space="preserve"> </w:t>
      </w:r>
      <w:r w:rsidR="00074424">
        <w:rPr>
          <w:sz w:val="22"/>
          <w:szCs w:val="22"/>
        </w:rPr>
        <w:t>California</w:t>
      </w:r>
      <w:r w:rsidR="0095104E">
        <w:rPr>
          <w:sz w:val="22"/>
          <w:szCs w:val="22"/>
        </w:rPr>
        <w:t xml:space="preserve">.  </w:t>
      </w:r>
      <w:r w:rsidR="00407016">
        <w:rPr>
          <w:sz w:val="22"/>
          <w:szCs w:val="22"/>
        </w:rPr>
        <w:t xml:space="preserve">The </w:t>
      </w:r>
      <w:r w:rsidRPr="00C63643" w:rsidR="008451F3">
        <w:rPr>
          <w:sz w:val="22"/>
          <w:szCs w:val="22"/>
        </w:rPr>
        <w:t>Agent determined that the device was</w:t>
      </w:r>
      <w:r w:rsidR="008451F3">
        <w:rPr>
          <w:sz w:val="22"/>
          <w:szCs w:val="22"/>
        </w:rPr>
        <w:t xml:space="preserve"> </w:t>
      </w:r>
      <w:r w:rsidR="001E0E71">
        <w:rPr>
          <w:sz w:val="22"/>
          <w:szCs w:val="22"/>
        </w:rPr>
        <w:t>a</w:t>
      </w:r>
      <w:r w:rsidRPr="00174950" w:rsidR="008451F3">
        <w:rPr>
          <w:sz w:val="22"/>
          <w:szCs w:val="22"/>
        </w:rPr>
        <w:t xml:space="preserve"> VHF Marine Radio</w:t>
      </w:r>
      <w:r w:rsidR="008451F3">
        <w:rPr>
          <w:sz w:val="22"/>
          <w:szCs w:val="22"/>
        </w:rPr>
        <w:t xml:space="preserve"> (M</w:t>
      </w:r>
      <w:r w:rsidRPr="00174950" w:rsidR="008451F3">
        <w:rPr>
          <w:sz w:val="22"/>
          <w:szCs w:val="22"/>
        </w:rPr>
        <w:t xml:space="preserve">odel </w:t>
      </w:r>
      <w:r w:rsidR="002D6DB4">
        <w:rPr>
          <w:sz w:val="22"/>
          <w:szCs w:val="22"/>
        </w:rPr>
        <w:t>M55</w:t>
      </w:r>
      <w:r w:rsidR="008451F3">
        <w:rPr>
          <w:sz w:val="22"/>
          <w:szCs w:val="22"/>
        </w:rPr>
        <w:t>)</w:t>
      </w:r>
      <w:r w:rsidR="004D3C15">
        <w:rPr>
          <w:sz w:val="22"/>
          <w:szCs w:val="22"/>
        </w:rPr>
        <w:t xml:space="preserve"> manufactured by ICOM and certified for Marine Band Communications</w:t>
      </w:r>
      <w:r w:rsidR="008451F3">
        <w:rPr>
          <w:sz w:val="22"/>
          <w:szCs w:val="22"/>
        </w:rPr>
        <w:t>.</w:t>
      </w:r>
      <w:r w:rsidR="0095104E">
        <w:rPr>
          <w:sz w:val="22"/>
          <w:szCs w:val="22"/>
        </w:rPr>
        <w:t xml:space="preserve">  </w:t>
      </w:r>
      <w:r w:rsidR="00407016">
        <w:rPr>
          <w:sz w:val="22"/>
          <w:szCs w:val="22"/>
        </w:rPr>
        <w:t xml:space="preserve">The </w:t>
      </w:r>
      <w:r w:rsidR="004D3C15">
        <w:rPr>
          <w:sz w:val="22"/>
          <w:szCs w:val="22"/>
        </w:rPr>
        <w:t xml:space="preserve">Agent confirmed that interference to USCG ceased when your equipment was unplugged.  </w:t>
      </w:r>
    </w:p>
    <w:p w:rsidR="004D3C15" w:rsidRPr="00174950" w:rsidP="00174950">
      <w:pPr>
        <w:rPr>
          <w:sz w:val="22"/>
          <w:szCs w:val="22"/>
        </w:rPr>
      </w:pPr>
    </w:p>
    <w:p w:rsidR="00174950" w:rsidRPr="00174950" w:rsidP="00174950">
      <w:pPr>
        <w:rPr>
          <w:sz w:val="22"/>
          <w:szCs w:val="22"/>
        </w:rPr>
      </w:pPr>
      <w:r w:rsidRPr="00174950">
        <w:rPr>
          <w:sz w:val="22"/>
          <w:szCs w:val="22"/>
        </w:rPr>
        <w:t>Operation on 156.8 MHz is reserved for the marine radio service and is for ship to ship or ship to shore (coast station) operation.</w:t>
      </w:r>
      <w:r>
        <w:rPr>
          <w:rStyle w:val="FootnoteReference"/>
          <w:sz w:val="22"/>
          <w:szCs w:val="22"/>
          <w:vertAlign w:val="superscript"/>
        </w:rPr>
        <w:footnoteReference w:id="2"/>
      </w:r>
      <w:r w:rsidRPr="00174950">
        <w:rPr>
          <w:sz w:val="22"/>
          <w:szCs w:val="22"/>
        </w:rPr>
        <w:t xml:space="preserve">  Specifically, the frequency 156.8 MHz (VHF Marine Channel 16) is designated as the international radiotelephone distress, urgency, safety, call and reply frequency for ships and coast stations.</w:t>
      </w:r>
      <w:r>
        <w:rPr>
          <w:rStyle w:val="FootnoteReference"/>
          <w:sz w:val="22"/>
          <w:szCs w:val="22"/>
          <w:vertAlign w:val="superscript"/>
        </w:rPr>
        <w:footnoteReference w:id="3"/>
      </w:r>
      <w:r w:rsidRPr="00174950">
        <w:rPr>
          <w:sz w:val="22"/>
          <w:szCs w:val="22"/>
          <w:vertAlign w:val="superscript"/>
        </w:rPr>
        <w:t xml:space="preserve"> </w:t>
      </w:r>
      <w:r w:rsidRPr="00174950">
        <w:rPr>
          <w:sz w:val="22"/>
          <w:szCs w:val="22"/>
        </w:rPr>
        <w:t xml:space="preserve"> Section 80.89(a) of the Rules states that “[s]tations must not engage in superfluous radio-communication.”</w:t>
      </w:r>
      <w:r>
        <w:rPr>
          <w:rStyle w:val="FootnoteReference"/>
          <w:sz w:val="22"/>
          <w:szCs w:val="22"/>
          <w:vertAlign w:val="superscript"/>
        </w:rPr>
        <w:footnoteReference w:id="4"/>
      </w:r>
      <w:r w:rsidRPr="00174950">
        <w:rPr>
          <w:sz w:val="22"/>
          <w:szCs w:val="22"/>
        </w:rPr>
        <w:t xml:space="preserve">  In addition, </w:t>
      </w:r>
      <w:r w:rsidR="00955646">
        <w:rPr>
          <w:sz w:val="22"/>
          <w:szCs w:val="22"/>
        </w:rPr>
        <w:t>s</w:t>
      </w:r>
      <w:r w:rsidRPr="00174950">
        <w:rPr>
          <w:sz w:val="22"/>
          <w:szCs w:val="22"/>
        </w:rPr>
        <w:t>ection 80.89(d) of the Rules states that “Stations must not use telephony, transmit signals or communications not addressed to a particular station or station</w:t>
      </w:r>
      <w:r w:rsidR="00620756">
        <w:rPr>
          <w:sz w:val="22"/>
          <w:szCs w:val="22"/>
        </w:rPr>
        <w:t>s . . . .</w:t>
      </w:r>
      <w:r w:rsidRPr="00174950">
        <w:rPr>
          <w:sz w:val="22"/>
          <w:szCs w:val="22"/>
        </w:rPr>
        <w:t>”</w:t>
      </w:r>
      <w:r>
        <w:rPr>
          <w:sz w:val="22"/>
          <w:szCs w:val="22"/>
          <w:vertAlign w:val="superscript"/>
        </w:rPr>
        <w:footnoteReference w:id="5"/>
      </w:r>
      <w:r w:rsidRPr="00174950">
        <w:rPr>
          <w:sz w:val="22"/>
          <w:szCs w:val="22"/>
        </w:rPr>
        <w:t xml:space="preserve">  </w:t>
      </w:r>
      <w:r w:rsidRPr="00174950" w:rsidR="00FC60CE">
        <w:rPr>
          <w:sz w:val="22"/>
          <w:szCs w:val="22"/>
        </w:rPr>
        <w:t xml:space="preserve">At the time of the investigation, the Agent determined that your </w:t>
      </w:r>
      <w:r w:rsidR="002D6DB4">
        <w:rPr>
          <w:sz w:val="22"/>
          <w:szCs w:val="22"/>
        </w:rPr>
        <w:t xml:space="preserve">ICOM </w:t>
      </w:r>
      <w:r w:rsidRPr="00174950" w:rsidR="00FC60CE">
        <w:rPr>
          <w:sz w:val="22"/>
          <w:szCs w:val="22"/>
        </w:rPr>
        <w:t>VHF Marine Radio</w:t>
      </w:r>
      <w:r w:rsidR="00FC60CE">
        <w:rPr>
          <w:sz w:val="22"/>
          <w:szCs w:val="22"/>
        </w:rPr>
        <w:t xml:space="preserve"> (M</w:t>
      </w:r>
      <w:r w:rsidRPr="00174950" w:rsidR="00FC60CE">
        <w:rPr>
          <w:sz w:val="22"/>
          <w:szCs w:val="22"/>
        </w:rPr>
        <w:t xml:space="preserve">odel </w:t>
      </w:r>
      <w:r w:rsidR="002D6DB4">
        <w:rPr>
          <w:sz w:val="22"/>
          <w:szCs w:val="22"/>
        </w:rPr>
        <w:t>M55</w:t>
      </w:r>
      <w:r w:rsidR="00FC60CE">
        <w:rPr>
          <w:sz w:val="22"/>
          <w:szCs w:val="22"/>
        </w:rPr>
        <w:t>)</w:t>
      </w:r>
      <w:r w:rsidRPr="00174950" w:rsidR="00FC60CE">
        <w:rPr>
          <w:sz w:val="22"/>
          <w:szCs w:val="22"/>
        </w:rPr>
        <w:t xml:space="preserve"> was transmitting a</w:t>
      </w:r>
      <w:r w:rsidR="00FC60CE">
        <w:rPr>
          <w:sz w:val="22"/>
          <w:szCs w:val="22"/>
        </w:rPr>
        <w:t>n unmodulated signal with no auth</w:t>
      </w:r>
      <w:r w:rsidRPr="00174950" w:rsidR="00FC60CE">
        <w:rPr>
          <w:sz w:val="22"/>
          <w:szCs w:val="22"/>
        </w:rPr>
        <w:t>orized purpose for the transmissions.</w:t>
      </w:r>
    </w:p>
    <w:p w:rsidR="00174950" w:rsidRPr="00174950" w:rsidP="00174950">
      <w:pPr>
        <w:rPr>
          <w:sz w:val="22"/>
          <w:szCs w:val="22"/>
        </w:rPr>
      </w:pPr>
    </w:p>
    <w:p w:rsidR="008451F3" w:rsidP="00267347">
      <w:pPr>
        <w:widowControl/>
        <w:spacing w:after="240"/>
        <w:rPr>
          <w:sz w:val="22"/>
          <w:szCs w:val="22"/>
        </w:rPr>
      </w:pPr>
      <w:r w:rsidRPr="00C63643">
        <w:rPr>
          <w:sz w:val="22"/>
          <w:szCs w:val="22"/>
        </w:rPr>
        <w:t xml:space="preserve">You are hereby notified, pursuant to </w:t>
      </w:r>
      <w:r w:rsidR="00955646">
        <w:rPr>
          <w:sz w:val="22"/>
          <w:szCs w:val="22"/>
        </w:rPr>
        <w:t>s</w:t>
      </w:r>
      <w:r w:rsidRPr="00C63643">
        <w:rPr>
          <w:sz w:val="22"/>
          <w:szCs w:val="22"/>
        </w:rPr>
        <w:t xml:space="preserve">ections </w:t>
      </w:r>
      <w:r w:rsidRPr="00B32235" w:rsidR="00620756">
        <w:rPr>
          <w:sz w:val="22"/>
          <w:szCs w:val="22"/>
        </w:rPr>
        <w:t>80.</w:t>
      </w:r>
      <w:r w:rsidR="00C74C2B">
        <w:rPr>
          <w:sz w:val="22"/>
          <w:szCs w:val="22"/>
        </w:rPr>
        <w:t>89(a)</w:t>
      </w:r>
      <w:r w:rsidR="00E40F50">
        <w:rPr>
          <w:sz w:val="22"/>
          <w:szCs w:val="22"/>
        </w:rPr>
        <w:t xml:space="preserve"> and</w:t>
      </w:r>
      <w:r w:rsidR="00C74C2B">
        <w:rPr>
          <w:sz w:val="22"/>
          <w:szCs w:val="22"/>
        </w:rPr>
        <w:t xml:space="preserve"> (d)</w:t>
      </w:r>
      <w:r w:rsidRPr="00C63643">
        <w:rPr>
          <w:sz w:val="22"/>
          <w:szCs w:val="22"/>
        </w:rPr>
        <w:t xml:space="preserve"> of the Commission’s rules,</w:t>
      </w:r>
      <w:r>
        <w:rPr>
          <w:rStyle w:val="FootnoteReference"/>
          <w:sz w:val="22"/>
          <w:szCs w:val="22"/>
          <w:vertAlign w:val="superscript"/>
        </w:rPr>
        <w:footnoteReference w:id="6"/>
      </w:r>
      <w:r w:rsidRPr="00C63643">
        <w:rPr>
          <w:sz w:val="22"/>
          <w:szCs w:val="22"/>
          <w:vertAlign w:val="superscript"/>
        </w:rPr>
        <w:t xml:space="preserve"> </w:t>
      </w:r>
      <w:r w:rsidRPr="00C63643">
        <w:rPr>
          <w:sz w:val="22"/>
          <w:szCs w:val="22"/>
        </w:rPr>
        <w:t xml:space="preserve"> that the </w:t>
      </w:r>
      <w:r w:rsidR="00262401">
        <w:rPr>
          <w:sz w:val="22"/>
          <w:szCs w:val="22"/>
        </w:rPr>
        <w:t>radio transmitter</w:t>
      </w:r>
      <w:r w:rsidRPr="00C63643">
        <w:rPr>
          <w:sz w:val="22"/>
          <w:szCs w:val="22"/>
        </w:rPr>
        <w:t xml:space="preserve"> equipment </w:t>
      </w:r>
      <w:r w:rsidRPr="00C63643" w:rsidR="00262401">
        <w:rPr>
          <w:sz w:val="22"/>
          <w:szCs w:val="22"/>
        </w:rPr>
        <w:t xml:space="preserve">located </w:t>
      </w:r>
      <w:r w:rsidR="00262401">
        <w:rPr>
          <w:sz w:val="22"/>
          <w:szCs w:val="22"/>
        </w:rPr>
        <w:t xml:space="preserve">in </w:t>
      </w:r>
      <w:r w:rsidRPr="00174950" w:rsidR="00262401">
        <w:rPr>
          <w:sz w:val="22"/>
          <w:szCs w:val="22"/>
        </w:rPr>
        <w:t>your vessel “</w:t>
      </w:r>
      <w:r w:rsidR="002D6DB4">
        <w:rPr>
          <w:sz w:val="22"/>
          <w:szCs w:val="22"/>
        </w:rPr>
        <w:t>Sea Birds</w:t>
      </w:r>
      <w:r w:rsidRPr="00174950" w:rsidR="00262401">
        <w:rPr>
          <w:sz w:val="22"/>
          <w:szCs w:val="22"/>
        </w:rPr>
        <w:t xml:space="preserve">” </w:t>
      </w:r>
      <w:r w:rsidR="00262401">
        <w:rPr>
          <w:sz w:val="22"/>
          <w:szCs w:val="22"/>
        </w:rPr>
        <w:t>(</w:t>
      </w:r>
      <w:r w:rsidRPr="00174950" w:rsidR="00262401">
        <w:rPr>
          <w:sz w:val="22"/>
          <w:szCs w:val="22"/>
        </w:rPr>
        <w:t xml:space="preserve">ID: </w:t>
      </w:r>
      <w:r w:rsidR="002D6DB4">
        <w:rPr>
          <w:sz w:val="22"/>
          <w:szCs w:val="22"/>
        </w:rPr>
        <w:t>PEA881171687</w:t>
      </w:r>
      <w:r w:rsidR="00262401">
        <w:rPr>
          <w:sz w:val="22"/>
          <w:szCs w:val="22"/>
        </w:rPr>
        <w:t>)</w:t>
      </w:r>
      <w:r w:rsidRPr="00174950" w:rsidR="00262401">
        <w:rPr>
          <w:sz w:val="22"/>
          <w:szCs w:val="22"/>
        </w:rPr>
        <w:t xml:space="preserve"> at </w:t>
      </w:r>
      <w:r w:rsidR="00EF541E">
        <w:rPr>
          <w:sz w:val="22"/>
          <w:szCs w:val="22"/>
        </w:rPr>
        <w:t xml:space="preserve">13924 Panay Way, </w:t>
      </w:r>
      <w:r w:rsidRPr="00174950" w:rsidR="00262401">
        <w:rPr>
          <w:sz w:val="22"/>
          <w:szCs w:val="22"/>
        </w:rPr>
        <w:t>D</w:t>
      </w:r>
      <w:r w:rsidR="002D6DB4">
        <w:rPr>
          <w:sz w:val="22"/>
          <w:szCs w:val="22"/>
        </w:rPr>
        <w:t>1300:Slip</w:t>
      </w:r>
      <w:r w:rsidR="002D6DB4">
        <w:rPr>
          <w:sz w:val="22"/>
          <w:szCs w:val="22"/>
        </w:rPr>
        <w:t xml:space="preserve"> 15,</w:t>
      </w:r>
      <w:r w:rsidRPr="00174950" w:rsidR="00262401">
        <w:rPr>
          <w:sz w:val="22"/>
          <w:szCs w:val="22"/>
        </w:rPr>
        <w:t xml:space="preserve"> Marina</w:t>
      </w:r>
      <w:r w:rsidR="002D6DB4">
        <w:rPr>
          <w:sz w:val="22"/>
          <w:szCs w:val="22"/>
        </w:rPr>
        <w:t xml:space="preserve"> Del Rey</w:t>
      </w:r>
      <w:r w:rsidRPr="00174950" w:rsidR="00262401">
        <w:rPr>
          <w:sz w:val="22"/>
          <w:szCs w:val="22"/>
        </w:rPr>
        <w:t xml:space="preserve">, </w:t>
      </w:r>
      <w:r w:rsidR="00A46B34">
        <w:rPr>
          <w:sz w:val="22"/>
          <w:szCs w:val="22"/>
        </w:rPr>
        <w:t>California</w:t>
      </w:r>
      <w:r w:rsidRPr="00C63643" w:rsidR="00262401">
        <w:rPr>
          <w:sz w:val="22"/>
          <w:szCs w:val="22"/>
        </w:rPr>
        <w:t xml:space="preserve"> </w:t>
      </w:r>
      <w:r w:rsidRPr="00C63643">
        <w:rPr>
          <w:sz w:val="22"/>
          <w:szCs w:val="22"/>
        </w:rPr>
        <w:t xml:space="preserve">was causing harmful interference to licensed communications.  Continued operation of this device in a manner that causes harmful interference after your receipt of this warning constitutes a violation of the Federal laws cited above and could subject the </w:t>
      </w:r>
      <w:r w:rsidRPr="00C63643">
        <w:rPr>
          <w:sz w:val="22"/>
          <w:szCs w:val="22"/>
        </w:rPr>
        <w:t xml:space="preserve">operator to severe penalties, including, but not limited to, substantial monetary fines, </w:t>
      </w:r>
      <w:r w:rsidRPr="00C63643">
        <w:rPr>
          <w:i/>
          <w:sz w:val="22"/>
          <w:szCs w:val="22"/>
        </w:rPr>
        <w:t>in rem</w:t>
      </w:r>
      <w:r w:rsidRPr="00C63643">
        <w:rPr>
          <w:sz w:val="22"/>
          <w:szCs w:val="22"/>
        </w:rPr>
        <w:t xml:space="preserve"> arrest action against the offending radio equipment, and criminal sanctions including imprisonment.</w:t>
      </w:r>
      <w:r>
        <w:rPr>
          <w:rStyle w:val="FootnoteReference"/>
          <w:sz w:val="22"/>
          <w:szCs w:val="22"/>
          <w:vertAlign w:val="superscript"/>
        </w:rPr>
        <w:footnoteReference w:id="7"/>
      </w:r>
    </w:p>
    <w:p w:rsidR="00262401" w:rsidRPr="00C63643" w:rsidP="00262401">
      <w:pPr>
        <w:widowControl/>
        <w:spacing w:after="240"/>
        <w:rPr>
          <w:sz w:val="22"/>
          <w:szCs w:val="22"/>
        </w:rPr>
      </w:pPr>
      <w:r w:rsidRPr="00C63643">
        <w:rPr>
          <w:b/>
          <w:sz w:val="22"/>
          <w:szCs w:val="22"/>
          <w:u w:val="single"/>
        </w:rPr>
        <w:t xml:space="preserve">OPERATION OF THIS TRANSMITTING DEVICE ON FREQUENCIES THAT CAUSE HARMFUL INTERFERENCE MUST CEASE IMMEDIATELY AND MUST NOT RESUME </w:t>
      </w:r>
    </w:p>
    <w:p w:rsidR="002D336E" w:rsidRPr="00C63643" w:rsidP="002D336E">
      <w:pPr>
        <w:widowControl/>
        <w:spacing w:after="240"/>
        <w:rPr>
          <w:sz w:val="22"/>
          <w:szCs w:val="22"/>
        </w:rPr>
      </w:pPr>
      <w:r w:rsidRPr="00C63643">
        <w:rPr>
          <w:sz w:val="22"/>
          <w:szCs w:val="22"/>
        </w:rPr>
        <w:t xml:space="preserve">You have ten (10) days from the date of this notice to respond concerning your operation of this device.  Your response should also describe the steps you are taking to ensure that your operation does not interfere with </w:t>
      </w:r>
      <w:r w:rsidRPr="00174950">
        <w:rPr>
          <w:sz w:val="22"/>
          <w:szCs w:val="22"/>
        </w:rPr>
        <w:t>the frequency 156.8 MHz (VHF Marine Channel 16)</w:t>
      </w:r>
      <w:r w:rsidRPr="00C63643">
        <w:rPr>
          <w:sz w:val="22"/>
          <w:szCs w:val="22"/>
        </w:rPr>
        <w:t>.  Your response should be sent to the address in the letterhead and reference the listed case number.  Under the Privacy Act of 1974,</w:t>
      </w:r>
      <w:r>
        <w:rPr>
          <w:rStyle w:val="FootnoteReference"/>
          <w:sz w:val="22"/>
          <w:szCs w:val="22"/>
          <w:vertAlign w:val="superscript"/>
        </w:rPr>
        <w:footnoteReference w:id="8"/>
      </w:r>
      <w:r w:rsidRPr="00C63643">
        <w:rPr>
          <w:sz w:val="22"/>
          <w:szCs w:val="22"/>
        </w:rPr>
        <w:t xml:space="preserve"> we are informing you that the Commission’s staff will use all relevant material information before it to determine what, if any, enforcement action is required to ensure your compliance with the Act and FCC rules.  This will include any information that you disclose in your reply.</w:t>
      </w:r>
    </w:p>
    <w:p w:rsidR="00174950" w:rsidRPr="00174950" w:rsidP="00174950">
      <w:pPr>
        <w:rPr>
          <w:sz w:val="22"/>
          <w:szCs w:val="22"/>
        </w:rPr>
      </w:pPr>
    </w:p>
    <w:p w:rsidR="00174950" w:rsidRPr="00174950" w:rsidP="00174950">
      <w:pPr>
        <w:tabs>
          <w:tab w:val="left" w:pos="-360"/>
        </w:tabs>
        <w:rPr>
          <w:sz w:val="22"/>
          <w:szCs w:val="22"/>
        </w:rPr>
      </w:pPr>
      <w:r w:rsidRPr="00174950">
        <w:rPr>
          <w:sz w:val="22"/>
          <w:szCs w:val="22"/>
        </w:rPr>
        <w:t>You may contact this office if you have any questions.</w:t>
      </w:r>
    </w:p>
    <w:p w:rsidR="00174950" w:rsidRPr="00174950" w:rsidP="00174950">
      <w:pPr>
        <w:rPr>
          <w:sz w:val="22"/>
          <w:szCs w:val="22"/>
        </w:rPr>
      </w:pPr>
    </w:p>
    <w:p w:rsidR="00174950" w:rsidRPr="00174950" w:rsidP="00174950">
      <w:pPr>
        <w:rPr>
          <w:sz w:val="22"/>
          <w:szCs w:val="22"/>
        </w:rPr>
      </w:pPr>
    </w:p>
    <w:p w:rsidR="00174950" w:rsidRPr="00174950" w:rsidP="00174950">
      <w:pPr>
        <w:rPr>
          <w:bCs/>
          <w:sz w:val="22"/>
          <w:szCs w:val="22"/>
        </w:rPr>
      </w:pPr>
    </w:p>
    <w:p w:rsidR="00174950" w:rsidRPr="00174950" w:rsidP="00174950">
      <w:pPr>
        <w:rPr>
          <w:bCs/>
          <w:sz w:val="22"/>
          <w:szCs w:val="22"/>
        </w:rPr>
      </w:pPr>
    </w:p>
    <w:p w:rsidR="00174950" w:rsidRPr="00174950" w:rsidP="00174950">
      <w:pPr>
        <w:rPr>
          <w:sz w:val="22"/>
          <w:szCs w:val="22"/>
        </w:rPr>
      </w:pPr>
      <w:r>
        <w:rPr>
          <w:sz w:val="22"/>
          <w:szCs w:val="22"/>
        </w:rPr>
        <w:t>Lark Hadley</w:t>
      </w:r>
    </w:p>
    <w:p w:rsidR="00174950" w:rsidRPr="00174950" w:rsidP="00174950">
      <w:pPr>
        <w:rPr>
          <w:sz w:val="22"/>
          <w:szCs w:val="22"/>
        </w:rPr>
      </w:pPr>
      <w:r w:rsidRPr="00174950">
        <w:rPr>
          <w:sz w:val="22"/>
          <w:szCs w:val="22"/>
        </w:rPr>
        <w:t>Regional Director</w:t>
      </w:r>
    </w:p>
    <w:p w:rsidR="00174950" w:rsidRPr="00174950" w:rsidP="00174950">
      <w:pPr>
        <w:rPr>
          <w:sz w:val="22"/>
          <w:szCs w:val="22"/>
        </w:rPr>
      </w:pPr>
      <w:r w:rsidRPr="00174950">
        <w:rPr>
          <w:sz w:val="22"/>
          <w:szCs w:val="22"/>
        </w:rPr>
        <w:t xml:space="preserve">Region </w:t>
      </w:r>
      <w:r w:rsidR="002D6DB4">
        <w:rPr>
          <w:sz w:val="22"/>
          <w:szCs w:val="22"/>
        </w:rPr>
        <w:t>Three</w:t>
      </w:r>
    </w:p>
    <w:p w:rsidR="00174950" w:rsidRPr="00174950" w:rsidP="00174950">
      <w:pPr>
        <w:rPr>
          <w:sz w:val="22"/>
          <w:szCs w:val="22"/>
        </w:rPr>
      </w:pPr>
      <w:r w:rsidRPr="00174950">
        <w:rPr>
          <w:sz w:val="22"/>
          <w:szCs w:val="22"/>
        </w:rPr>
        <w:t>Enforcement Bureau</w:t>
      </w:r>
    </w:p>
    <w:p w:rsidR="00174950" w:rsidP="00174950">
      <w:pPr>
        <w:suppressAutoHyphens/>
        <w:rPr>
          <w:sz w:val="22"/>
          <w:szCs w:val="22"/>
        </w:rPr>
      </w:pPr>
    </w:p>
    <w:p w:rsidR="002D336E" w:rsidP="00174950">
      <w:pPr>
        <w:suppressAutoHyphens/>
        <w:rPr>
          <w:sz w:val="22"/>
          <w:szCs w:val="22"/>
        </w:rPr>
      </w:pPr>
    </w:p>
    <w:p w:rsidR="002D336E" w:rsidRPr="00174950" w:rsidP="00174950">
      <w:pPr>
        <w:suppressAutoHyphens/>
        <w:rPr>
          <w:sz w:val="22"/>
          <w:szCs w:val="22"/>
        </w:rPr>
      </w:pPr>
    </w:p>
    <w:p w:rsidR="00174950" w:rsidRPr="00174950" w:rsidP="00174950">
      <w:pPr>
        <w:suppressAutoHyphens/>
        <w:rPr>
          <w:sz w:val="22"/>
          <w:szCs w:val="22"/>
        </w:rPr>
      </w:pPr>
    </w:p>
    <w:p w:rsidR="00174950" w:rsidP="00174950">
      <w:pPr>
        <w:suppressAutoHyphens/>
        <w:rPr>
          <w:sz w:val="22"/>
          <w:szCs w:val="22"/>
        </w:rPr>
      </w:pPr>
      <w:r w:rsidRPr="00174950">
        <w:rPr>
          <w:sz w:val="22"/>
          <w:szCs w:val="22"/>
        </w:rPr>
        <w:t>Attachments:</w:t>
      </w:r>
    </w:p>
    <w:p w:rsidR="00EF541E" w:rsidRPr="00174950" w:rsidP="00174950">
      <w:pPr>
        <w:suppressAutoHyphens/>
        <w:rPr>
          <w:sz w:val="22"/>
          <w:szCs w:val="22"/>
        </w:rPr>
      </w:pPr>
    </w:p>
    <w:p w:rsidR="00174950" w:rsidRPr="00174950" w:rsidP="00174950">
      <w:pPr>
        <w:suppressAutoHyphens/>
        <w:rPr>
          <w:sz w:val="22"/>
          <w:szCs w:val="22"/>
        </w:rPr>
      </w:pPr>
      <w:r w:rsidRPr="00174950">
        <w:rPr>
          <w:sz w:val="22"/>
          <w:szCs w:val="22"/>
        </w:rPr>
        <w:tab/>
        <w:t>Excerpts from the Communications Act of 1934, As Amended</w:t>
      </w:r>
    </w:p>
    <w:p w:rsidR="00174950" w:rsidRPr="00174950" w:rsidP="00174950">
      <w:pPr>
        <w:suppressAutoHyphens/>
        <w:rPr>
          <w:sz w:val="22"/>
          <w:szCs w:val="22"/>
        </w:rPr>
      </w:pPr>
      <w:r w:rsidRPr="00174950">
        <w:rPr>
          <w:sz w:val="22"/>
          <w:szCs w:val="22"/>
        </w:rPr>
        <w:tab/>
        <w:t xml:space="preserve">Enforcement Bureau, "Inspection Fact Sheet" </w:t>
      </w:r>
    </w:p>
    <w:p w:rsidR="00174950" w:rsidRPr="00174950" w:rsidP="00174950">
      <w:pPr>
        <w:jc w:val="both"/>
        <w:rPr>
          <w:bCs/>
          <w:color w:val="000000"/>
          <w:sz w:val="22"/>
          <w:szCs w:val="22"/>
        </w:rPr>
      </w:pPr>
    </w:p>
    <w:sectPr w:rsidSect="00930183">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0E7" w:rsidP="006F752F">
      <w:r>
        <w:separator/>
      </w:r>
    </w:p>
  </w:footnote>
  <w:footnote w:type="continuationSeparator" w:id="1">
    <w:p w:rsidR="009300E7" w:rsidP="006F752F">
      <w:r>
        <w:continuationSeparator/>
      </w:r>
    </w:p>
  </w:footnote>
  <w:footnote w:id="2">
    <w:p w:rsidR="00174950" w:rsidRPr="002348BB" w:rsidP="00174950">
      <w:pPr>
        <w:pStyle w:val="FootnoteText"/>
        <w:spacing w:after="120"/>
        <w:rPr>
          <w:i/>
          <w:iCs/>
          <w:color w:val="000000"/>
          <w:lang w:val="fr-FR"/>
        </w:rPr>
      </w:pPr>
      <w:r w:rsidRPr="00174950">
        <w:rPr>
          <w:rStyle w:val="FootnoteReference"/>
          <w:vertAlign w:val="superscript"/>
        </w:rPr>
        <w:footnoteRef/>
      </w:r>
      <w:r w:rsidRPr="00E35B51">
        <w:t xml:space="preserve"> </w:t>
      </w:r>
      <w:r w:rsidRPr="00DE059E">
        <w:t xml:space="preserve">47 CFR </w:t>
      </w:r>
      <w:r w:rsidRPr="00DE059E">
        <w:rPr>
          <w:color w:val="000000"/>
          <w:lang w:val="fr-FR"/>
        </w:rPr>
        <w:t xml:space="preserve">§§ 80.1 </w:t>
      </w:r>
      <w:r w:rsidRPr="00DE059E">
        <w:rPr>
          <w:i/>
          <w:iCs/>
          <w:color w:val="000000"/>
          <w:lang w:val="fr-FR"/>
        </w:rPr>
        <w:t>et seq.</w:t>
      </w:r>
    </w:p>
  </w:footnote>
  <w:footnote w:id="3">
    <w:p w:rsidR="00174950" w:rsidP="00174950">
      <w:pPr>
        <w:pStyle w:val="FootnoteText"/>
        <w:spacing w:after="120"/>
      </w:pPr>
      <w:r w:rsidRPr="00174950">
        <w:rPr>
          <w:rStyle w:val="FootnoteReference"/>
          <w:vertAlign w:val="superscript"/>
        </w:rPr>
        <w:footnoteRef/>
      </w:r>
      <w:r>
        <w:t xml:space="preserve"> 47 CFR § 80.369(e)(3).</w:t>
      </w:r>
    </w:p>
  </w:footnote>
  <w:footnote w:id="4">
    <w:p w:rsidR="00174950" w:rsidP="00174950">
      <w:pPr>
        <w:pStyle w:val="FootnoteText"/>
        <w:spacing w:after="120"/>
      </w:pPr>
      <w:r w:rsidRPr="00174950">
        <w:rPr>
          <w:rStyle w:val="FootnoteReference"/>
          <w:vertAlign w:val="superscript"/>
        </w:rPr>
        <w:footnoteRef/>
      </w:r>
      <w:r>
        <w:t xml:space="preserve"> </w:t>
      </w:r>
      <w:r w:rsidRPr="00DE059E">
        <w:t xml:space="preserve">47 CFR </w:t>
      </w:r>
      <w:r w:rsidRPr="00DE059E">
        <w:rPr>
          <w:color w:val="000000"/>
          <w:lang w:val="fr-FR"/>
        </w:rPr>
        <w:t>§ 80.</w:t>
      </w:r>
      <w:r>
        <w:rPr>
          <w:color w:val="000000"/>
          <w:lang w:val="fr-FR"/>
        </w:rPr>
        <w:t>89(a).</w:t>
      </w:r>
    </w:p>
  </w:footnote>
  <w:footnote w:id="5">
    <w:p w:rsidR="00174950" w:rsidP="00174950">
      <w:pPr>
        <w:pStyle w:val="FootnoteText"/>
        <w:spacing w:after="120"/>
      </w:pPr>
      <w:r w:rsidRPr="00174950">
        <w:rPr>
          <w:rStyle w:val="FootnoteReference"/>
          <w:vertAlign w:val="superscript"/>
        </w:rPr>
        <w:footnoteRef/>
      </w:r>
      <w:r>
        <w:t xml:space="preserve"> </w:t>
      </w:r>
      <w:r w:rsidRPr="00DE059E">
        <w:t xml:space="preserve">47 CFR </w:t>
      </w:r>
      <w:r w:rsidRPr="00DE059E">
        <w:rPr>
          <w:color w:val="000000"/>
          <w:lang w:val="fr-FR"/>
        </w:rPr>
        <w:t>§ 80.</w:t>
      </w:r>
      <w:r>
        <w:rPr>
          <w:color w:val="000000"/>
          <w:lang w:val="fr-FR"/>
        </w:rPr>
        <w:t>89(d).</w:t>
      </w:r>
    </w:p>
  </w:footnote>
  <w:footnote w:id="6">
    <w:p w:rsidR="008451F3" w:rsidP="008451F3">
      <w:pPr>
        <w:pStyle w:val="FootnoteText"/>
        <w:spacing w:after="120"/>
      </w:pPr>
      <w:r w:rsidRPr="00596C92">
        <w:rPr>
          <w:rStyle w:val="FootnoteReference"/>
          <w:vertAlign w:val="superscript"/>
        </w:rPr>
        <w:footnoteRef/>
      </w:r>
      <w:r>
        <w:t xml:space="preserve"> </w:t>
      </w:r>
      <w:r w:rsidRPr="00B32235">
        <w:rPr>
          <w:color w:val="000000"/>
          <w:szCs w:val="24"/>
        </w:rPr>
        <w:t>47 CFR §</w:t>
      </w:r>
      <w:r>
        <w:rPr>
          <w:color w:val="000000"/>
          <w:szCs w:val="24"/>
        </w:rPr>
        <w:t xml:space="preserve"> </w:t>
      </w:r>
      <w:r w:rsidR="00A07635">
        <w:rPr>
          <w:color w:val="000000"/>
          <w:szCs w:val="24"/>
        </w:rPr>
        <w:t>80.</w:t>
      </w:r>
      <w:r w:rsidR="00C74C2B">
        <w:rPr>
          <w:color w:val="000000"/>
          <w:szCs w:val="24"/>
        </w:rPr>
        <w:t>89(a), (d).</w:t>
      </w:r>
    </w:p>
  </w:footnote>
  <w:footnote w:id="7">
    <w:p w:rsidR="008451F3" w:rsidP="008451F3">
      <w:pPr>
        <w:pStyle w:val="FootnoteText"/>
        <w:spacing w:after="120"/>
      </w:pPr>
      <w:r w:rsidRPr="00596C92">
        <w:rPr>
          <w:rStyle w:val="FootnoteReference"/>
          <w:vertAlign w:val="superscript"/>
        </w:rPr>
        <w:footnoteRef/>
      </w:r>
      <w:r w:rsidRPr="00596C92">
        <w:rPr>
          <w:vertAlign w:val="superscript"/>
        </w:rPr>
        <w:t xml:space="preserve"> </w:t>
      </w:r>
      <w:r w:rsidRPr="00F655C8">
        <w:rPr>
          <w:i/>
        </w:rPr>
        <w:t xml:space="preserve">See </w:t>
      </w:r>
      <w:r w:rsidRPr="00F655C8">
        <w:t>47 U.S.C. §§ 401, 501, 503 and 510.</w:t>
      </w:r>
    </w:p>
  </w:footnote>
  <w:footnote w:id="8">
    <w:p w:rsidR="002D336E" w:rsidRPr="00DB4DCD" w:rsidP="002D336E">
      <w:pPr>
        <w:pStyle w:val="FootnoteText"/>
        <w:spacing w:after="120"/>
        <w:rPr>
          <w:lang w:val="es-ES"/>
        </w:rPr>
      </w:pPr>
      <w:r w:rsidRPr="003613FD">
        <w:rPr>
          <w:rStyle w:val="FootnoteReference"/>
          <w:vertAlign w:val="superscript"/>
        </w:rPr>
        <w:footnoteRef/>
      </w:r>
      <w:r w:rsidRPr="00DB4DCD">
        <w:rPr>
          <w:lang w:val="es-ES"/>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B80">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2F"/>
    <w:rsid w:val="00005A07"/>
    <w:rsid w:val="00016729"/>
    <w:rsid w:val="00041F58"/>
    <w:rsid w:val="00074424"/>
    <w:rsid w:val="00083642"/>
    <w:rsid w:val="00086880"/>
    <w:rsid w:val="000B22BF"/>
    <w:rsid w:val="0014174C"/>
    <w:rsid w:val="00174950"/>
    <w:rsid w:val="001A58A7"/>
    <w:rsid w:val="001A5E9D"/>
    <w:rsid w:val="001B3F75"/>
    <w:rsid w:val="001C7DD0"/>
    <w:rsid w:val="001E0E71"/>
    <w:rsid w:val="002348BB"/>
    <w:rsid w:val="00242D21"/>
    <w:rsid w:val="00262401"/>
    <w:rsid w:val="00267347"/>
    <w:rsid w:val="002B05EA"/>
    <w:rsid w:val="002D336E"/>
    <w:rsid w:val="002D61BC"/>
    <w:rsid w:val="002D6DB4"/>
    <w:rsid w:val="003012CD"/>
    <w:rsid w:val="00394592"/>
    <w:rsid w:val="003A1741"/>
    <w:rsid w:val="00407016"/>
    <w:rsid w:val="00450D66"/>
    <w:rsid w:val="004D3C15"/>
    <w:rsid w:val="00557F02"/>
    <w:rsid w:val="00596C92"/>
    <w:rsid w:val="005E376F"/>
    <w:rsid w:val="00620756"/>
    <w:rsid w:val="00643752"/>
    <w:rsid w:val="006470DE"/>
    <w:rsid w:val="00651B80"/>
    <w:rsid w:val="006A7332"/>
    <w:rsid w:val="006E325F"/>
    <w:rsid w:val="006F752F"/>
    <w:rsid w:val="00743276"/>
    <w:rsid w:val="00743FE4"/>
    <w:rsid w:val="007903CE"/>
    <w:rsid w:val="007B3F6B"/>
    <w:rsid w:val="008130C0"/>
    <w:rsid w:val="00817630"/>
    <w:rsid w:val="00821657"/>
    <w:rsid w:val="008451F3"/>
    <w:rsid w:val="008B4454"/>
    <w:rsid w:val="008F7D10"/>
    <w:rsid w:val="00911337"/>
    <w:rsid w:val="00915E2C"/>
    <w:rsid w:val="009300E7"/>
    <w:rsid w:val="00930183"/>
    <w:rsid w:val="009326C0"/>
    <w:rsid w:val="0095104E"/>
    <w:rsid w:val="00951790"/>
    <w:rsid w:val="00955646"/>
    <w:rsid w:val="00971B68"/>
    <w:rsid w:val="009B37C4"/>
    <w:rsid w:val="00A07635"/>
    <w:rsid w:val="00A25325"/>
    <w:rsid w:val="00A33DC9"/>
    <w:rsid w:val="00A46B34"/>
    <w:rsid w:val="00A52B99"/>
    <w:rsid w:val="00A572C2"/>
    <w:rsid w:val="00A6375E"/>
    <w:rsid w:val="00A80237"/>
    <w:rsid w:val="00AC0543"/>
    <w:rsid w:val="00AF323C"/>
    <w:rsid w:val="00B1301F"/>
    <w:rsid w:val="00B14FE7"/>
    <w:rsid w:val="00B227D5"/>
    <w:rsid w:val="00B32235"/>
    <w:rsid w:val="00BB02D6"/>
    <w:rsid w:val="00C0358B"/>
    <w:rsid w:val="00C33669"/>
    <w:rsid w:val="00C63643"/>
    <w:rsid w:val="00C74C2B"/>
    <w:rsid w:val="00CA7AC0"/>
    <w:rsid w:val="00CB59C2"/>
    <w:rsid w:val="00CC4843"/>
    <w:rsid w:val="00CD05C3"/>
    <w:rsid w:val="00CE6BB9"/>
    <w:rsid w:val="00D16284"/>
    <w:rsid w:val="00D34150"/>
    <w:rsid w:val="00DB4DCD"/>
    <w:rsid w:val="00DB7879"/>
    <w:rsid w:val="00DE059E"/>
    <w:rsid w:val="00DF5FBD"/>
    <w:rsid w:val="00E271E4"/>
    <w:rsid w:val="00E35B51"/>
    <w:rsid w:val="00E40F50"/>
    <w:rsid w:val="00ED0AD8"/>
    <w:rsid w:val="00EF541E"/>
    <w:rsid w:val="00F53DFE"/>
    <w:rsid w:val="00F655C8"/>
    <w:rsid w:val="00F85347"/>
    <w:rsid w:val="00F87ECC"/>
    <w:rsid w:val="00FA23FE"/>
    <w:rsid w:val="00FA4484"/>
    <w:rsid w:val="00FC22E5"/>
    <w:rsid w:val="00FC60C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2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1749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4150"/>
    <w:pPr>
      <w:widowControl/>
      <w:spacing w:before="200" w:after="100"/>
      <w:jc w:val="center"/>
      <w:outlineLvl w:val="1"/>
    </w:pPr>
    <w:rPr>
      <w:b/>
      <w:bCs/>
      <w:snapToGrid/>
      <w:sz w:val="20"/>
    </w:rPr>
  </w:style>
  <w:style w:type="paragraph" w:styleId="Heading3">
    <w:name w:val="heading 3"/>
    <w:basedOn w:val="Normal"/>
    <w:next w:val="Normal"/>
    <w:link w:val="Heading3Char"/>
    <w:uiPriority w:val="9"/>
    <w:semiHidden/>
    <w:unhideWhenUsed/>
    <w:qFormat/>
    <w:rsid w:val="00A33DC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752F"/>
  </w:style>
  <w:style w:type="paragraph" w:styleId="Header">
    <w:name w:val="header"/>
    <w:basedOn w:val="Normal"/>
    <w:link w:val="HeaderChar"/>
    <w:rsid w:val="006F752F"/>
    <w:pPr>
      <w:tabs>
        <w:tab w:val="center" w:pos="4320"/>
        <w:tab w:val="right" w:pos="8640"/>
      </w:tabs>
    </w:pPr>
  </w:style>
  <w:style w:type="character" w:customStyle="1" w:styleId="HeaderChar">
    <w:name w:val="Header Char"/>
    <w:basedOn w:val="DefaultParagraphFont"/>
    <w:link w:val="Header"/>
    <w:rsid w:val="006F752F"/>
    <w:rPr>
      <w:rFonts w:ascii="Times New Roman" w:eastAsia="Times New Roman" w:hAnsi="Times New Roman" w:cs="Times New Roman"/>
      <w:snapToGrid w:val="0"/>
      <w:sz w:val="24"/>
      <w:szCs w:val="20"/>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rrfootnote Char Char Char"/>
    <w:basedOn w:val="Normal"/>
    <w:link w:val="FootnoteTextChar2"/>
    <w:semiHidden/>
    <w:rsid w:val="006F752F"/>
    <w:pPr>
      <w:widowControl/>
    </w:pPr>
    <w:rPr>
      <w:snapToGrid/>
      <w:sz w:val="20"/>
    </w:rPr>
  </w:style>
  <w:style w:type="character" w:customStyle="1" w:styleId="FootnoteTextChar">
    <w:name w:val="Footnote Text Char"/>
    <w:aliases w:val="Footnote Text Char Char Char Char Char Char1,Footnote Text Char Char Char Char1,Footnote Text Char1 Char Char Char Char Char Char1,Footnote Text Char1 Char Char Char Char1,Footnote Text Char1 Char Char1,rrfootnote Char Char Char Char1"/>
    <w:basedOn w:val="DefaultParagraphFont"/>
    <w:semiHidden/>
    <w:rsid w:val="006F752F"/>
    <w:rPr>
      <w:rFonts w:ascii="Times New Roman" w:eastAsia="Times New Roman" w:hAnsi="Times New Roman" w:cs="Times New Roman"/>
      <w:snapToGrid w:val="0"/>
      <w:sz w:val="20"/>
      <w:szCs w:val="20"/>
    </w:rPr>
  </w:style>
  <w:style w:type="character" w:customStyle="1" w:styleId="FootnoteTextChar2">
    <w:name w:val="Footnote Text Char2"/>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rsid w:val="006F752F"/>
    <w:rPr>
      <w:rFonts w:ascii="Times New Roman" w:eastAsia="Times New Roman" w:hAnsi="Times New Roman" w:cs="Times New Roman"/>
      <w:sz w:val="20"/>
      <w:szCs w:val="20"/>
    </w:rPr>
  </w:style>
  <w:style w:type="character" w:customStyle="1" w:styleId="StyleRed">
    <w:name w:val="Style Red"/>
    <w:rsid w:val="006F752F"/>
    <w:rPr>
      <w:color w:val="auto"/>
    </w:rPr>
  </w:style>
  <w:style w:type="character" w:customStyle="1" w:styleId="Heading2Char">
    <w:name w:val="Heading 2 Char"/>
    <w:basedOn w:val="DefaultParagraphFont"/>
    <w:link w:val="Heading2"/>
    <w:uiPriority w:val="9"/>
    <w:rsid w:val="00D3415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4150"/>
    <w:pPr>
      <w:widowControl/>
      <w:spacing w:before="100" w:beforeAutospacing="1" w:after="100" w:afterAutospacing="1"/>
      <w:ind w:firstLine="480"/>
    </w:pPr>
    <w:rPr>
      <w:snapToGrid/>
      <w:szCs w:val="24"/>
    </w:rPr>
  </w:style>
  <w:style w:type="paragraph" w:styleId="BalloonText">
    <w:name w:val="Balloon Text"/>
    <w:basedOn w:val="Normal"/>
    <w:link w:val="BalloonTextChar"/>
    <w:uiPriority w:val="99"/>
    <w:semiHidden/>
    <w:unhideWhenUsed/>
    <w:rsid w:val="00643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52"/>
    <w:rPr>
      <w:rFonts w:ascii="Segoe UI" w:eastAsia="Times New Roman" w:hAnsi="Segoe UI" w:cs="Segoe UI"/>
      <w:snapToGrid w:val="0"/>
      <w:sz w:val="18"/>
      <w:szCs w:val="18"/>
    </w:rPr>
  </w:style>
  <w:style w:type="paragraph" w:styleId="Footer">
    <w:name w:val="footer"/>
    <w:basedOn w:val="Normal"/>
    <w:link w:val="FooterChar"/>
    <w:uiPriority w:val="99"/>
    <w:unhideWhenUsed/>
    <w:rsid w:val="006A7332"/>
    <w:pPr>
      <w:tabs>
        <w:tab w:val="center" w:pos="4680"/>
        <w:tab w:val="right" w:pos="9360"/>
      </w:tabs>
    </w:pPr>
  </w:style>
  <w:style w:type="character" w:customStyle="1" w:styleId="FooterChar">
    <w:name w:val="Footer Char"/>
    <w:basedOn w:val="DefaultParagraphFont"/>
    <w:link w:val="Footer"/>
    <w:uiPriority w:val="99"/>
    <w:rsid w:val="006A7332"/>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174950"/>
    <w:rPr>
      <w:rFonts w:asciiTheme="majorHAnsi" w:eastAsiaTheme="majorEastAsia" w:hAnsiTheme="majorHAnsi" w:cstheme="majorBidi"/>
      <w:snapToGrid w:val="0"/>
      <w:color w:val="2E74B5" w:themeColor="accent1" w:themeShade="BF"/>
      <w:sz w:val="32"/>
      <w:szCs w:val="32"/>
    </w:rPr>
  </w:style>
  <w:style w:type="paragraph" w:customStyle="1" w:styleId="InsideAddressName">
    <w:name w:val="Inside Address Name"/>
    <w:basedOn w:val="Normal"/>
    <w:next w:val="Normal"/>
    <w:uiPriority w:val="99"/>
    <w:rsid w:val="00174950"/>
    <w:pPr>
      <w:widowControl/>
      <w:spacing w:before="220" w:line="240" w:lineRule="atLeast"/>
      <w:jc w:val="both"/>
    </w:pPr>
    <w:rPr>
      <w:rFonts w:ascii="Garamond" w:hAnsi="Garamond"/>
      <w:snapToGrid/>
      <w:kern w:val="18"/>
      <w:sz w:val="20"/>
    </w:rPr>
  </w:style>
  <w:style w:type="character" w:customStyle="1" w:styleId="Heading3Char">
    <w:name w:val="Heading 3 Char"/>
    <w:basedOn w:val="DefaultParagraphFont"/>
    <w:link w:val="Heading3"/>
    <w:uiPriority w:val="9"/>
    <w:semiHidden/>
    <w:rsid w:val="00A33DC9"/>
    <w:rPr>
      <w:rFonts w:asciiTheme="majorHAnsi" w:eastAsiaTheme="majorEastAsia" w:hAnsiTheme="majorHAnsi" w:cstheme="majorBidi"/>
      <w:snapToGrid w:val="0"/>
      <w:color w:val="1F4D78" w:themeColor="accent1" w:themeShade="7F"/>
      <w:sz w:val="24"/>
      <w:szCs w:val="24"/>
    </w:rPr>
  </w:style>
  <w:style w:type="paragraph" w:styleId="Title">
    <w:name w:val="Title"/>
    <w:basedOn w:val="Normal"/>
    <w:link w:val="TitleChar"/>
    <w:uiPriority w:val="10"/>
    <w:qFormat/>
    <w:rsid w:val="00A33DC9"/>
    <w:pPr>
      <w:widowControl/>
      <w:jc w:val="center"/>
    </w:pPr>
    <w:rPr>
      <w:b/>
      <w:smallCaps/>
      <w:snapToGrid/>
      <w:spacing w:val="-3"/>
      <w:sz w:val="28"/>
    </w:rPr>
  </w:style>
  <w:style w:type="character" w:customStyle="1" w:styleId="TitleChar">
    <w:name w:val="Title Char"/>
    <w:basedOn w:val="DefaultParagraphFont"/>
    <w:link w:val="Title"/>
    <w:uiPriority w:val="10"/>
    <w:rsid w:val="00A33DC9"/>
    <w:rPr>
      <w:rFonts w:ascii="Times New Roman" w:eastAsia="Times New Roman" w:hAnsi="Times New Roman" w:cs="Times New Roman"/>
      <w:b/>
      <w:smallCaps/>
      <w:spacing w:val="-3"/>
      <w:sz w:val="28"/>
      <w:szCs w:val="20"/>
    </w:rPr>
  </w:style>
  <w:style w:type="paragraph" w:styleId="Subtitle">
    <w:name w:val="Subtitle"/>
    <w:basedOn w:val="Normal"/>
    <w:link w:val="SubtitleChar"/>
    <w:uiPriority w:val="11"/>
    <w:qFormat/>
    <w:rsid w:val="00A33DC9"/>
    <w:pPr>
      <w:widowControl/>
      <w:jc w:val="center"/>
    </w:pPr>
    <w:rPr>
      <w:b/>
      <w:smallCaps/>
      <w:snapToGrid/>
      <w:spacing w:val="-3"/>
      <w:sz w:val="28"/>
    </w:rPr>
  </w:style>
  <w:style w:type="character" w:customStyle="1" w:styleId="SubtitleChar">
    <w:name w:val="Subtitle Char"/>
    <w:basedOn w:val="DefaultParagraphFont"/>
    <w:link w:val="Subtitle"/>
    <w:uiPriority w:val="11"/>
    <w:rsid w:val="00A33DC9"/>
    <w:rPr>
      <w:rFonts w:ascii="Times New Roman" w:eastAsia="Times New Roman" w:hAnsi="Times New Roman" w:cs="Times New Roman"/>
      <w:b/>
      <w:smallCaps/>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