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026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outlineLvl w:val="0"/>
        <w:rPr>
          <w:szCs w:val="24"/>
        </w:rPr>
      </w:pPr>
    </w:p>
    <w:p w:rsidR="00133457" w:rsidRPr="00245EAD">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outlineLvl w:val="0"/>
        <w:rPr>
          <w:szCs w:val="24"/>
        </w:rPr>
      </w:pPr>
      <w:r w:rsidRPr="00245EAD">
        <w:rPr>
          <w:szCs w:val="24"/>
        </w:rPr>
        <w:t>Approved by OMB</w:t>
      </w:r>
    </w:p>
    <w:p w:rsidR="00133457" w:rsidRPr="00245EAD">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45EAD">
        <w:rPr>
          <w:szCs w:val="24"/>
        </w:rPr>
        <w:t>3060-0512</w:t>
      </w:r>
    </w:p>
    <w:p w:rsidR="00133457" w:rsidRPr="00245EAD">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45EAD">
        <w:rPr>
          <w:szCs w:val="24"/>
        </w:rPr>
        <w:t>Edition Date: 12/</w:t>
      </w:r>
      <w:r w:rsidR="00EA0EB9">
        <w:rPr>
          <w:szCs w:val="24"/>
        </w:rPr>
        <w:t>201</w:t>
      </w:r>
      <w:r w:rsidR="006F4454">
        <w:rPr>
          <w:szCs w:val="24"/>
        </w:rPr>
        <w:t>6</w:t>
      </w:r>
    </w:p>
    <w:p w:rsidR="00B80600" w:rsidRPr="0024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szCs w:val="24"/>
          <w:u w:val="single"/>
        </w:rPr>
      </w:pPr>
    </w:p>
    <w:p w:rsidR="00133457" w:rsidRPr="0024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szCs w:val="24"/>
        </w:rPr>
      </w:pPr>
      <w:r w:rsidRPr="00245EAD">
        <w:rPr>
          <w:szCs w:val="24"/>
          <w:u w:val="single"/>
        </w:rPr>
        <w:t>SUMMARY</w:t>
      </w:r>
    </w:p>
    <w:p w:rsidR="00133457" w:rsidRPr="0024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p>
    <w:p w:rsidR="00133457" w:rsidRPr="0024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b/>
          <w:szCs w:val="24"/>
        </w:rPr>
      </w:pPr>
      <w:r w:rsidRPr="00245EAD">
        <w:rPr>
          <w:szCs w:val="24"/>
        </w:rPr>
        <w:t>Estimated Average Burden Hours Per Response:</w:t>
      </w:r>
      <w:r w:rsidRPr="00245EAD">
        <w:rPr>
          <w:b/>
          <w:szCs w:val="24"/>
        </w:rPr>
        <w:t xml:space="preserve"> </w:t>
      </w:r>
      <w:r w:rsidRPr="00245EAD" w:rsidR="00A576FA">
        <w:rPr>
          <w:szCs w:val="24"/>
        </w:rPr>
        <w:t xml:space="preserve">88 </w:t>
      </w:r>
      <w:r w:rsidRPr="00245EAD">
        <w:rPr>
          <w:szCs w:val="24"/>
        </w:rPr>
        <w:t>hours</w:t>
      </w:r>
    </w:p>
    <w:p w:rsidR="00133457" w:rsidRPr="0024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CC0308" w:rsidRPr="00245EAD" w:rsidP="00BB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245EAD">
        <w:rPr>
          <w:spacing w:val="-3"/>
          <w:szCs w:val="24"/>
        </w:rPr>
        <w:t>This document provides the Report Definition</w:t>
      </w:r>
      <w:r w:rsidRPr="00245EAD" w:rsidR="00A3302F">
        <w:rPr>
          <w:spacing w:val="-3"/>
          <w:szCs w:val="24"/>
        </w:rPr>
        <w:t>s</w:t>
      </w:r>
      <w:r w:rsidRPr="00245EAD">
        <w:rPr>
          <w:spacing w:val="-3"/>
          <w:szCs w:val="24"/>
        </w:rPr>
        <w:t xml:space="preserve"> for </w:t>
      </w:r>
      <w:r w:rsidRPr="00245EAD" w:rsidR="00FA10A2">
        <w:rPr>
          <w:spacing w:val="-3"/>
          <w:szCs w:val="24"/>
        </w:rPr>
        <w:t xml:space="preserve">the </w:t>
      </w:r>
      <w:r w:rsidRPr="00245EAD">
        <w:rPr>
          <w:spacing w:val="-3"/>
          <w:szCs w:val="24"/>
        </w:rPr>
        <w:t xml:space="preserve">FCC </w:t>
      </w:r>
      <w:r w:rsidRPr="00245EAD" w:rsidR="00AB1B34">
        <w:rPr>
          <w:spacing w:val="-3"/>
          <w:szCs w:val="24"/>
        </w:rPr>
        <w:t xml:space="preserve">ARMIS </w:t>
      </w:r>
      <w:r w:rsidRPr="00245EAD">
        <w:rPr>
          <w:spacing w:val="-3"/>
          <w:szCs w:val="24"/>
        </w:rPr>
        <w:t>Report 43-01, the ARMIS Annual Summary Report</w:t>
      </w:r>
      <w:r w:rsidRPr="00245EAD" w:rsidR="00A3302F">
        <w:rPr>
          <w:spacing w:val="-3"/>
          <w:szCs w:val="24"/>
        </w:rPr>
        <w:t>, and</w:t>
      </w:r>
      <w:r w:rsidRPr="00245EAD" w:rsidR="0074718B">
        <w:rPr>
          <w:spacing w:val="-3"/>
          <w:szCs w:val="24"/>
        </w:rPr>
        <w:t xml:space="preserve"> for </w:t>
      </w:r>
      <w:r w:rsidRPr="00245EAD" w:rsidR="00FA10A2">
        <w:rPr>
          <w:spacing w:val="-3"/>
          <w:szCs w:val="24"/>
        </w:rPr>
        <w:t xml:space="preserve">the </w:t>
      </w:r>
      <w:r w:rsidRPr="00245EAD" w:rsidR="006A4BB8">
        <w:rPr>
          <w:spacing w:val="-3"/>
          <w:szCs w:val="24"/>
        </w:rPr>
        <w:t>Pole and Conduit Rental Calculation Information</w:t>
      </w:r>
      <w:r w:rsidRPr="00245EAD" w:rsidR="00FA10A2">
        <w:rPr>
          <w:spacing w:val="-3"/>
          <w:szCs w:val="24"/>
        </w:rPr>
        <w:t xml:space="preserve"> </w:t>
      </w:r>
      <w:r w:rsidRPr="00245EAD" w:rsidR="006A4BB8">
        <w:rPr>
          <w:spacing w:val="-3"/>
          <w:szCs w:val="24"/>
        </w:rPr>
        <w:t>(“pole attachment data”)</w:t>
      </w:r>
      <w:r w:rsidRPr="00245EAD" w:rsidR="00054833">
        <w:rPr>
          <w:spacing w:val="-3"/>
          <w:szCs w:val="24"/>
        </w:rPr>
        <w:t xml:space="preserve"> Report</w:t>
      </w:r>
      <w:r w:rsidRPr="00245EAD" w:rsidR="005454AD">
        <w:rPr>
          <w:spacing w:val="-3"/>
          <w:szCs w:val="24"/>
        </w:rPr>
        <w:t xml:space="preserve">, </w:t>
      </w:r>
      <w:r w:rsidRPr="00245EAD" w:rsidR="00D22DF4">
        <w:rPr>
          <w:spacing w:val="-3"/>
          <w:szCs w:val="24"/>
        </w:rPr>
        <w:t xml:space="preserve">which certain carriers must file as a condition of </w:t>
      </w:r>
      <w:r w:rsidRPr="00245EAD" w:rsidR="00877B82">
        <w:rPr>
          <w:spacing w:val="-3"/>
          <w:szCs w:val="24"/>
        </w:rPr>
        <w:t>forbearance from the obligation to file the full ARMIS Report 43-01.</w:t>
      </w:r>
      <w:r w:rsidRPr="00245EAD" w:rsidR="00F05124">
        <w:rPr>
          <w:spacing w:val="-3"/>
          <w:szCs w:val="24"/>
        </w:rPr>
        <w:t xml:space="preserve"> </w:t>
      </w:r>
      <w:r w:rsidRPr="00245EAD" w:rsidR="009E09ED">
        <w:rPr>
          <w:spacing w:val="-3"/>
          <w:szCs w:val="24"/>
        </w:rPr>
        <w:t xml:space="preserve">This document should be used in conjunction with the </w:t>
      </w:r>
      <w:hyperlink r:id="rId5" w:history="1">
        <w:r w:rsidRPr="002858A5" w:rsidR="009E09ED">
          <w:rPr>
            <w:rStyle w:val="Hyperlink"/>
            <w:i/>
            <w:spacing w:val="-3"/>
            <w:szCs w:val="24"/>
          </w:rPr>
          <w:t>Reporting</w:t>
        </w:r>
        <w:r w:rsidRPr="002858A5" w:rsidR="009E09ED">
          <w:rPr>
            <w:rStyle w:val="Hyperlink"/>
            <w:spacing w:val="-3"/>
            <w:szCs w:val="24"/>
          </w:rPr>
          <w:t xml:space="preserve"> </w:t>
        </w:r>
        <w:r w:rsidRPr="002858A5" w:rsidR="009E09ED">
          <w:rPr>
            <w:rStyle w:val="Hyperlink"/>
            <w:i/>
            <w:spacing w:val="-3"/>
            <w:szCs w:val="24"/>
          </w:rPr>
          <w:t>P</w:t>
        </w:r>
        <w:bookmarkStart w:id="0" w:name="_GoBack"/>
        <w:bookmarkEnd w:id="0"/>
        <w:r w:rsidRPr="002858A5" w:rsidR="009E09ED">
          <w:rPr>
            <w:rStyle w:val="Hyperlink"/>
            <w:i/>
            <w:spacing w:val="-3"/>
            <w:szCs w:val="24"/>
          </w:rPr>
          <w:t>r</w:t>
        </w:r>
        <w:r w:rsidRPr="002858A5" w:rsidR="009E09ED">
          <w:rPr>
            <w:rStyle w:val="Hyperlink"/>
            <w:i/>
            <w:spacing w:val="-3"/>
            <w:szCs w:val="24"/>
          </w:rPr>
          <w:t>ocedures</w:t>
        </w:r>
      </w:hyperlink>
      <w:r w:rsidRPr="00245EAD" w:rsidR="009E09ED">
        <w:rPr>
          <w:color w:val="1F497D" w:themeColor="text2"/>
          <w:spacing w:val="-3"/>
          <w:szCs w:val="24"/>
        </w:rPr>
        <w:t xml:space="preserve"> </w:t>
      </w:r>
      <w:r w:rsidRPr="00245EAD" w:rsidR="009E09ED">
        <w:rPr>
          <w:spacing w:val="-3"/>
          <w:szCs w:val="24"/>
        </w:rPr>
        <w:t>document to obtain a complete view of the filing procedur</w:t>
      </w:r>
      <w:r w:rsidRPr="00245EAD" w:rsidR="00EC62AF">
        <w:rPr>
          <w:spacing w:val="-3"/>
          <w:szCs w:val="24"/>
        </w:rPr>
        <w:t xml:space="preserve">es and </w:t>
      </w:r>
      <w:r w:rsidRPr="00245EAD" w:rsidR="006751D4">
        <w:rPr>
          <w:spacing w:val="-3"/>
          <w:szCs w:val="24"/>
        </w:rPr>
        <w:t>requirements applicable</w:t>
      </w:r>
      <w:r w:rsidRPr="00245EAD" w:rsidR="009E09ED">
        <w:rPr>
          <w:spacing w:val="-3"/>
          <w:szCs w:val="24"/>
        </w:rPr>
        <w:t xml:space="preserve"> to these two reports.</w:t>
      </w:r>
    </w:p>
    <w:p w:rsidR="009E09ED" w:rsidRPr="00245EAD" w:rsidP="00BB2765">
      <w:pPr>
        <w:tabs>
          <w:tab w:val="right" w:pos="9360"/>
        </w:tabs>
        <w:suppressAutoHyphens/>
        <w:rPr>
          <w:szCs w:val="24"/>
        </w:rPr>
      </w:pPr>
    </w:p>
    <w:p w:rsidR="00AB1B34" w:rsidRPr="00245EAD" w:rsidP="00BB2765">
      <w:pPr>
        <w:tabs>
          <w:tab w:val="right" w:pos="9360"/>
        </w:tabs>
        <w:suppressAutoHyphens/>
        <w:rPr>
          <w:szCs w:val="24"/>
        </w:rPr>
      </w:pPr>
      <w:r w:rsidRPr="00245EAD">
        <w:rPr>
          <w:szCs w:val="24"/>
        </w:rPr>
        <w:t xml:space="preserve">Generally, this document contains </w:t>
      </w:r>
      <w:r w:rsidRPr="00245EAD" w:rsidR="000F2ED9">
        <w:rPr>
          <w:szCs w:val="24"/>
        </w:rPr>
        <w:t>a description of each report which includes</w:t>
      </w:r>
      <w:r w:rsidRPr="00245EAD" w:rsidR="005370C6">
        <w:rPr>
          <w:szCs w:val="24"/>
        </w:rPr>
        <w:t>:</w:t>
      </w:r>
      <w:r w:rsidRPr="00245EAD" w:rsidR="000F2ED9">
        <w:rPr>
          <w:szCs w:val="24"/>
        </w:rPr>
        <w:t xml:space="preserve"> </w:t>
      </w:r>
      <w:r w:rsidRPr="00245EAD">
        <w:rPr>
          <w:szCs w:val="24"/>
        </w:rPr>
        <w:t xml:space="preserve">(1) illustrations of all </w:t>
      </w:r>
      <w:r w:rsidRPr="00245EAD" w:rsidR="00266726">
        <w:rPr>
          <w:szCs w:val="24"/>
        </w:rPr>
        <w:t xml:space="preserve">required </w:t>
      </w:r>
      <w:r w:rsidRPr="00245EAD">
        <w:rPr>
          <w:szCs w:val="24"/>
        </w:rPr>
        <w:t>report tables</w:t>
      </w:r>
      <w:r w:rsidRPr="00245EAD" w:rsidR="00401162">
        <w:rPr>
          <w:szCs w:val="24"/>
        </w:rPr>
        <w:t>,</w:t>
      </w:r>
      <w:r w:rsidRPr="00245EAD">
        <w:rPr>
          <w:szCs w:val="24"/>
        </w:rPr>
        <w:t xml:space="preserve"> showing conventions for table, row and column headings; and (2) </w:t>
      </w:r>
      <w:r w:rsidRPr="00245EAD" w:rsidR="000F2ED9">
        <w:rPr>
          <w:szCs w:val="24"/>
        </w:rPr>
        <w:t xml:space="preserve">general instructions, including </w:t>
      </w:r>
      <w:r w:rsidRPr="00245EAD">
        <w:rPr>
          <w:szCs w:val="24"/>
        </w:rPr>
        <w:t xml:space="preserve">row and column </w:t>
      </w:r>
      <w:r w:rsidRPr="00245EAD" w:rsidR="002F108C">
        <w:rPr>
          <w:szCs w:val="24"/>
        </w:rPr>
        <w:t>definitions</w:t>
      </w:r>
      <w:r w:rsidRPr="00245EAD" w:rsidR="005152E1">
        <w:rPr>
          <w:szCs w:val="24"/>
        </w:rPr>
        <w:t xml:space="preserve">, </w:t>
      </w:r>
      <w:r w:rsidRPr="00245EAD">
        <w:rPr>
          <w:szCs w:val="24"/>
        </w:rPr>
        <w:t xml:space="preserve">needed to complete </w:t>
      </w:r>
      <w:r w:rsidRPr="00245EAD" w:rsidR="00401162">
        <w:rPr>
          <w:szCs w:val="24"/>
        </w:rPr>
        <w:t xml:space="preserve">the </w:t>
      </w:r>
      <w:r w:rsidRPr="00245EAD" w:rsidR="00D44B94">
        <w:rPr>
          <w:szCs w:val="24"/>
        </w:rPr>
        <w:t>item</w:t>
      </w:r>
      <w:r w:rsidRPr="00245EAD" w:rsidR="00401162">
        <w:rPr>
          <w:szCs w:val="24"/>
        </w:rPr>
        <w:t xml:space="preserve"> entries</w:t>
      </w:r>
      <w:r w:rsidRPr="00245EAD" w:rsidR="00266726">
        <w:rPr>
          <w:szCs w:val="24"/>
        </w:rPr>
        <w:t xml:space="preserve"> in</w:t>
      </w:r>
      <w:r w:rsidRPr="00245EAD" w:rsidR="00401162">
        <w:rPr>
          <w:szCs w:val="24"/>
        </w:rPr>
        <w:t xml:space="preserve"> </w:t>
      </w:r>
      <w:r w:rsidRPr="00245EAD" w:rsidR="000F2ED9">
        <w:rPr>
          <w:szCs w:val="24"/>
        </w:rPr>
        <w:t>each</w:t>
      </w:r>
      <w:r w:rsidRPr="00245EAD" w:rsidR="00D44B94">
        <w:rPr>
          <w:szCs w:val="24"/>
        </w:rPr>
        <w:t xml:space="preserve"> table</w:t>
      </w:r>
      <w:r w:rsidRPr="00245EAD">
        <w:rPr>
          <w:szCs w:val="24"/>
        </w:rPr>
        <w:t xml:space="preserve">.  These </w:t>
      </w:r>
      <w:r w:rsidRPr="00245EAD">
        <w:rPr>
          <w:szCs w:val="24"/>
        </w:rPr>
        <w:t>are found on the following pages</w:t>
      </w:r>
      <w:r w:rsidRPr="00245EAD" w:rsidR="00FD77FC">
        <w:rPr>
          <w:szCs w:val="24"/>
        </w:rPr>
        <w:t xml:space="preserve"> of this document</w:t>
      </w:r>
      <w:r w:rsidRPr="00245EAD">
        <w:rPr>
          <w:szCs w:val="24"/>
        </w:rPr>
        <w:t xml:space="preserve">: </w:t>
      </w:r>
    </w:p>
    <w:p w:rsidR="00401162" w:rsidRPr="00245EAD" w:rsidP="00BB2765">
      <w:pPr>
        <w:tabs>
          <w:tab w:val="right" w:pos="9360"/>
        </w:tabs>
        <w:suppressAutoHyphens/>
        <w:rPr>
          <w:szCs w:val="24"/>
        </w:rPr>
      </w:pPr>
    </w:p>
    <w:p w:rsidR="00133457" w:rsidRPr="00245EAD">
      <w:pPr>
        <w:tabs>
          <w:tab w:val="right" w:pos="9360"/>
        </w:tabs>
        <w:suppressAutoHyphens/>
        <w:jc w:val="both"/>
        <w:rPr>
          <w:spacing w:val="-3"/>
          <w:szCs w:val="24"/>
        </w:rPr>
      </w:pPr>
      <w:r w:rsidRPr="00245EAD">
        <w:rPr>
          <w:spacing w:val="-3"/>
          <w:szCs w:val="24"/>
          <w:u w:val="single"/>
        </w:rPr>
        <w:t xml:space="preserve">For </w:t>
      </w:r>
      <w:r w:rsidRPr="00245EAD" w:rsidR="00401162">
        <w:rPr>
          <w:spacing w:val="-3"/>
          <w:szCs w:val="24"/>
          <w:u w:val="single"/>
        </w:rPr>
        <w:t xml:space="preserve">ARMIS </w:t>
      </w:r>
      <w:r w:rsidRPr="00245EAD" w:rsidR="00172236">
        <w:rPr>
          <w:spacing w:val="-3"/>
          <w:szCs w:val="24"/>
          <w:u w:val="single"/>
        </w:rPr>
        <w:t>Report 43-01</w:t>
      </w:r>
      <w:r w:rsidRPr="00245EAD">
        <w:rPr>
          <w:spacing w:val="-3"/>
          <w:szCs w:val="24"/>
        </w:rPr>
        <w:tab/>
        <w:t xml:space="preserve">                                                  </w:t>
      </w:r>
      <w:r w:rsidRPr="00245EAD">
        <w:rPr>
          <w:spacing w:val="-3"/>
          <w:szCs w:val="24"/>
          <w:u w:val="single"/>
        </w:rPr>
        <w:t>Pages</w:t>
      </w:r>
    </w:p>
    <w:p w:rsidR="00133457" w:rsidRPr="00245EAD">
      <w:pPr>
        <w:tabs>
          <w:tab w:val="right" w:leader="dot" w:pos="9360"/>
        </w:tabs>
        <w:suppressAutoHyphens/>
        <w:jc w:val="both"/>
        <w:rPr>
          <w:spacing w:val="-3"/>
          <w:szCs w:val="24"/>
          <w:u w:val="single"/>
        </w:rPr>
      </w:pPr>
      <w:r w:rsidRPr="00245EAD">
        <w:rPr>
          <w:spacing w:val="-3"/>
          <w:szCs w:val="24"/>
        </w:rPr>
        <w:t xml:space="preserve">Table I – </w:t>
      </w:r>
      <w:r w:rsidRPr="00245EAD">
        <w:rPr>
          <w:szCs w:val="24"/>
        </w:rPr>
        <w:t>Cost and Revenue (</w:t>
      </w:r>
      <w:r w:rsidRPr="00245EAD">
        <w:rPr>
          <w:spacing w:val="-3"/>
          <w:szCs w:val="24"/>
        </w:rPr>
        <w:t xml:space="preserve">Class </w:t>
      </w:r>
      <w:r w:rsidRPr="00245EAD" w:rsidR="00DE5691">
        <w:rPr>
          <w:spacing w:val="-3"/>
          <w:szCs w:val="24"/>
        </w:rPr>
        <w:t>B</w:t>
      </w:r>
      <w:r w:rsidRPr="00245EAD">
        <w:rPr>
          <w:spacing w:val="-3"/>
          <w:szCs w:val="24"/>
        </w:rPr>
        <w:t xml:space="preserve"> Account Level Reporting)</w:t>
      </w:r>
      <w:r w:rsidRPr="00245EAD" w:rsidR="00427789">
        <w:rPr>
          <w:spacing w:val="-3"/>
          <w:szCs w:val="24"/>
        </w:rPr>
        <w:t>, illustration</w:t>
      </w:r>
      <w:r w:rsidRPr="00245EAD">
        <w:rPr>
          <w:spacing w:val="-3"/>
          <w:szCs w:val="24"/>
        </w:rPr>
        <w:tab/>
        <w:t xml:space="preserve"> </w:t>
      </w:r>
      <w:r w:rsidRPr="00245EAD" w:rsidR="001B12EA">
        <w:rPr>
          <w:spacing w:val="-3"/>
          <w:szCs w:val="24"/>
        </w:rPr>
        <w:t xml:space="preserve">3 </w:t>
      </w:r>
      <w:r w:rsidRPr="00245EAD">
        <w:rPr>
          <w:spacing w:val="-3"/>
          <w:szCs w:val="24"/>
        </w:rPr>
        <w:t xml:space="preserve">– </w:t>
      </w:r>
      <w:r w:rsidRPr="00245EAD" w:rsidR="001B12EA">
        <w:rPr>
          <w:spacing w:val="-3"/>
          <w:szCs w:val="24"/>
        </w:rPr>
        <w:t>6</w:t>
      </w:r>
    </w:p>
    <w:p w:rsidR="00133457" w:rsidRPr="00245EAD">
      <w:pPr>
        <w:tabs>
          <w:tab w:val="right" w:leader="dot" w:pos="9360"/>
        </w:tabs>
        <w:suppressAutoHyphens/>
        <w:jc w:val="both"/>
        <w:rPr>
          <w:spacing w:val="-3"/>
          <w:szCs w:val="24"/>
        </w:rPr>
      </w:pPr>
      <w:r w:rsidRPr="00245EAD">
        <w:rPr>
          <w:szCs w:val="24"/>
        </w:rPr>
        <w:t>Table II – Demand Analysis</w:t>
      </w:r>
      <w:r w:rsidRPr="00245EAD" w:rsidR="00427789">
        <w:rPr>
          <w:szCs w:val="24"/>
        </w:rPr>
        <w:t>, illustration</w:t>
      </w:r>
      <w:r w:rsidRPr="00245EAD">
        <w:rPr>
          <w:spacing w:val="-3"/>
          <w:szCs w:val="24"/>
        </w:rPr>
        <w:tab/>
      </w:r>
      <w:r w:rsidRPr="00245EAD" w:rsidR="001B12EA">
        <w:rPr>
          <w:spacing w:val="-3"/>
          <w:szCs w:val="24"/>
        </w:rPr>
        <w:t>7</w:t>
      </w:r>
    </w:p>
    <w:p w:rsidR="00133457" w:rsidRPr="00245EAD">
      <w:pPr>
        <w:tabs>
          <w:tab w:val="right" w:leader="dot" w:pos="9360"/>
        </w:tabs>
        <w:suppressAutoHyphens/>
        <w:jc w:val="both"/>
        <w:rPr>
          <w:spacing w:val="-3"/>
          <w:szCs w:val="24"/>
        </w:rPr>
      </w:pPr>
      <w:r w:rsidRPr="00245EAD">
        <w:rPr>
          <w:szCs w:val="24"/>
        </w:rPr>
        <w:t>Table III – Pole and Conduit Rental Calculation Information</w:t>
      </w:r>
      <w:r w:rsidRPr="00245EAD" w:rsidR="00427789">
        <w:rPr>
          <w:szCs w:val="24"/>
        </w:rPr>
        <w:t>, illustration</w:t>
      </w:r>
      <w:r w:rsidRPr="00245EAD">
        <w:rPr>
          <w:szCs w:val="24"/>
        </w:rPr>
        <w:t xml:space="preserve"> </w:t>
      </w:r>
      <w:r w:rsidRPr="00245EAD">
        <w:rPr>
          <w:szCs w:val="24"/>
        </w:rPr>
        <w:tab/>
      </w:r>
      <w:r w:rsidRPr="00245EAD" w:rsidR="001B12EA">
        <w:rPr>
          <w:szCs w:val="24"/>
        </w:rPr>
        <w:t>8</w:t>
      </w:r>
    </w:p>
    <w:p w:rsidR="00133457" w:rsidRPr="00245EAD">
      <w:pPr>
        <w:tabs>
          <w:tab w:val="right" w:leader="dot" w:pos="9360"/>
        </w:tabs>
        <w:suppressAutoHyphens/>
        <w:jc w:val="both"/>
        <w:rPr>
          <w:spacing w:val="-3"/>
          <w:szCs w:val="24"/>
          <w:u w:val="single"/>
        </w:rPr>
      </w:pPr>
      <w:r w:rsidRPr="00245EAD">
        <w:rPr>
          <w:spacing w:val="-3"/>
          <w:szCs w:val="24"/>
        </w:rPr>
        <w:t xml:space="preserve">Table I – </w:t>
      </w:r>
      <w:r w:rsidRPr="00245EAD" w:rsidR="00CF4069">
        <w:rPr>
          <w:spacing w:val="-3"/>
          <w:szCs w:val="24"/>
        </w:rPr>
        <w:t xml:space="preserve">General Instructions, </w:t>
      </w:r>
      <w:r w:rsidRPr="00245EAD">
        <w:rPr>
          <w:spacing w:val="-3"/>
          <w:szCs w:val="24"/>
        </w:rPr>
        <w:t xml:space="preserve">Row and Column </w:t>
      </w:r>
      <w:r w:rsidRPr="00245EAD" w:rsidR="00F27BB3">
        <w:rPr>
          <w:spacing w:val="-3"/>
          <w:szCs w:val="24"/>
        </w:rPr>
        <w:t xml:space="preserve">Definitions </w:t>
      </w:r>
      <w:r w:rsidRPr="00245EAD">
        <w:rPr>
          <w:spacing w:val="-3"/>
          <w:szCs w:val="24"/>
        </w:rPr>
        <w:tab/>
      </w:r>
      <w:r w:rsidRPr="00245EAD" w:rsidR="001B12EA">
        <w:rPr>
          <w:spacing w:val="-3"/>
          <w:szCs w:val="24"/>
        </w:rPr>
        <w:t xml:space="preserve">10 </w:t>
      </w:r>
      <w:r w:rsidRPr="00245EAD">
        <w:rPr>
          <w:spacing w:val="-3"/>
          <w:szCs w:val="24"/>
        </w:rPr>
        <w:t xml:space="preserve">– </w:t>
      </w:r>
      <w:r w:rsidRPr="00245EAD" w:rsidR="001B12EA">
        <w:rPr>
          <w:spacing w:val="-3"/>
          <w:szCs w:val="24"/>
        </w:rPr>
        <w:t>17</w:t>
      </w:r>
    </w:p>
    <w:p w:rsidR="00133457" w:rsidRPr="00245EAD">
      <w:pPr>
        <w:tabs>
          <w:tab w:val="right" w:leader="dot" w:pos="9360"/>
        </w:tabs>
        <w:suppressAutoHyphens/>
        <w:jc w:val="both"/>
        <w:rPr>
          <w:spacing w:val="-3"/>
          <w:szCs w:val="24"/>
          <w:u w:val="single"/>
        </w:rPr>
      </w:pPr>
      <w:r w:rsidRPr="00245EAD">
        <w:rPr>
          <w:spacing w:val="-3"/>
          <w:szCs w:val="24"/>
        </w:rPr>
        <w:t xml:space="preserve">Table II – </w:t>
      </w:r>
      <w:r w:rsidRPr="00245EAD" w:rsidR="00CF4069">
        <w:rPr>
          <w:spacing w:val="-3"/>
          <w:szCs w:val="24"/>
        </w:rPr>
        <w:t>General Instructions,</w:t>
      </w:r>
      <w:r w:rsidRPr="00245EAD" w:rsidR="00D3683D">
        <w:rPr>
          <w:spacing w:val="-3"/>
          <w:szCs w:val="24"/>
        </w:rPr>
        <w:t xml:space="preserve"> </w:t>
      </w:r>
      <w:r w:rsidRPr="00245EAD">
        <w:rPr>
          <w:spacing w:val="-3"/>
          <w:szCs w:val="24"/>
        </w:rPr>
        <w:t xml:space="preserve">Row and Column </w:t>
      </w:r>
      <w:r w:rsidRPr="00245EAD" w:rsidR="00F27BB3">
        <w:rPr>
          <w:spacing w:val="-3"/>
          <w:szCs w:val="24"/>
        </w:rPr>
        <w:t>Definitions</w:t>
      </w:r>
      <w:r w:rsidRPr="00245EAD">
        <w:rPr>
          <w:spacing w:val="-3"/>
          <w:szCs w:val="24"/>
        </w:rPr>
        <w:tab/>
      </w:r>
      <w:r w:rsidRPr="00245EAD" w:rsidR="001B12EA">
        <w:rPr>
          <w:spacing w:val="-3"/>
          <w:szCs w:val="24"/>
        </w:rPr>
        <w:t xml:space="preserve">18 </w:t>
      </w:r>
      <w:r w:rsidRPr="00245EAD" w:rsidR="00456365">
        <w:rPr>
          <w:spacing w:val="-3"/>
          <w:szCs w:val="24"/>
        </w:rPr>
        <w:t xml:space="preserve">– </w:t>
      </w:r>
      <w:r w:rsidRPr="00245EAD" w:rsidR="001B12EA">
        <w:rPr>
          <w:spacing w:val="-3"/>
          <w:szCs w:val="24"/>
        </w:rPr>
        <w:t xml:space="preserve">19 </w:t>
      </w:r>
    </w:p>
    <w:p w:rsidR="00DC2967" w:rsidRPr="00245EAD" w:rsidP="00DC2967">
      <w:pPr>
        <w:tabs>
          <w:tab w:val="right" w:leader="dot" w:pos="9360"/>
        </w:tabs>
        <w:suppressAutoHyphens/>
        <w:jc w:val="both"/>
        <w:rPr>
          <w:spacing w:val="-3"/>
          <w:szCs w:val="24"/>
          <w:u w:val="single"/>
        </w:rPr>
      </w:pPr>
      <w:r w:rsidRPr="00245EAD">
        <w:rPr>
          <w:spacing w:val="-3"/>
          <w:szCs w:val="24"/>
        </w:rPr>
        <w:t xml:space="preserve">Table </w:t>
      </w:r>
      <w:r w:rsidRPr="00245EAD">
        <w:rPr>
          <w:szCs w:val="24"/>
        </w:rPr>
        <w:t>III</w:t>
      </w:r>
      <w:r w:rsidRPr="00245EAD">
        <w:rPr>
          <w:spacing w:val="-3"/>
          <w:szCs w:val="24"/>
        </w:rPr>
        <w:t xml:space="preserve"> – </w:t>
      </w:r>
      <w:r w:rsidRPr="00245EAD" w:rsidR="00CF4069">
        <w:rPr>
          <w:spacing w:val="-3"/>
          <w:szCs w:val="24"/>
        </w:rPr>
        <w:t xml:space="preserve">General Instructions, </w:t>
      </w:r>
      <w:r w:rsidRPr="00245EAD">
        <w:rPr>
          <w:spacing w:val="-3"/>
          <w:szCs w:val="24"/>
        </w:rPr>
        <w:t xml:space="preserve">Row and Column </w:t>
      </w:r>
      <w:r w:rsidRPr="00245EAD" w:rsidR="00F27BB3">
        <w:rPr>
          <w:spacing w:val="-3"/>
          <w:szCs w:val="24"/>
        </w:rPr>
        <w:t xml:space="preserve">Definitions </w:t>
      </w:r>
      <w:r w:rsidRPr="00245EAD">
        <w:rPr>
          <w:spacing w:val="-3"/>
          <w:szCs w:val="24"/>
        </w:rPr>
        <w:tab/>
      </w:r>
      <w:r w:rsidRPr="00245EAD" w:rsidR="001B12EA">
        <w:rPr>
          <w:spacing w:val="-3"/>
          <w:szCs w:val="24"/>
        </w:rPr>
        <w:t xml:space="preserve">20 </w:t>
      </w:r>
      <w:r w:rsidRPr="00245EAD">
        <w:rPr>
          <w:spacing w:val="-3"/>
          <w:szCs w:val="24"/>
        </w:rPr>
        <w:t xml:space="preserve">– </w:t>
      </w:r>
      <w:r w:rsidRPr="00245EAD" w:rsidR="001B12EA">
        <w:rPr>
          <w:spacing w:val="-3"/>
          <w:szCs w:val="24"/>
        </w:rPr>
        <w:t>22</w:t>
      </w:r>
    </w:p>
    <w:p w:rsidR="004755ED" w:rsidRPr="00245EAD" w:rsidP="00AB1B34">
      <w:pPr>
        <w:tabs>
          <w:tab w:val="right" w:pos="9360"/>
        </w:tabs>
        <w:suppressAutoHyphens/>
        <w:rPr>
          <w:szCs w:val="24"/>
        </w:rPr>
      </w:pPr>
    </w:p>
    <w:p w:rsidR="00CC0308" w:rsidRPr="00245EAD" w:rsidP="0051519E">
      <w:pPr>
        <w:tabs>
          <w:tab w:val="right" w:pos="9360"/>
        </w:tabs>
        <w:suppressAutoHyphens/>
        <w:jc w:val="both"/>
        <w:rPr>
          <w:spacing w:val="-3"/>
          <w:szCs w:val="24"/>
        </w:rPr>
      </w:pPr>
      <w:r w:rsidRPr="00245EAD">
        <w:rPr>
          <w:spacing w:val="-3"/>
          <w:szCs w:val="24"/>
          <w:u w:val="single"/>
        </w:rPr>
        <w:t>For the Pole Attachment Data Report</w:t>
      </w:r>
      <w:r w:rsidRPr="00245EAD" w:rsidR="00427789">
        <w:rPr>
          <w:spacing w:val="-3"/>
          <w:szCs w:val="24"/>
        </w:rPr>
        <w:t xml:space="preserve"> </w:t>
      </w:r>
      <w:r w:rsidRPr="00245EAD" w:rsidR="00266726">
        <w:rPr>
          <w:spacing w:val="-3"/>
          <w:szCs w:val="24"/>
        </w:rPr>
        <w:tab/>
        <w:t xml:space="preserve">                                                  </w:t>
      </w:r>
      <w:r w:rsidRPr="00245EAD" w:rsidR="00266726">
        <w:rPr>
          <w:spacing w:val="-3"/>
          <w:szCs w:val="24"/>
          <w:u w:val="single"/>
        </w:rPr>
        <w:t>Pages</w:t>
      </w:r>
    </w:p>
    <w:p w:rsidR="00AB1B34" w:rsidRPr="00245EAD" w:rsidP="00AB1B34">
      <w:pPr>
        <w:tabs>
          <w:tab w:val="right" w:leader="dot" w:pos="9360"/>
        </w:tabs>
        <w:suppressAutoHyphens/>
        <w:jc w:val="both"/>
        <w:rPr>
          <w:spacing w:val="-3"/>
          <w:szCs w:val="24"/>
        </w:rPr>
      </w:pPr>
      <w:r w:rsidRPr="00245EAD">
        <w:rPr>
          <w:szCs w:val="24"/>
        </w:rPr>
        <w:t>Pole and Conduit Rental Calculation Information</w:t>
      </w:r>
      <w:r w:rsidRPr="00245EAD" w:rsidR="004755ED">
        <w:rPr>
          <w:szCs w:val="24"/>
        </w:rPr>
        <w:t>, table illustration</w:t>
      </w:r>
      <w:r w:rsidRPr="00245EAD">
        <w:rPr>
          <w:szCs w:val="24"/>
        </w:rPr>
        <w:t xml:space="preserve"> </w:t>
      </w:r>
      <w:r w:rsidRPr="00245EAD">
        <w:rPr>
          <w:szCs w:val="24"/>
        </w:rPr>
        <w:tab/>
      </w:r>
      <w:r w:rsidRPr="00245EAD" w:rsidR="001B12EA">
        <w:rPr>
          <w:szCs w:val="24"/>
        </w:rPr>
        <w:t>9</w:t>
      </w:r>
    </w:p>
    <w:p w:rsidR="00AB1B34" w:rsidRPr="00245EAD" w:rsidP="00AB1B34">
      <w:pPr>
        <w:tabs>
          <w:tab w:val="right" w:leader="dot" w:pos="9360"/>
        </w:tabs>
        <w:suppressAutoHyphens/>
        <w:jc w:val="both"/>
        <w:rPr>
          <w:spacing w:val="-3"/>
          <w:szCs w:val="24"/>
          <w:u w:val="single"/>
        </w:rPr>
      </w:pPr>
      <w:r w:rsidRPr="00245EAD">
        <w:rPr>
          <w:spacing w:val="-3"/>
          <w:szCs w:val="24"/>
        </w:rPr>
        <w:t xml:space="preserve">General Instructions, </w:t>
      </w:r>
      <w:r w:rsidRPr="00245EAD" w:rsidR="00FB6C52">
        <w:rPr>
          <w:spacing w:val="-3"/>
          <w:szCs w:val="24"/>
        </w:rPr>
        <w:t>Row and Column Definitions</w:t>
      </w:r>
      <w:r w:rsidRPr="00245EAD">
        <w:rPr>
          <w:spacing w:val="-3"/>
          <w:szCs w:val="24"/>
        </w:rPr>
        <w:t xml:space="preserve"> </w:t>
      </w:r>
      <w:r w:rsidRPr="00245EAD">
        <w:rPr>
          <w:spacing w:val="-3"/>
          <w:szCs w:val="24"/>
        </w:rPr>
        <w:tab/>
      </w:r>
      <w:r w:rsidRPr="00245EAD" w:rsidR="001B12EA">
        <w:rPr>
          <w:spacing w:val="-3"/>
          <w:szCs w:val="24"/>
        </w:rPr>
        <w:t xml:space="preserve">20 </w:t>
      </w:r>
      <w:r w:rsidRPr="00245EAD">
        <w:rPr>
          <w:spacing w:val="-3"/>
          <w:szCs w:val="24"/>
        </w:rPr>
        <w:t xml:space="preserve">– </w:t>
      </w:r>
      <w:r w:rsidRPr="00245EAD" w:rsidR="001B12EA">
        <w:rPr>
          <w:spacing w:val="-3"/>
          <w:szCs w:val="24"/>
        </w:rPr>
        <w:t>22</w:t>
      </w:r>
    </w:p>
    <w:p w:rsidR="00CC0308" w:rsidRPr="00245EA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szCs w:val="24"/>
        </w:rPr>
      </w:pPr>
    </w:p>
    <w:p w:rsidR="00133457" w:rsidRPr="00245EAD" w:rsidP="00065B81">
      <w:pPr>
        <w:widowControl/>
        <w:rPr>
          <w:spacing w:val="-3"/>
          <w:szCs w:val="24"/>
        </w:rPr>
      </w:pPr>
      <w:r w:rsidRPr="00245EAD">
        <w:rPr>
          <w:szCs w:val="24"/>
          <w:u w:val="single"/>
        </w:rPr>
        <w:t>Rounding Conventions</w:t>
      </w:r>
      <w:r w:rsidRPr="00245EAD">
        <w:rPr>
          <w:szCs w:val="24"/>
        </w:rPr>
        <w:t>:</w:t>
      </w:r>
      <w:r w:rsidRPr="00245EAD" w:rsidR="00065B81">
        <w:rPr>
          <w:szCs w:val="24"/>
        </w:rPr>
        <w:t xml:space="preserve">  </w:t>
      </w:r>
      <w:r w:rsidRPr="00245EAD">
        <w:rPr>
          <w:spacing w:val="-3"/>
          <w:szCs w:val="24"/>
        </w:rPr>
        <w:t xml:space="preserve">All monetary figures must be rounded to the nearest thousand dollars.  All rates of return and percentage amounts must be entered in percent and must be rounded to 2 decimal places.  All minutes of use figures </w:t>
      </w:r>
      <w:r w:rsidRPr="00245EAD" w:rsidR="0006316A">
        <w:rPr>
          <w:spacing w:val="-3"/>
          <w:szCs w:val="24"/>
        </w:rPr>
        <w:t xml:space="preserve">reported in Table II </w:t>
      </w:r>
      <w:r w:rsidRPr="00245EAD">
        <w:rPr>
          <w:spacing w:val="-3"/>
          <w:szCs w:val="24"/>
        </w:rPr>
        <w:t>must be rounded to the nearest thousand; all access line figures must be provided to the nearest whole number</w:t>
      </w:r>
      <w:r w:rsidRPr="00245EAD" w:rsidR="00172236">
        <w:rPr>
          <w:spacing w:val="-3"/>
          <w:szCs w:val="24"/>
        </w:rPr>
        <w:t xml:space="preserve">. In ARMIS Report 43-01, Table III and in the pole attachment data report, </w:t>
      </w:r>
      <w:r w:rsidRPr="00245EAD">
        <w:rPr>
          <w:spacing w:val="-3"/>
          <w:szCs w:val="24"/>
        </w:rPr>
        <w:t xml:space="preserve">operational data </w:t>
      </w:r>
      <w:r w:rsidRPr="00245EAD" w:rsidR="00EB6779">
        <w:rPr>
          <w:spacing w:val="-3"/>
          <w:szCs w:val="24"/>
        </w:rPr>
        <w:t>must be reported in actual units</w:t>
      </w:r>
      <w:r w:rsidRPr="00245EAD" w:rsidR="00172236">
        <w:rPr>
          <w:spacing w:val="-3"/>
          <w:szCs w:val="24"/>
        </w:rPr>
        <w:t xml:space="preserve"> and the equivalent number of poles should be provided to the nearest whole number</w:t>
      </w:r>
      <w:r w:rsidRPr="00245EAD" w:rsidR="00EB6779">
        <w:rPr>
          <w:spacing w:val="-3"/>
          <w:szCs w:val="24"/>
        </w:rPr>
        <w:t>.</w:t>
      </w:r>
      <w:r w:rsidRPr="00245EAD">
        <w:rPr>
          <w:spacing w:val="-3"/>
          <w:szCs w:val="24"/>
        </w:rPr>
        <w:t xml:space="preserve">  </w:t>
      </w:r>
    </w:p>
    <w:p w:rsidR="00EB6779" w:rsidRPr="00245EAD" w:rsidP="00BB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spacing w:val="-3"/>
          <w:szCs w:val="24"/>
        </w:rPr>
      </w:pPr>
    </w:p>
    <w:p w:rsidR="006770FE" w:rsidRPr="00245EAD" w:rsidP="00065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b/>
          <w:spacing w:val="-3"/>
          <w:szCs w:val="24"/>
          <w:u w:val="single"/>
        </w:rPr>
      </w:pPr>
      <w:r w:rsidRPr="00245EAD">
        <w:rPr>
          <w:spacing w:val="-3"/>
          <w:szCs w:val="24"/>
          <w:u w:val="single"/>
        </w:rPr>
        <w:t>Data Entry Conventions</w:t>
      </w:r>
      <w:r w:rsidRPr="00245EAD">
        <w:rPr>
          <w:spacing w:val="-3"/>
          <w:szCs w:val="24"/>
        </w:rPr>
        <w:t>:</w:t>
      </w:r>
      <w:r w:rsidRPr="00245EAD" w:rsidR="00065B81">
        <w:rPr>
          <w:spacing w:val="-3"/>
          <w:szCs w:val="24"/>
        </w:rPr>
        <w:t xml:space="preserve">  </w:t>
      </w:r>
      <w:r w:rsidRPr="00245EAD" w:rsidR="00133457">
        <w:rPr>
          <w:spacing w:val="-3"/>
          <w:szCs w:val="24"/>
        </w:rPr>
        <w:t xml:space="preserve">Items </w:t>
      </w:r>
      <w:r w:rsidRPr="00245EAD" w:rsidR="005370C6">
        <w:rPr>
          <w:spacing w:val="-3"/>
          <w:szCs w:val="24"/>
        </w:rPr>
        <w:t xml:space="preserve">that </w:t>
      </w:r>
      <w:r w:rsidRPr="00245EAD" w:rsidR="00E909A8">
        <w:rPr>
          <w:spacing w:val="-3"/>
          <w:szCs w:val="24"/>
        </w:rPr>
        <w:t xml:space="preserve">the Commission has determined </w:t>
      </w:r>
      <w:r w:rsidRPr="00245EAD" w:rsidR="00133457">
        <w:rPr>
          <w:spacing w:val="-3"/>
          <w:szCs w:val="24"/>
        </w:rPr>
        <w:t>need not be reported because they do not apply are designated by N/A</w:t>
      </w:r>
      <w:r w:rsidRPr="00245EAD" w:rsidR="00E909A8">
        <w:rPr>
          <w:spacing w:val="-3"/>
          <w:szCs w:val="24"/>
        </w:rPr>
        <w:t xml:space="preserve"> in the table illustrations</w:t>
      </w:r>
      <w:r w:rsidRPr="00245EAD" w:rsidR="00133457">
        <w:rPr>
          <w:spacing w:val="-3"/>
          <w:szCs w:val="24"/>
        </w:rPr>
        <w:t>.  DO NOT override N/As.</w:t>
      </w:r>
      <w:r w:rsidRPr="00245EAD" w:rsidR="00133457">
        <w:rPr>
          <w:b/>
          <w:spacing w:val="-3"/>
          <w:szCs w:val="24"/>
        </w:rPr>
        <w:t xml:space="preserve">  </w:t>
      </w:r>
      <w:r w:rsidRPr="00245EAD" w:rsidR="00133457">
        <w:rPr>
          <w:spacing w:val="-3"/>
          <w:szCs w:val="24"/>
        </w:rPr>
        <w:t>All other fields must be populated.  If</w:t>
      </w:r>
      <w:r w:rsidRPr="00245EAD" w:rsidR="00133457">
        <w:rPr>
          <w:b/>
          <w:spacing w:val="-3"/>
          <w:szCs w:val="24"/>
        </w:rPr>
        <w:t xml:space="preserve"> </w:t>
      </w:r>
      <w:r w:rsidRPr="00245EAD" w:rsidR="00133457">
        <w:rPr>
          <w:spacing w:val="-3"/>
          <w:szCs w:val="24"/>
        </w:rPr>
        <w:t>there are no data applicable to an open field, enter zero.</w:t>
      </w:r>
    </w:p>
    <w:p w:rsidR="00CC71BD" w:rsidRPr="00245EAD">
      <w:pPr>
        <w:widowControl/>
        <w:rPr>
          <w:b/>
          <w:spacing w:val="-3"/>
          <w:szCs w:val="24"/>
          <w:u w:val="single"/>
        </w:rPr>
      </w:pPr>
    </w:p>
    <w:p w:rsidR="00935874" w:rsidRPr="00245EAD">
      <w:pPr>
        <w:widowControl/>
        <w:rPr>
          <w:spacing w:val="-3"/>
          <w:szCs w:val="24"/>
        </w:rPr>
      </w:pPr>
      <w:r w:rsidRPr="00245EAD">
        <w:rPr>
          <w:spacing w:val="-3"/>
          <w:szCs w:val="24"/>
        </w:rPr>
        <w:t xml:space="preserve">See the </w:t>
      </w:r>
      <w:hyperlink r:id="rId5" w:history="1">
        <w:r w:rsidRPr="002858A5">
          <w:rPr>
            <w:rStyle w:val="Hyperlink"/>
            <w:i/>
            <w:spacing w:val="-3"/>
            <w:szCs w:val="24"/>
          </w:rPr>
          <w:t>Reporting Procedures</w:t>
        </w:r>
      </w:hyperlink>
      <w:r w:rsidRPr="00245EAD">
        <w:rPr>
          <w:color w:val="1F497D" w:themeColor="text2"/>
          <w:spacing w:val="-3"/>
          <w:szCs w:val="24"/>
        </w:rPr>
        <w:t xml:space="preserve"> </w:t>
      </w:r>
      <w:r w:rsidRPr="00245EAD">
        <w:rPr>
          <w:spacing w:val="-3"/>
          <w:szCs w:val="24"/>
        </w:rPr>
        <w:t>document for additional instructions (</w:t>
      </w:r>
      <w:r w:rsidRPr="00245EAD">
        <w:rPr>
          <w:i/>
          <w:spacing w:val="-3"/>
          <w:szCs w:val="24"/>
        </w:rPr>
        <w:t>e.g.,</w:t>
      </w:r>
      <w:r w:rsidRPr="00245EAD">
        <w:rPr>
          <w:spacing w:val="-3"/>
          <w:szCs w:val="24"/>
        </w:rPr>
        <w:t xml:space="preserve"> concerning the use of submission numbers, footnotes, and errata) that are common to filing all ARMIS reports and pole attachment data.</w:t>
      </w:r>
    </w:p>
    <w:p w:rsidR="00CC71BD" w:rsidRPr="00245EAD">
      <w:pPr>
        <w:widowControl/>
        <w:rPr>
          <w:b/>
          <w:spacing w:val="-3"/>
          <w:szCs w:val="24"/>
        </w:rPr>
      </w:pPr>
    </w:p>
    <w:p w:rsidR="00065B81" w:rsidRPr="00245EAD">
      <w:pPr>
        <w:widowControl/>
        <w:rPr>
          <w:b/>
          <w:spacing w:val="-3"/>
          <w:szCs w:val="24"/>
        </w:rPr>
      </w:pPr>
      <w:r w:rsidRPr="00245EAD">
        <w:rPr>
          <w:b/>
          <w:spacing w:val="-3"/>
          <w:szCs w:val="24"/>
        </w:rPr>
        <w:br w:type="page"/>
      </w:r>
    </w:p>
    <w:p w:rsidR="0048710E" w:rsidRPr="00245EAD" w:rsidP="00CC7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spacing w:val="-3"/>
          <w:szCs w:val="24"/>
        </w:rPr>
      </w:pPr>
      <w:r w:rsidRPr="00245EAD">
        <w:rPr>
          <w:b/>
          <w:spacing w:val="-3"/>
          <w:szCs w:val="24"/>
        </w:rPr>
        <w:t>NOTICE:</w:t>
      </w:r>
      <w:r w:rsidRPr="00245EAD">
        <w:rPr>
          <w:spacing w:val="-3"/>
          <w:szCs w:val="24"/>
        </w:rPr>
        <w:t xml:space="preserve">  The ARMIS Annual Summary Report collects highly aggregated financial data reflecting the results of accounting, rate base, and cost allocation requirements prescribed in Parts 32, 64, 65, 36 and 69.  This report also includes a demand analysis table containing interstate access demand data.  The ARMIS Annual Summary Report </w:t>
      </w:r>
      <w:r w:rsidRPr="00245EAD" w:rsidR="005F11CF">
        <w:rPr>
          <w:spacing w:val="-3"/>
          <w:szCs w:val="24"/>
        </w:rPr>
        <w:t xml:space="preserve">facilitates the timely and efficient analysis of revenue requirements, rates of return and price caps, jurisdictional separations, and universal service fund, and provides an improved basis for auditing and other oversight functions.  It also enhances the Commission's ability to quantify the effects of policy proposals.  The Commission has granted all carriers conditional forbearance from ARMIS 43-01.  To obtain this forbearance, carriers must have a data retention compliance plan approved by the Commission and continue to file certain ARMIS 43-01 data related to pole attachments.  </w:t>
      </w:r>
      <w:r w:rsidRPr="00245EAD" w:rsidR="00B93615">
        <w:rPr>
          <w:spacing w:val="-3"/>
          <w:szCs w:val="24"/>
        </w:rPr>
        <w:t>In addition, mid-sized incumbent local exchange carriers, as defined by Part 32.9000, shall certify compliance with Part 64.901 of the Commission’s rules (see Part 64.905) by filing a certification letter annually.  This certification letter must be signed, under oath, by an officer of the company.</w:t>
      </w:r>
      <w:r w:rsidRPr="00245EAD" w:rsidR="00B93615">
        <w:rPr>
          <w:b/>
          <w:spacing w:val="-3"/>
          <w:szCs w:val="24"/>
        </w:rPr>
        <w:t xml:space="preserve"> </w:t>
      </w:r>
      <w:r w:rsidRPr="00245EAD">
        <w:rPr>
          <w:spacing w:val="-3"/>
          <w:szCs w:val="24"/>
        </w:rPr>
        <w:t xml:space="preserve"> Your response is mandatory.</w:t>
      </w:r>
    </w:p>
    <w:p w:rsidR="0048710E" w:rsidRPr="00245EAD" w:rsidP="00CC7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spacing w:val="-3"/>
          <w:szCs w:val="24"/>
        </w:rPr>
      </w:pPr>
    </w:p>
    <w:p w:rsidR="00CC71BD" w:rsidRPr="00245EAD" w:rsidP="00CC7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szCs w:val="24"/>
        </w:rPr>
      </w:pPr>
      <w:r w:rsidRPr="00245EAD">
        <w:rPr>
          <w:szCs w:val="24"/>
        </w:rPr>
        <w:t xml:space="preserve">The public reporting for this collection of information is estimated to average </w:t>
      </w:r>
      <w:r w:rsidRPr="00245EAD" w:rsidR="004463AD">
        <w:rPr>
          <w:szCs w:val="24"/>
        </w:rPr>
        <w:t xml:space="preserve">88 </w:t>
      </w:r>
      <w:r w:rsidRPr="00245EAD">
        <w:rPr>
          <w:szCs w:val="24"/>
        </w:rPr>
        <w:t>hour</w:t>
      </w:r>
      <w:r w:rsidRPr="00245EAD" w:rsidR="002D0976">
        <w:rPr>
          <w:szCs w:val="24"/>
        </w:rPr>
        <w:t>s p</w:t>
      </w:r>
      <w:r w:rsidRPr="00245EAD">
        <w:rPr>
          <w:szCs w:val="24"/>
        </w:rPr>
        <w:t xml:space="preserve">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Project (3060-0512), Washington, DC 20554. We will also accept your comments regarding the Paperwork Reduction Act aspects of this collection via the Internet if you send them to </w:t>
      </w:r>
      <w:r w:rsidRPr="00245EAD" w:rsidR="00F64663">
        <w:rPr>
          <w:szCs w:val="24"/>
        </w:rPr>
        <w:t>nicole.ongele</w:t>
      </w:r>
      <w:r w:rsidRPr="00245EAD">
        <w:rPr>
          <w:szCs w:val="24"/>
        </w:rPr>
        <w:t xml:space="preserve">@fcc.gov.  PLEASE DO NOT SEND YOUR RESPONSE TO THIS ADDRESS.   </w:t>
      </w:r>
    </w:p>
    <w:p w:rsidR="00CC71BD" w:rsidRPr="00245EAD" w:rsidP="006A4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szCs w:val="24"/>
        </w:rPr>
      </w:pPr>
    </w:p>
    <w:p w:rsidR="00133457" w:rsidRPr="00245EAD" w:rsidP="00CC71BD">
      <w:pPr>
        <w:widowControl/>
        <w:rPr>
          <w:szCs w:val="24"/>
        </w:rPr>
      </w:pPr>
      <w:r w:rsidRPr="00245EAD">
        <w:rPr>
          <w:szCs w:val="24"/>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3060-0512.</w:t>
      </w:r>
    </w:p>
    <w:p w:rsidR="00133457" w:rsidRPr="00245EAD" w:rsidP="00BB2765">
      <w:pPr>
        <w:widowControl/>
        <w:rPr>
          <w:rFonts w:ascii="Arial" w:hAnsi="Arial"/>
          <w:szCs w:val="24"/>
        </w:rPr>
      </w:pPr>
    </w:p>
    <w:p w:rsidR="00977B84" w:rsidRPr="00245EAD" w:rsidP="008C50EF">
      <w:pPr>
        <w:tabs>
          <w:tab w:val="left" w:pos="-1080"/>
          <w:tab w:val="left" w:pos="-720"/>
          <w:tab w:val="left" w:pos="0"/>
          <w:tab w:val="left" w:pos="360"/>
          <w:tab w:val="left" w:pos="720"/>
          <w:tab w:val="left" w:pos="1080"/>
          <w:tab w:val="left" w:pos="1440"/>
          <w:tab w:val="left" w:pos="1800"/>
          <w:tab w:val="left" w:pos="2160"/>
        </w:tabs>
        <w:suppressAutoHyphens/>
        <w:outlineLvl w:val="0"/>
        <w:rPr>
          <w:szCs w:val="24"/>
        </w:rPr>
        <w:sectPr w:rsidSect="00B41A63">
          <w:headerReference w:type="default" r:id="rId6"/>
          <w:endnotePr>
            <w:numFmt w:val="decimal"/>
          </w:endnotePr>
          <w:pgSz w:w="12240" w:h="15840"/>
          <w:pgMar w:top="1152" w:right="1440" w:bottom="900" w:left="1440" w:header="720" w:footer="720" w:gutter="0"/>
          <w:cols w:space="720"/>
          <w:noEndnote/>
        </w:sectPr>
      </w:pPr>
    </w:p>
    <w:p w:rsidR="008C50EF" w:rsidP="008C50EF">
      <w:pPr>
        <w:tabs>
          <w:tab w:val="left" w:pos="-1080"/>
          <w:tab w:val="left" w:pos="-720"/>
          <w:tab w:val="left" w:pos="0"/>
          <w:tab w:val="left" w:pos="360"/>
          <w:tab w:val="left" w:pos="720"/>
          <w:tab w:val="left" w:pos="1080"/>
          <w:tab w:val="left" w:pos="1440"/>
          <w:tab w:val="left" w:pos="1800"/>
          <w:tab w:val="left" w:pos="2160"/>
        </w:tabs>
        <w:suppressAutoHyphens/>
        <w:outlineLvl w:val="0"/>
      </w:pPr>
    </w:p>
    <w:p w:rsidR="008C50EF" w:rsidP="008C50EF">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6"/>
        </w:rPr>
      </w:pPr>
      <w:r>
        <w:rPr>
          <w:rFonts w:ascii="Arial" w:hAnsi="Arial"/>
          <w:sz w:val="16"/>
        </w:rPr>
        <w:t>FCC Report 43-01</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r>
        <w:rPr>
          <w:rFonts w:ascii="Arial" w:hAnsi="Arial"/>
          <w:sz w:val="16"/>
        </w:rPr>
        <w:t>ARMIS Annual Summary Report</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p>
    <w:p w:rsidR="001B5C03" w:rsidP="008C50EF">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Company:</w:t>
      </w:r>
      <w:r>
        <w:rPr>
          <w:rFonts w:ascii="Arial" w:hAnsi="Arial"/>
          <w:sz w:val="16"/>
        </w:rPr>
        <w:tab/>
      </w:r>
      <w:r w:rsidR="005F11CF">
        <w:rPr>
          <w:rFonts w:ascii="Arial" w:hAnsi="Arial"/>
          <w:sz w:val="16"/>
        </w:rPr>
        <w:t>XYZ Telco</w:t>
      </w:r>
      <w:r>
        <w:rPr>
          <w:rFonts w:ascii="Arial" w:hAnsi="Arial"/>
          <w:sz w:val="16"/>
        </w:rPr>
        <w:tab/>
      </w:r>
    </w:p>
    <w:p w:rsidR="008C50EF" w:rsidP="008C50EF">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Study Area:</w:t>
      </w:r>
      <w:r>
        <w:rPr>
          <w:rFonts w:ascii="Arial" w:hAnsi="Arial"/>
          <w:sz w:val="16"/>
        </w:rPr>
        <w:tab/>
      </w:r>
      <w:r w:rsidR="005F11CF">
        <w:rPr>
          <w:rFonts w:ascii="Arial" w:hAnsi="Arial"/>
          <w:sz w:val="16"/>
        </w:rPr>
        <w:t>Arizona</w:t>
      </w:r>
      <w:r w:rsidR="005F11CF">
        <w:rPr>
          <w:rFonts w:ascii="Arial" w:hAnsi="Arial"/>
          <w:sz w:val="16"/>
        </w:rPr>
        <w:tab/>
      </w:r>
      <w:r w:rsidR="005F11CF">
        <w:rPr>
          <w:rFonts w:ascii="Arial" w:hAnsi="Arial"/>
          <w:sz w:val="16"/>
        </w:rPr>
        <w:tab/>
      </w:r>
      <w:r>
        <w:rPr>
          <w:rFonts w:ascii="Arial" w:hAnsi="Arial"/>
          <w:sz w:val="16"/>
        </w:rPr>
        <w:tab/>
        <w:t xml:space="preserve">Submission </w:t>
      </w:r>
      <w:r w:rsidR="00977B84">
        <w:rPr>
          <w:rFonts w:ascii="Arial" w:hAnsi="Arial"/>
          <w:sz w:val="16"/>
        </w:rPr>
        <w:t>#</w:t>
      </w:r>
    </w:p>
    <w:p w:rsidR="008C50EF" w:rsidP="008C50EF">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6"/>
        </w:rPr>
      </w:pPr>
      <w:r>
        <w:rPr>
          <w:rFonts w:ascii="Arial" w:hAnsi="Arial"/>
          <w:sz w:val="16"/>
        </w:rPr>
        <w:t>Period:</w:t>
      </w:r>
      <w:r>
        <w:rPr>
          <w:rFonts w:ascii="Arial" w:hAnsi="Arial"/>
          <w:sz w:val="16"/>
        </w:rPr>
        <w:tab/>
      </w:r>
      <w:r>
        <w:rPr>
          <w:rFonts w:ascii="Arial" w:hAnsi="Arial"/>
          <w:sz w:val="16"/>
        </w:rPr>
        <w:tab/>
        <w:t xml:space="preserve">From: </w:t>
      </w:r>
      <w:r>
        <w:rPr>
          <w:rFonts w:ascii="Arial" w:hAnsi="Arial"/>
          <w:sz w:val="16"/>
        </w:rPr>
        <w:t>mmmyyyy</w:t>
      </w:r>
      <w:r>
        <w:rPr>
          <w:rFonts w:ascii="Arial" w:hAnsi="Arial"/>
          <w:sz w:val="16"/>
        </w:rPr>
        <w:t xml:space="preserve"> To: </w:t>
      </w:r>
      <w:r>
        <w:rPr>
          <w:rFonts w:ascii="Arial" w:hAnsi="Arial"/>
          <w:sz w:val="16"/>
        </w:rPr>
        <w:t>mmmyyyy</w:t>
      </w:r>
    </w:p>
    <w:p w:rsidR="008C50EF" w:rsidP="008C50EF">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COSA:</w:t>
      </w:r>
      <w:r>
        <w:rPr>
          <w:rFonts w:ascii="Arial" w:hAnsi="Arial"/>
          <w:sz w:val="16"/>
        </w:rPr>
        <w:tab/>
      </w:r>
      <w:r>
        <w:rPr>
          <w:rFonts w:ascii="Arial" w:hAnsi="Arial"/>
          <w:sz w:val="16"/>
        </w:rPr>
        <w:tab/>
      </w:r>
      <w:r w:rsidR="005F11CF">
        <w:rPr>
          <w:rFonts w:ascii="Arial" w:hAnsi="Arial"/>
          <w:sz w:val="16"/>
        </w:rPr>
        <w:t>XYAZ</w:t>
      </w:r>
      <w:r>
        <w:rPr>
          <w:rFonts w:ascii="Arial" w:hAnsi="Arial"/>
          <w:sz w:val="16"/>
        </w:rPr>
        <w:tab/>
      </w:r>
      <w:r>
        <w:rPr>
          <w:rFonts w:ascii="Arial" w:hAnsi="Arial"/>
          <w:sz w:val="16"/>
        </w:rPr>
        <w:tab/>
      </w:r>
      <w:r>
        <w:rPr>
          <w:rFonts w:ascii="Arial" w:hAnsi="Arial"/>
          <w:sz w:val="16"/>
        </w:rPr>
        <w:tab/>
        <w:t>Table I</w:t>
      </w:r>
    </w:p>
    <w:p w:rsidR="008C50EF" w:rsidP="008C50EF">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Page 1 of 4</w:t>
      </w:r>
    </w:p>
    <w:p w:rsidR="008C50EF" w:rsidP="008C50EF">
      <w:pPr>
        <w:pStyle w:val="header2"/>
        <w:tabs>
          <w:tab w:val="clear" w:pos="1440"/>
          <w:tab w:val="clear" w:pos="4320"/>
          <w:tab w:val="clear" w:pos="8640"/>
        </w:tabs>
        <w:suppressAutoHyphens w:val="0"/>
        <w:outlineLvl w:val="0"/>
        <w:rPr>
          <w:rFonts w:ascii="Arial" w:hAnsi="Arial"/>
          <w:sz w:val="20"/>
        </w:rPr>
      </w:pPr>
    </w:p>
    <w:p w:rsidR="008C50EF" w:rsidP="008C50EF">
      <w:pPr>
        <w:pStyle w:val="header2"/>
        <w:tabs>
          <w:tab w:val="clear" w:pos="1440"/>
          <w:tab w:val="clear" w:pos="4320"/>
          <w:tab w:val="clear" w:pos="8640"/>
        </w:tabs>
        <w:suppressAutoHyphens w:val="0"/>
        <w:outlineLvl w:val="0"/>
        <w:rPr>
          <w:rFonts w:ascii="Arial" w:hAnsi="Arial"/>
          <w:sz w:val="20"/>
        </w:rPr>
      </w:pPr>
      <w:r>
        <w:rPr>
          <w:rFonts w:ascii="Arial" w:hAnsi="Arial"/>
          <w:sz w:val="20"/>
        </w:rPr>
        <w:t>TABLE I – COST AND REVENUE - CLASS B ACCOUNT LEVEL REPORTING</w:t>
      </w:r>
    </w:p>
    <w:p w:rsidR="008C50EF" w:rsidP="008C50EF">
      <w:pPr>
        <w:jc w:val="center"/>
        <w:rPr>
          <w:rFonts w:ascii="Arial" w:hAnsi="Arial"/>
          <w:sz w:val="16"/>
        </w:rPr>
      </w:pPr>
      <w:r>
        <w:rPr>
          <w:rFonts w:ascii="Arial" w:hAnsi="Arial"/>
          <w:sz w:val="16"/>
        </w:rPr>
        <w:t>(Dollars in thousands)</w:t>
      </w:r>
    </w:p>
    <w:tbl>
      <w:tblPr>
        <w:tblW w:w="0" w:type="auto"/>
        <w:tblLayout w:type="fixed"/>
        <w:tblCellMar>
          <w:left w:w="30" w:type="dxa"/>
          <w:right w:w="30" w:type="dxa"/>
        </w:tblCellMar>
        <w:tblLook w:val="0000"/>
      </w:tblPr>
      <w:tblGrid>
        <w:gridCol w:w="570"/>
        <w:gridCol w:w="2610"/>
        <w:gridCol w:w="810"/>
        <w:gridCol w:w="810"/>
        <w:gridCol w:w="900"/>
        <w:gridCol w:w="900"/>
        <w:gridCol w:w="810"/>
        <w:gridCol w:w="900"/>
      </w:tblGrid>
      <w:tr>
        <w:tblPrEx>
          <w:tblW w:w="0" w:type="auto"/>
          <w:tblLayout w:type="fixed"/>
          <w:tblCellMar>
            <w:left w:w="30" w:type="dxa"/>
            <w:right w:w="30" w:type="dxa"/>
          </w:tblCellMar>
          <w:tblLook w:val="0000"/>
        </w:tblPrEx>
        <w:trPr>
          <w:cantSplit/>
          <w:trHeight w:val="79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ROW</w:t>
            </w:r>
          </w:p>
        </w:tc>
        <w:tc>
          <w:tcPr>
            <w:tcW w:w="26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CLASSIFICATION</w:t>
            </w:r>
          </w:p>
          <w:p w:rsidR="008C50EF" w:rsidP="008C50EF">
            <w:pPr>
              <w:jc w:val="center"/>
              <w:rPr>
                <w:rFonts w:ascii="Arial" w:hAnsi="Arial"/>
                <w:color w:val="000000"/>
                <w:sz w:val="14"/>
              </w:rPr>
            </w:pPr>
            <w:r>
              <w:rPr>
                <w:rFonts w:ascii="Arial" w:hAnsi="Arial"/>
                <w:color w:val="000000"/>
                <w:sz w:val="14"/>
              </w:rPr>
              <w:t>(a)</w:t>
            </w: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Total</w:t>
            </w:r>
          </w:p>
          <w:p w:rsidR="008C50EF" w:rsidP="008C50EF">
            <w:pPr>
              <w:jc w:val="center"/>
              <w:rPr>
                <w:rFonts w:ascii="Arial" w:hAnsi="Arial"/>
                <w:color w:val="000000"/>
                <w:sz w:val="14"/>
              </w:rPr>
            </w:pPr>
            <w:r>
              <w:rPr>
                <w:rFonts w:ascii="Arial" w:hAnsi="Arial"/>
                <w:color w:val="000000"/>
                <w:sz w:val="14"/>
              </w:rPr>
              <w:t>(b)</w:t>
            </w: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Nonreg</w:t>
            </w:r>
          </w:p>
          <w:p w:rsidR="008C50EF" w:rsidP="008C50EF">
            <w:pPr>
              <w:jc w:val="center"/>
              <w:rPr>
                <w:rFonts w:ascii="Arial" w:hAnsi="Arial"/>
                <w:color w:val="000000"/>
                <w:sz w:val="14"/>
              </w:rPr>
            </w:pPr>
            <w:r>
              <w:rPr>
                <w:rFonts w:ascii="Arial" w:hAnsi="Arial"/>
                <w:color w:val="000000"/>
                <w:sz w:val="14"/>
              </w:rPr>
              <w:t>(c)</w:t>
            </w:r>
          </w:p>
        </w:tc>
        <w:tc>
          <w:tcPr>
            <w:tcW w:w="90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Adjustments</w:t>
            </w:r>
          </w:p>
          <w:p w:rsidR="008C50EF" w:rsidP="008C50EF">
            <w:pPr>
              <w:jc w:val="center"/>
              <w:rPr>
                <w:rFonts w:ascii="Arial" w:hAnsi="Arial"/>
                <w:color w:val="000000"/>
                <w:sz w:val="14"/>
              </w:rPr>
            </w:pPr>
            <w:r>
              <w:rPr>
                <w:rFonts w:ascii="Arial" w:hAnsi="Arial"/>
                <w:color w:val="000000"/>
                <w:sz w:val="14"/>
              </w:rPr>
              <w:t>(d)</w:t>
            </w:r>
          </w:p>
        </w:tc>
        <w:tc>
          <w:tcPr>
            <w:tcW w:w="90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Subject to</w:t>
            </w:r>
          </w:p>
          <w:p w:rsidR="008C50EF" w:rsidP="008C50EF">
            <w:pPr>
              <w:jc w:val="center"/>
              <w:rPr>
                <w:rFonts w:ascii="Arial" w:hAnsi="Arial"/>
                <w:color w:val="000000"/>
                <w:sz w:val="14"/>
              </w:rPr>
            </w:pPr>
            <w:r>
              <w:rPr>
                <w:rFonts w:ascii="Arial" w:hAnsi="Arial"/>
                <w:color w:val="000000"/>
                <w:sz w:val="14"/>
              </w:rPr>
              <w:t>Separations</w:t>
            </w:r>
          </w:p>
          <w:p w:rsidR="008C50EF" w:rsidP="008C50EF">
            <w:pPr>
              <w:jc w:val="center"/>
              <w:rPr>
                <w:rFonts w:ascii="Arial" w:hAnsi="Arial"/>
                <w:color w:val="000000"/>
                <w:sz w:val="14"/>
              </w:rPr>
            </w:pPr>
            <w:r>
              <w:rPr>
                <w:rFonts w:ascii="Arial" w:hAnsi="Arial"/>
                <w:color w:val="000000"/>
                <w:sz w:val="14"/>
              </w:rPr>
              <w:t>(f)</w:t>
            </w: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State</w:t>
            </w:r>
          </w:p>
          <w:p w:rsidR="008C50EF" w:rsidP="008C50EF">
            <w:pPr>
              <w:jc w:val="center"/>
              <w:rPr>
                <w:rFonts w:ascii="Arial" w:hAnsi="Arial"/>
                <w:color w:val="000000"/>
                <w:sz w:val="14"/>
              </w:rPr>
            </w:pPr>
            <w:r>
              <w:rPr>
                <w:rFonts w:ascii="Arial" w:hAnsi="Arial"/>
                <w:color w:val="000000"/>
                <w:sz w:val="14"/>
              </w:rPr>
              <w:t>(g)</w:t>
            </w:r>
          </w:p>
        </w:tc>
        <w:tc>
          <w:tcPr>
            <w:tcW w:w="90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Interstate</w:t>
            </w:r>
          </w:p>
          <w:p w:rsidR="008C50EF" w:rsidP="008C50EF">
            <w:pPr>
              <w:jc w:val="center"/>
              <w:rPr>
                <w:rFonts w:ascii="Arial" w:hAnsi="Arial"/>
                <w:color w:val="000000"/>
                <w:sz w:val="14"/>
              </w:rPr>
            </w:pPr>
            <w:r>
              <w:rPr>
                <w:rFonts w:ascii="Arial" w:hAnsi="Arial"/>
                <w:color w:val="000000"/>
                <w:sz w:val="14"/>
              </w:rPr>
              <w:t>(h)</w:t>
            </w: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2"/>
              </w:rPr>
            </w:pPr>
          </w:p>
        </w:tc>
        <w:tc>
          <w:tcPr>
            <w:tcW w:w="2610" w:type="dxa"/>
            <w:tcBorders>
              <w:left w:val="dotted" w:sz="6" w:space="0" w:color="auto"/>
              <w:right w:val="single" w:sz="6" w:space="0" w:color="auto"/>
            </w:tcBorders>
          </w:tcPr>
          <w:p w:rsidR="008C50EF" w:rsidP="008C50EF">
            <w:pPr>
              <w:jc w:val="right"/>
              <w:rPr>
                <w:rFonts w:ascii="Arial" w:hAnsi="Arial"/>
                <w:color w:val="000000"/>
                <w:sz w:val="12"/>
              </w:rPr>
            </w:pPr>
          </w:p>
        </w:tc>
        <w:tc>
          <w:tcPr>
            <w:tcW w:w="810" w:type="dxa"/>
            <w:tcBorders>
              <w:top w:val="single" w:sz="6" w:space="0" w:color="auto"/>
              <w:left w:val="dotted" w:sz="6" w:space="0" w:color="auto"/>
              <w:right w:val="single" w:sz="6" w:space="0" w:color="auto"/>
            </w:tcBorders>
          </w:tcPr>
          <w:p w:rsidR="008C50EF" w:rsidP="008C50EF">
            <w:pPr>
              <w:jc w:val="center"/>
              <w:rPr>
                <w:rFonts w:ascii="Arial" w:hAnsi="Arial"/>
                <w:color w:val="000000"/>
                <w:sz w:val="12"/>
              </w:rPr>
            </w:pPr>
          </w:p>
        </w:tc>
        <w:tc>
          <w:tcPr>
            <w:tcW w:w="810" w:type="dxa"/>
            <w:tcBorders>
              <w:top w:val="single" w:sz="6" w:space="0" w:color="auto"/>
              <w:left w:val="dotted" w:sz="6" w:space="0" w:color="auto"/>
              <w:right w:val="single" w:sz="6" w:space="0" w:color="auto"/>
            </w:tcBorders>
          </w:tcPr>
          <w:p w:rsidR="008C50EF" w:rsidP="008C50EF">
            <w:pPr>
              <w:jc w:val="center"/>
              <w:rPr>
                <w:rFonts w:ascii="Arial" w:hAnsi="Arial"/>
                <w:color w:val="000000"/>
                <w:sz w:val="12"/>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2"/>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2"/>
              </w:rPr>
            </w:pP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2"/>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2"/>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Revenues</w:t>
            </w: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1010</w:t>
            </w:r>
          </w:p>
        </w:tc>
        <w:tc>
          <w:tcPr>
            <w:tcW w:w="261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Basic Local Services</w:t>
            </w: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1020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Network Access Services</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1030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Toll Network Services</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1040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Miscellaneous</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1045</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Nonregulated</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1060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Uncollectible</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1090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Operating Revenues</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top w:val="single" w:sz="6" w:space="0" w:color="auto"/>
              <w:left w:val="dotted" w:sz="6" w:space="0" w:color="auto"/>
              <w:right w:val="single" w:sz="6" w:space="0" w:color="auto"/>
            </w:tcBorders>
          </w:tcPr>
          <w:p w:rsidR="008C50EF" w:rsidP="008C50EF">
            <w:pPr>
              <w:jc w:val="right"/>
              <w:rPr>
                <w:rFonts w:ascii="Arial" w:hAnsi="Arial"/>
                <w:color w:val="000000"/>
                <w:sz w:val="14"/>
              </w:rPr>
            </w:pPr>
          </w:p>
        </w:tc>
        <w:tc>
          <w:tcPr>
            <w:tcW w:w="81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Expenses</w:t>
            </w: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1120</w:t>
            </w:r>
          </w:p>
        </w:tc>
        <w:tc>
          <w:tcPr>
            <w:tcW w:w="261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Specific</w:t>
            </w: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1130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Non-Specific</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1140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Customer Operations Marketing</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1150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Customer Operations Services</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1160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General &amp; Administrative</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1170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Access</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1180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Depreciation/Amortization</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1185</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Expense Adjustment</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1190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Operating Expenses</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top w:val="single" w:sz="6" w:space="0" w:color="auto"/>
              <w:left w:val="dotted" w:sz="6" w:space="0" w:color="auto"/>
              <w:right w:val="single" w:sz="6" w:space="0" w:color="auto"/>
            </w:tcBorders>
          </w:tcPr>
          <w:p w:rsidR="008C50EF" w:rsidP="008C50EF">
            <w:pPr>
              <w:jc w:val="right"/>
              <w:rPr>
                <w:rFonts w:ascii="Arial" w:hAnsi="Arial"/>
                <w:color w:val="000000"/>
                <w:sz w:val="14"/>
              </w:rPr>
            </w:pPr>
          </w:p>
        </w:tc>
        <w:tc>
          <w:tcPr>
            <w:tcW w:w="81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 xml:space="preserve">Other Operating Items </w:t>
            </w: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1290</w:t>
            </w:r>
          </w:p>
        </w:tc>
        <w:tc>
          <w:tcPr>
            <w:tcW w:w="261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Other Operating Income/Losses</w:t>
            </w: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jc w:val="right"/>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Non-operating Items</w:t>
            </w: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1320</w:t>
            </w:r>
          </w:p>
        </w:tc>
        <w:tc>
          <w:tcPr>
            <w:tcW w:w="261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Inc Effect/Jurisdictional Difference (Rev)</w:t>
            </w: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1330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Extraordinary Items (Rev)</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1365</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Non-operating Income &amp; Expenses</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1370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Non-operating Adjustment (Exp)</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1390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Non-operating Items (Exp)</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jc w:val="right"/>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jc w:val="right"/>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61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 xml:space="preserve"> Taxes</w:t>
            </w: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1510</w:t>
            </w:r>
          </w:p>
        </w:tc>
        <w:tc>
          <w:tcPr>
            <w:tcW w:w="261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Fixed Charges (Exp)</w:t>
            </w: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1520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IRS Income Adjustment (Rev)</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1530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Taxable Income Adjustment (Rev)</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1550</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ITC Adjustment (Rev)</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1595</w:t>
            </w:r>
          </w:p>
        </w:tc>
        <w:tc>
          <w:tcPr>
            <w:tcW w:w="261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Taxes – Federal, State, &amp; Other (Exp)</w:t>
            </w: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bl>
    <w:p w:rsidR="008C50EF" w:rsidP="008C50EF">
      <w:pPr>
        <w:rPr>
          <w:rFonts w:ascii="Arial" w:hAnsi="Arial"/>
        </w:rPr>
      </w:pPr>
    </w:p>
    <w:p w:rsidR="008C50EF" w:rsidRPr="00BB2765" w:rsidP="005B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Arial" w:hAnsi="Arial" w:cs="Arial"/>
          <w:sz w:val="18"/>
          <w:szCs w:val="18"/>
        </w:rPr>
      </w:pPr>
      <w:bookmarkStart w:id="1" w:name="OLE_LINK1"/>
      <w:r w:rsidRPr="003711DB">
        <w:rPr>
          <w:rFonts w:ascii="Arial" w:hAnsi="Arial" w:cs="Arial"/>
          <w:sz w:val="18"/>
          <w:szCs w:val="18"/>
          <w:u w:val="single"/>
        </w:rPr>
        <w:t>Footnotes</w:t>
      </w:r>
      <w:r w:rsidRPr="003711DB">
        <w:rPr>
          <w:rFonts w:ascii="Arial" w:hAnsi="Arial" w:cs="Arial"/>
          <w:sz w:val="18"/>
          <w:szCs w:val="18"/>
        </w:rPr>
        <w:t>:</w:t>
      </w:r>
      <w:r w:rsidRPr="003711DB" w:rsidR="00EB6779">
        <w:rPr>
          <w:rFonts w:ascii="Arial" w:hAnsi="Arial" w:cs="Arial"/>
          <w:sz w:val="18"/>
          <w:szCs w:val="18"/>
        </w:rPr>
        <w:t xml:space="preserve"> </w:t>
      </w:r>
      <w:r w:rsidRPr="003711DB" w:rsidR="00935874">
        <w:rPr>
          <w:rFonts w:ascii="Arial" w:hAnsi="Arial" w:cs="Arial"/>
          <w:spacing w:val="-3"/>
          <w:sz w:val="18"/>
          <w:szCs w:val="18"/>
        </w:rPr>
        <w:t xml:space="preserve">Footnotes should appear at the bottom of the table, not on each page of the table.  </w:t>
      </w:r>
      <w:r w:rsidRPr="00BB2765" w:rsidR="003711DB">
        <w:rPr>
          <w:rFonts w:ascii="Arial" w:hAnsi="Arial" w:cs="Arial"/>
          <w:spacing w:val="-3"/>
          <w:sz w:val="18"/>
          <w:szCs w:val="18"/>
        </w:rPr>
        <w:t>Use numerical superscripts to indicate a footnote.  If the footnote applies to a single data entry, place the superscript on the entry. If it applies to an entire row and or column, footnote the row or column header.</w:t>
      </w:r>
      <w:bookmarkEnd w:id="1"/>
      <w:r w:rsidR="003F6950">
        <w:rPr>
          <w:rFonts w:ascii="Arial" w:hAnsi="Arial" w:cs="Arial"/>
          <w:spacing w:val="-3"/>
          <w:sz w:val="18"/>
          <w:szCs w:val="18"/>
        </w:rPr>
        <w:t xml:space="preserve">  See the reporting procedures document for the use of footnotes when an erratum is required.</w:t>
      </w:r>
    </w:p>
    <w:p w:rsidR="001B5C03">
      <w:pPr>
        <w:widowControl/>
        <w:rPr>
          <w:rFonts w:ascii="Arial" w:hAnsi="Arial"/>
          <w:sz w:val="16"/>
        </w:rPr>
      </w:pPr>
      <w:r>
        <w:rPr>
          <w:rFonts w:ascii="Arial" w:hAnsi="Arial"/>
          <w:sz w:val="16"/>
        </w:rPr>
        <w:br w:type="page"/>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6"/>
        </w:rPr>
      </w:pPr>
      <w:r>
        <w:rPr>
          <w:rFonts w:ascii="Arial" w:hAnsi="Arial"/>
          <w:sz w:val="16"/>
        </w:rPr>
        <w:t>FCC Report 43-01</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r>
        <w:rPr>
          <w:rFonts w:ascii="Arial" w:hAnsi="Arial"/>
          <w:sz w:val="16"/>
        </w:rPr>
        <w:t>ARMIS Annual Summary Report</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p>
    <w:p w:rsidR="00170779"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Company:</w:t>
      </w:r>
      <w:r>
        <w:rPr>
          <w:rFonts w:ascii="Arial" w:hAnsi="Arial"/>
          <w:sz w:val="16"/>
        </w:rPr>
        <w:tab/>
      </w:r>
      <w:r>
        <w:rPr>
          <w:rFonts w:ascii="Arial" w:hAnsi="Arial"/>
          <w:sz w:val="16"/>
        </w:rPr>
        <w:t>XYZ Telco</w:t>
      </w:r>
      <w:r>
        <w:rPr>
          <w:rFonts w:ascii="Arial" w:hAnsi="Arial"/>
          <w:sz w:val="16"/>
        </w:rPr>
        <w:tab/>
      </w:r>
    </w:p>
    <w:p w:rsidR="00170779"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Study Area:</w:t>
      </w:r>
      <w:r>
        <w:rPr>
          <w:rFonts w:ascii="Arial" w:hAnsi="Arial"/>
          <w:sz w:val="16"/>
        </w:rPr>
        <w:tab/>
        <w:t>Arizona</w:t>
      </w:r>
      <w:r>
        <w:rPr>
          <w:rFonts w:ascii="Arial" w:hAnsi="Arial"/>
          <w:sz w:val="16"/>
        </w:rPr>
        <w:tab/>
      </w:r>
      <w:r>
        <w:rPr>
          <w:rFonts w:ascii="Arial" w:hAnsi="Arial"/>
          <w:sz w:val="16"/>
        </w:rPr>
        <w:tab/>
      </w:r>
      <w:r>
        <w:rPr>
          <w:rFonts w:ascii="Arial" w:hAnsi="Arial"/>
          <w:sz w:val="16"/>
        </w:rPr>
        <w:tab/>
        <w:t>Submission #</w:t>
      </w:r>
    </w:p>
    <w:p w:rsidR="00170779"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6"/>
        </w:rPr>
      </w:pPr>
      <w:r>
        <w:rPr>
          <w:rFonts w:ascii="Arial" w:hAnsi="Arial"/>
          <w:sz w:val="16"/>
        </w:rPr>
        <w:t>Period:</w:t>
      </w:r>
      <w:r>
        <w:rPr>
          <w:rFonts w:ascii="Arial" w:hAnsi="Arial"/>
          <w:sz w:val="16"/>
        </w:rPr>
        <w:tab/>
      </w:r>
      <w:r>
        <w:rPr>
          <w:rFonts w:ascii="Arial" w:hAnsi="Arial"/>
          <w:sz w:val="16"/>
        </w:rPr>
        <w:tab/>
        <w:t xml:space="preserve">From: </w:t>
      </w:r>
      <w:r>
        <w:rPr>
          <w:rFonts w:ascii="Arial" w:hAnsi="Arial"/>
          <w:sz w:val="16"/>
        </w:rPr>
        <w:t>mmmyyyy</w:t>
      </w:r>
      <w:r>
        <w:rPr>
          <w:rFonts w:ascii="Arial" w:hAnsi="Arial"/>
          <w:sz w:val="16"/>
        </w:rPr>
        <w:t xml:space="preserve"> To: </w:t>
      </w:r>
      <w:r>
        <w:rPr>
          <w:rFonts w:ascii="Arial" w:hAnsi="Arial"/>
          <w:sz w:val="16"/>
        </w:rPr>
        <w:t>mmmyyyy</w:t>
      </w:r>
    </w:p>
    <w:p w:rsidR="008C50EF"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COSA:</w:t>
      </w:r>
      <w:r>
        <w:rPr>
          <w:rFonts w:ascii="Arial" w:hAnsi="Arial"/>
          <w:sz w:val="16"/>
        </w:rPr>
        <w:tab/>
      </w:r>
      <w:r>
        <w:rPr>
          <w:rFonts w:ascii="Arial" w:hAnsi="Arial"/>
          <w:sz w:val="16"/>
        </w:rPr>
        <w:tab/>
        <w:t>XYAZ</w:t>
      </w:r>
      <w:r>
        <w:rPr>
          <w:rFonts w:ascii="Arial" w:hAnsi="Arial"/>
          <w:sz w:val="16"/>
        </w:rPr>
        <w:tab/>
      </w:r>
      <w:r>
        <w:rPr>
          <w:rFonts w:ascii="Arial" w:hAnsi="Arial"/>
          <w:sz w:val="16"/>
        </w:rPr>
        <w:tab/>
      </w:r>
      <w:r>
        <w:rPr>
          <w:rFonts w:ascii="Arial" w:hAnsi="Arial"/>
          <w:sz w:val="16"/>
        </w:rPr>
        <w:tab/>
        <w:t>Table I</w:t>
      </w:r>
    </w:p>
    <w:p w:rsidR="008C50EF" w:rsidP="008C50EF">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Page 2 of 4</w:t>
      </w:r>
    </w:p>
    <w:p w:rsidR="008C50EF" w:rsidP="008C50EF">
      <w:pPr>
        <w:pStyle w:val="header2"/>
        <w:tabs>
          <w:tab w:val="clear" w:pos="1440"/>
          <w:tab w:val="clear" w:pos="4320"/>
          <w:tab w:val="clear" w:pos="8640"/>
        </w:tabs>
        <w:suppressAutoHyphens w:val="0"/>
        <w:outlineLvl w:val="0"/>
        <w:rPr>
          <w:rFonts w:ascii="Arial" w:hAnsi="Arial"/>
          <w:sz w:val="20"/>
        </w:rPr>
      </w:pPr>
    </w:p>
    <w:p w:rsidR="008C50EF" w:rsidP="008C50EF">
      <w:pPr>
        <w:pStyle w:val="header2"/>
        <w:tabs>
          <w:tab w:val="clear" w:pos="1440"/>
          <w:tab w:val="clear" w:pos="4320"/>
          <w:tab w:val="clear" w:pos="8640"/>
        </w:tabs>
        <w:suppressAutoHyphens w:val="0"/>
        <w:outlineLvl w:val="0"/>
        <w:rPr>
          <w:rFonts w:ascii="Arial" w:hAnsi="Arial"/>
          <w:sz w:val="20"/>
        </w:rPr>
      </w:pPr>
      <w:r>
        <w:rPr>
          <w:rFonts w:ascii="Arial" w:hAnsi="Arial"/>
          <w:sz w:val="20"/>
        </w:rPr>
        <w:t>TABLE I – COST AND REVENUE - CLASS B ACCOUNT LEVEL REPORTING</w:t>
      </w:r>
    </w:p>
    <w:p w:rsidR="008C50EF" w:rsidP="008C50EF">
      <w:pPr>
        <w:jc w:val="center"/>
        <w:rPr>
          <w:rFonts w:ascii="Arial" w:hAnsi="Arial"/>
          <w:sz w:val="16"/>
        </w:rPr>
      </w:pPr>
      <w:r>
        <w:rPr>
          <w:rFonts w:ascii="Arial" w:hAnsi="Arial"/>
          <w:sz w:val="16"/>
        </w:rPr>
        <w:t>(Dollars in thousands)</w:t>
      </w:r>
    </w:p>
    <w:tbl>
      <w:tblPr>
        <w:tblW w:w="0" w:type="auto"/>
        <w:tblLayout w:type="fixed"/>
        <w:tblCellMar>
          <w:left w:w="30" w:type="dxa"/>
          <w:right w:w="30" w:type="dxa"/>
        </w:tblCellMar>
        <w:tblLook w:val="0000"/>
      </w:tblPr>
      <w:tblGrid>
        <w:gridCol w:w="570"/>
        <w:gridCol w:w="2700"/>
        <w:gridCol w:w="720"/>
        <w:gridCol w:w="810"/>
        <w:gridCol w:w="900"/>
        <w:gridCol w:w="900"/>
        <w:gridCol w:w="810"/>
        <w:gridCol w:w="990"/>
      </w:tblGrid>
      <w:tr>
        <w:tblPrEx>
          <w:tblW w:w="0" w:type="auto"/>
          <w:tblLayout w:type="fixed"/>
          <w:tblCellMar>
            <w:left w:w="30" w:type="dxa"/>
            <w:right w:w="30" w:type="dxa"/>
          </w:tblCellMar>
          <w:tblLook w:val="0000"/>
        </w:tblPrEx>
        <w:trPr>
          <w:cantSplit/>
          <w:trHeight w:val="79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ROW</w:t>
            </w:r>
          </w:p>
        </w:tc>
        <w:tc>
          <w:tcPr>
            <w:tcW w:w="270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CLASSIFICATION</w:t>
            </w:r>
          </w:p>
          <w:p w:rsidR="008C50EF" w:rsidP="008C50EF">
            <w:pPr>
              <w:jc w:val="center"/>
              <w:rPr>
                <w:rFonts w:ascii="Arial" w:hAnsi="Arial"/>
                <w:color w:val="000000"/>
                <w:sz w:val="14"/>
              </w:rPr>
            </w:pPr>
            <w:r>
              <w:rPr>
                <w:rFonts w:ascii="Arial" w:hAnsi="Arial"/>
                <w:color w:val="000000"/>
                <w:sz w:val="14"/>
              </w:rPr>
              <w:t>(a)</w:t>
            </w:r>
          </w:p>
        </w:tc>
        <w:tc>
          <w:tcPr>
            <w:tcW w:w="72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Total</w:t>
            </w:r>
          </w:p>
          <w:p w:rsidR="008C50EF" w:rsidP="008C50EF">
            <w:pPr>
              <w:jc w:val="center"/>
              <w:rPr>
                <w:rFonts w:ascii="Arial" w:hAnsi="Arial"/>
                <w:color w:val="000000"/>
                <w:sz w:val="14"/>
              </w:rPr>
            </w:pPr>
            <w:r>
              <w:rPr>
                <w:rFonts w:ascii="Arial" w:hAnsi="Arial"/>
                <w:color w:val="000000"/>
                <w:sz w:val="14"/>
              </w:rPr>
              <w:t>(b)</w:t>
            </w: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Nonreg</w:t>
            </w:r>
          </w:p>
          <w:p w:rsidR="008C50EF" w:rsidP="008C50EF">
            <w:pPr>
              <w:jc w:val="center"/>
              <w:rPr>
                <w:rFonts w:ascii="Arial" w:hAnsi="Arial"/>
                <w:color w:val="000000"/>
                <w:sz w:val="14"/>
              </w:rPr>
            </w:pPr>
            <w:r>
              <w:rPr>
                <w:rFonts w:ascii="Arial" w:hAnsi="Arial"/>
                <w:color w:val="000000"/>
                <w:sz w:val="14"/>
              </w:rPr>
              <w:t>(c)</w:t>
            </w:r>
          </w:p>
        </w:tc>
        <w:tc>
          <w:tcPr>
            <w:tcW w:w="90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Adjustments</w:t>
            </w:r>
          </w:p>
          <w:p w:rsidR="008C50EF" w:rsidP="008C50EF">
            <w:pPr>
              <w:jc w:val="center"/>
              <w:rPr>
                <w:rFonts w:ascii="Arial" w:hAnsi="Arial"/>
                <w:color w:val="000000"/>
                <w:sz w:val="14"/>
              </w:rPr>
            </w:pPr>
            <w:r>
              <w:rPr>
                <w:rFonts w:ascii="Arial" w:hAnsi="Arial"/>
                <w:color w:val="000000"/>
                <w:sz w:val="14"/>
              </w:rPr>
              <w:t>(d)</w:t>
            </w:r>
          </w:p>
        </w:tc>
        <w:tc>
          <w:tcPr>
            <w:tcW w:w="90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Subject to</w:t>
            </w:r>
          </w:p>
          <w:p w:rsidR="008C50EF" w:rsidP="008C50EF">
            <w:pPr>
              <w:jc w:val="center"/>
              <w:rPr>
                <w:rFonts w:ascii="Arial" w:hAnsi="Arial"/>
                <w:color w:val="000000"/>
                <w:sz w:val="14"/>
              </w:rPr>
            </w:pPr>
            <w:r>
              <w:rPr>
                <w:rFonts w:ascii="Arial" w:hAnsi="Arial"/>
                <w:color w:val="000000"/>
                <w:sz w:val="14"/>
              </w:rPr>
              <w:t>Separations</w:t>
            </w:r>
          </w:p>
          <w:p w:rsidR="008C50EF" w:rsidP="008C50EF">
            <w:pPr>
              <w:jc w:val="center"/>
              <w:rPr>
                <w:rFonts w:ascii="Arial" w:hAnsi="Arial"/>
                <w:color w:val="000000"/>
                <w:sz w:val="14"/>
              </w:rPr>
            </w:pPr>
            <w:r>
              <w:rPr>
                <w:rFonts w:ascii="Arial" w:hAnsi="Arial"/>
                <w:color w:val="000000"/>
                <w:sz w:val="14"/>
              </w:rPr>
              <w:t>(f)</w:t>
            </w: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State</w:t>
            </w:r>
          </w:p>
          <w:p w:rsidR="008C50EF" w:rsidP="008C50EF">
            <w:pPr>
              <w:jc w:val="center"/>
              <w:rPr>
                <w:rFonts w:ascii="Arial" w:hAnsi="Arial"/>
                <w:color w:val="000000"/>
                <w:sz w:val="14"/>
              </w:rPr>
            </w:pPr>
            <w:r>
              <w:rPr>
                <w:rFonts w:ascii="Arial" w:hAnsi="Arial"/>
                <w:color w:val="000000"/>
                <w:sz w:val="14"/>
              </w:rPr>
              <w:t>(g)</w:t>
            </w:r>
          </w:p>
        </w:tc>
        <w:tc>
          <w:tcPr>
            <w:tcW w:w="99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Interstate</w:t>
            </w:r>
          </w:p>
          <w:p w:rsidR="008C50EF" w:rsidP="008C50EF">
            <w:pPr>
              <w:jc w:val="center"/>
              <w:rPr>
                <w:rFonts w:ascii="Arial" w:hAnsi="Arial"/>
                <w:color w:val="000000"/>
                <w:sz w:val="14"/>
              </w:rPr>
            </w:pPr>
            <w:r>
              <w:rPr>
                <w:rFonts w:ascii="Arial" w:hAnsi="Arial"/>
                <w:color w:val="000000"/>
                <w:sz w:val="14"/>
              </w:rPr>
              <w:t>(h)</w:t>
            </w: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Plant-in-Service</w:t>
            </w:r>
          </w:p>
        </w:tc>
        <w:tc>
          <w:tcPr>
            <w:tcW w:w="72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1620</w:t>
            </w:r>
          </w:p>
        </w:tc>
        <w:tc>
          <w:tcPr>
            <w:tcW w:w="270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Support Plant</w:t>
            </w:r>
          </w:p>
        </w:tc>
        <w:tc>
          <w:tcPr>
            <w:tcW w:w="72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1630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Operator Systems Equipment</w:t>
            </w:r>
          </w:p>
        </w:tc>
        <w:tc>
          <w:tcPr>
            <w:tcW w:w="72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1640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COE-Switching</w:t>
            </w:r>
          </w:p>
        </w:tc>
        <w:tc>
          <w:tcPr>
            <w:tcW w:w="72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1650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COE-Transmission</w:t>
            </w:r>
          </w:p>
        </w:tc>
        <w:tc>
          <w:tcPr>
            <w:tcW w:w="72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1660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Cable and Wire Facilities</w:t>
            </w:r>
          </w:p>
        </w:tc>
        <w:tc>
          <w:tcPr>
            <w:tcW w:w="72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1670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IOT Equipment</w:t>
            </w:r>
          </w:p>
        </w:tc>
        <w:tc>
          <w:tcPr>
            <w:tcW w:w="72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1680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Amortizable Assets</w:t>
            </w:r>
          </w:p>
        </w:tc>
        <w:tc>
          <w:tcPr>
            <w:tcW w:w="72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1690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Plant In-Service</w:t>
            </w:r>
          </w:p>
        </w:tc>
        <w:tc>
          <w:tcPr>
            <w:tcW w:w="72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left w:val="dotted"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jc w:val="right"/>
              <w:rPr>
                <w:rFonts w:ascii="Arial" w:hAnsi="Arial"/>
                <w:color w:val="000000"/>
                <w:sz w:val="14"/>
              </w:rPr>
            </w:pPr>
          </w:p>
        </w:tc>
        <w:tc>
          <w:tcPr>
            <w:tcW w:w="72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90" w:type="dxa"/>
            <w:tcBorders>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Other Investments</w:t>
            </w:r>
          </w:p>
        </w:tc>
        <w:tc>
          <w:tcPr>
            <w:tcW w:w="72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90" w:type="dxa"/>
            <w:tcBorders>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1705</w:t>
            </w:r>
          </w:p>
        </w:tc>
        <w:tc>
          <w:tcPr>
            <w:tcW w:w="2700" w:type="dxa"/>
            <w:tcBorders>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Other Jurisdictional Assets-Net</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1710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Property Held for Future Use</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1720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Under Construction</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1730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Acquisition Adjustment</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1740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Investment in Nonaffiliated Companies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1750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Other Deferred Charges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1760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Inventories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1770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Cash Working Capital</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1780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Investment Adjustment</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1790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Other Investments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top w:val="single" w:sz="6" w:space="0" w:color="auto"/>
              <w:right w:val="single" w:sz="6" w:space="0" w:color="auto"/>
            </w:tcBorders>
          </w:tcPr>
          <w:p w:rsidR="008C50EF" w:rsidP="008C50EF">
            <w:pPr>
              <w:jc w:val="right"/>
              <w:rPr>
                <w:rFonts w:ascii="Arial" w:hAnsi="Arial"/>
                <w:color w:val="000000"/>
                <w:sz w:val="14"/>
              </w:rPr>
            </w:pPr>
          </w:p>
        </w:tc>
        <w:tc>
          <w:tcPr>
            <w:tcW w:w="720" w:type="dxa"/>
            <w:tcBorders>
              <w:top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Reserves</w:t>
            </w:r>
          </w:p>
        </w:tc>
        <w:tc>
          <w:tcPr>
            <w:tcW w:w="72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90" w:type="dxa"/>
            <w:tcBorders>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1820</w:t>
            </w:r>
          </w:p>
        </w:tc>
        <w:tc>
          <w:tcPr>
            <w:tcW w:w="2700" w:type="dxa"/>
            <w:tcBorders>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Accumulated Depreciation</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1830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Accumulated Amortization</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1840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Deferred  Operating Income Taxes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1850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Customer Deposits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1865</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Other Long-term </w:t>
            </w:r>
            <w:r>
              <w:rPr>
                <w:rFonts w:ascii="Arial" w:hAnsi="Arial"/>
                <w:color w:val="000000"/>
                <w:sz w:val="14"/>
              </w:rPr>
              <w:t>Liab</w:t>
            </w:r>
            <w:r>
              <w:rPr>
                <w:rFonts w:ascii="Arial" w:hAnsi="Arial"/>
                <w:color w:val="000000"/>
                <w:sz w:val="14"/>
              </w:rPr>
              <w:t>. &amp; Def. Credits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1882</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Deferred Tax Liabilities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1883</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Other </w:t>
            </w:r>
            <w:r>
              <w:rPr>
                <w:rFonts w:ascii="Arial" w:hAnsi="Arial"/>
                <w:color w:val="000000"/>
                <w:sz w:val="14"/>
              </w:rPr>
              <w:t>Jurisd</w:t>
            </w:r>
            <w:r>
              <w:rPr>
                <w:rFonts w:ascii="Arial" w:hAnsi="Arial"/>
                <w:color w:val="000000"/>
                <w:sz w:val="14"/>
              </w:rPr>
              <w:t xml:space="preserve">. </w:t>
            </w:r>
            <w:r>
              <w:rPr>
                <w:rFonts w:ascii="Arial" w:hAnsi="Arial"/>
                <w:color w:val="000000"/>
                <w:sz w:val="14"/>
              </w:rPr>
              <w:t>Liab</w:t>
            </w:r>
            <w:r>
              <w:rPr>
                <w:rFonts w:ascii="Arial" w:hAnsi="Arial"/>
                <w:color w:val="000000"/>
                <w:sz w:val="14"/>
              </w:rPr>
              <w:t>.  &amp; Deferred Credits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1885</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Reserve Adjustment</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1890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Reserves</w:t>
            </w:r>
          </w:p>
        </w:tc>
        <w:tc>
          <w:tcPr>
            <w:tcW w:w="72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top w:val="single" w:sz="6" w:space="0" w:color="auto"/>
              <w:right w:val="single" w:sz="6" w:space="0" w:color="auto"/>
            </w:tcBorders>
          </w:tcPr>
          <w:p w:rsidR="008C50EF" w:rsidP="008C50EF">
            <w:pPr>
              <w:jc w:val="right"/>
              <w:rPr>
                <w:rFonts w:ascii="Arial" w:hAnsi="Arial"/>
                <w:color w:val="000000"/>
                <w:sz w:val="14"/>
              </w:rPr>
            </w:pPr>
          </w:p>
        </w:tc>
        <w:tc>
          <w:tcPr>
            <w:tcW w:w="720" w:type="dxa"/>
            <w:tcBorders>
              <w:top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right w:val="single" w:sz="6" w:space="0" w:color="auto"/>
            </w:tcBorders>
          </w:tcPr>
          <w:p w:rsidR="008C50EF" w:rsidP="008C50EF">
            <w:pPr>
              <w:jc w:val="center"/>
              <w:rPr>
                <w:rFonts w:ascii="Arial" w:hAnsi="Arial"/>
                <w:color w:val="000000"/>
                <w:sz w:val="14"/>
              </w:rPr>
            </w:pPr>
          </w:p>
        </w:tc>
        <w:tc>
          <w:tcPr>
            <w:tcW w:w="900" w:type="dxa"/>
            <w:tcBorders>
              <w:top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Return Data</w:t>
            </w:r>
          </w:p>
        </w:tc>
        <w:tc>
          <w:tcPr>
            <w:tcW w:w="72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90" w:type="dxa"/>
            <w:tcBorders>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1910</w:t>
            </w:r>
          </w:p>
        </w:tc>
        <w:tc>
          <w:tcPr>
            <w:tcW w:w="2700" w:type="dxa"/>
            <w:tcBorders>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Average Net Investment</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1915</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Net Return</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1920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Rate of Return</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jc w:val="right"/>
              <w:rPr>
                <w:rFonts w:ascii="Arial" w:hAnsi="Arial"/>
                <w:color w:val="000000"/>
                <w:sz w:val="14"/>
              </w:rPr>
            </w:pPr>
          </w:p>
        </w:tc>
        <w:tc>
          <w:tcPr>
            <w:tcW w:w="72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90" w:type="dxa"/>
            <w:tcBorders>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Miscellaneous Data</w:t>
            </w:r>
          </w:p>
        </w:tc>
        <w:tc>
          <w:tcPr>
            <w:tcW w:w="72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900" w:type="dxa"/>
            <w:tcBorders>
              <w:right w:val="single" w:sz="6" w:space="0" w:color="auto"/>
            </w:tcBorders>
          </w:tcPr>
          <w:p w:rsidR="008C50EF" w:rsidP="008C50EF">
            <w:pPr>
              <w:jc w:val="center"/>
              <w:rPr>
                <w:rFonts w:ascii="Arial" w:hAnsi="Arial"/>
                <w:color w:val="000000"/>
                <w:sz w:val="14"/>
              </w:rPr>
            </w:pPr>
          </w:p>
        </w:tc>
        <w:tc>
          <w:tcPr>
            <w:tcW w:w="810" w:type="dxa"/>
            <w:tcBorders>
              <w:right w:val="single" w:sz="6" w:space="0" w:color="auto"/>
            </w:tcBorders>
          </w:tcPr>
          <w:p w:rsidR="008C50EF" w:rsidP="008C50EF">
            <w:pPr>
              <w:jc w:val="center"/>
              <w:rPr>
                <w:rFonts w:ascii="Arial" w:hAnsi="Arial"/>
                <w:color w:val="000000"/>
                <w:sz w:val="14"/>
              </w:rPr>
            </w:pPr>
          </w:p>
        </w:tc>
        <w:tc>
          <w:tcPr>
            <w:tcW w:w="990" w:type="dxa"/>
            <w:tcBorders>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1950</w:t>
            </w:r>
          </w:p>
        </w:tc>
        <w:tc>
          <w:tcPr>
            <w:tcW w:w="2700" w:type="dxa"/>
            <w:tcBorders>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Lifeline Adjustment</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bottom w:val="single" w:sz="6" w:space="0" w:color="auto"/>
              <w:right w:val="single" w:sz="6"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1960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Universal Service Fund – High </w:t>
            </w:r>
            <w:smartTag w:uri="urn:schemas-microsoft-com:office:smarttags" w:element="place">
              <w:r>
                <w:rPr>
                  <w:rFonts w:ascii="Arial" w:hAnsi="Arial"/>
                  <w:color w:val="000000"/>
                  <w:sz w:val="14"/>
                </w:rPr>
                <w:t>Loop</w:t>
              </w:r>
            </w:smartTag>
            <w:r>
              <w:rPr>
                <w:rFonts w:ascii="Arial" w:hAnsi="Arial"/>
                <w:color w:val="000000"/>
                <w:sz w:val="14"/>
              </w:rPr>
              <w:t xml:space="preserve"> Cost</w:t>
            </w:r>
          </w:p>
        </w:tc>
        <w:tc>
          <w:tcPr>
            <w:tcW w:w="72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90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990" w:type="dxa"/>
            <w:tcBorders>
              <w:top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bl>
    <w:p w:rsidR="008C50EF" w:rsidP="008C50EF">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rPr>
      </w:pPr>
    </w:p>
    <w:p w:rsidR="001B5C03" w:rsidRPr="001B5C03" w:rsidP="001B5C03">
      <w:pPr>
        <w:rPr>
          <w:rFonts w:ascii="Arial" w:hAnsi="Arial"/>
          <w:sz w:val="20"/>
        </w:rPr>
      </w:pPr>
    </w:p>
    <w:p w:rsidR="003F6950" w:rsidRPr="00BB2765" w:rsidP="005B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Arial" w:hAnsi="Arial" w:cs="Arial"/>
          <w:sz w:val="18"/>
          <w:szCs w:val="18"/>
        </w:rPr>
      </w:pPr>
      <w:r w:rsidRPr="00F91822">
        <w:rPr>
          <w:rFonts w:ascii="Arial" w:hAnsi="Arial" w:cs="Arial"/>
          <w:sz w:val="18"/>
          <w:szCs w:val="18"/>
          <w:u w:val="single"/>
        </w:rPr>
        <w:t>Footnotes</w:t>
      </w:r>
      <w:r w:rsidRPr="00F91822">
        <w:rPr>
          <w:rFonts w:ascii="Arial" w:hAnsi="Arial" w:cs="Arial"/>
          <w:sz w:val="18"/>
          <w:szCs w:val="18"/>
        </w:rPr>
        <w:t xml:space="preserve">: </w:t>
      </w:r>
      <w:r w:rsidRPr="00F91822">
        <w:rPr>
          <w:rFonts w:ascii="Arial" w:hAnsi="Arial" w:cs="Arial"/>
          <w:spacing w:val="-3"/>
          <w:sz w:val="18"/>
          <w:szCs w:val="18"/>
        </w:rPr>
        <w:t>Footnotes should appear at the bottom of the table, not on each page of the table.  Use numerical superscripts to indicate a footnote.  If the footnote applies to a single data entry, place the superscript on the entry. If it applies to an entire row and or column, footnote the row or column header.</w:t>
      </w:r>
      <w:r>
        <w:rPr>
          <w:rFonts w:ascii="Arial" w:hAnsi="Arial" w:cs="Arial"/>
          <w:spacing w:val="-3"/>
          <w:sz w:val="18"/>
          <w:szCs w:val="18"/>
        </w:rPr>
        <w:t xml:space="preserve"> See the reporting procedures document for the use of footnotes when an erratum is required.</w:t>
      </w:r>
    </w:p>
    <w:p w:rsidR="003711DB" w:rsidRPr="00F91822" w:rsidP="00371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rFonts w:ascii="Arial" w:hAnsi="Arial" w:cs="Arial"/>
          <w:sz w:val="18"/>
          <w:szCs w:val="18"/>
        </w:rPr>
      </w:pPr>
    </w:p>
    <w:p w:rsidR="001B5C03">
      <w:pPr>
        <w:widowControl/>
        <w:rPr>
          <w:rFonts w:ascii="Arial" w:hAnsi="Arial"/>
          <w:sz w:val="16"/>
        </w:rPr>
      </w:pPr>
      <w:r>
        <w:rPr>
          <w:rFonts w:ascii="Arial" w:hAnsi="Arial"/>
          <w:sz w:val="16"/>
        </w:rPr>
        <w:br w:type="page"/>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6"/>
        </w:rPr>
      </w:pPr>
      <w:r>
        <w:rPr>
          <w:rFonts w:ascii="Arial" w:hAnsi="Arial"/>
          <w:sz w:val="16"/>
        </w:rPr>
        <w:t>FCC Report 43-01</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r>
        <w:rPr>
          <w:rFonts w:ascii="Arial" w:hAnsi="Arial"/>
          <w:sz w:val="16"/>
        </w:rPr>
        <w:t>ARMIS Annual Summary Report</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p>
    <w:p w:rsidR="00170779"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Company:</w:t>
      </w:r>
      <w:r>
        <w:rPr>
          <w:rFonts w:ascii="Arial" w:hAnsi="Arial"/>
          <w:sz w:val="16"/>
        </w:rPr>
        <w:tab/>
      </w:r>
      <w:r>
        <w:rPr>
          <w:rFonts w:ascii="Arial" w:hAnsi="Arial"/>
          <w:sz w:val="16"/>
        </w:rPr>
        <w:t>XYZ Telco</w:t>
      </w:r>
      <w:r>
        <w:rPr>
          <w:rFonts w:ascii="Arial" w:hAnsi="Arial"/>
          <w:sz w:val="16"/>
        </w:rPr>
        <w:tab/>
      </w:r>
    </w:p>
    <w:p w:rsidR="00170779"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Study Area:</w:t>
      </w:r>
      <w:r>
        <w:rPr>
          <w:rFonts w:ascii="Arial" w:hAnsi="Arial"/>
          <w:sz w:val="16"/>
        </w:rPr>
        <w:tab/>
        <w:t>Arizona</w:t>
      </w:r>
      <w:r>
        <w:rPr>
          <w:rFonts w:ascii="Arial" w:hAnsi="Arial"/>
          <w:sz w:val="16"/>
        </w:rPr>
        <w:tab/>
      </w:r>
      <w:r>
        <w:rPr>
          <w:rFonts w:ascii="Arial" w:hAnsi="Arial"/>
          <w:sz w:val="16"/>
        </w:rPr>
        <w:tab/>
      </w:r>
      <w:r>
        <w:rPr>
          <w:rFonts w:ascii="Arial" w:hAnsi="Arial"/>
          <w:sz w:val="16"/>
        </w:rPr>
        <w:tab/>
        <w:t>Submission #</w:t>
      </w:r>
    </w:p>
    <w:p w:rsidR="00170779"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6"/>
        </w:rPr>
      </w:pPr>
      <w:r>
        <w:rPr>
          <w:rFonts w:ascii="Arial" w:hAnsi="Arial"/>
          <w:sz w:val="16"/>
        </w:rPr>
        <w:t>Period:</w:t>
      </w:r>
      <w:r>
        <w:rPr>
          <w:rFonts w:ascii="Arial" w:hAnsi="Arial"/>
          <w:sz w:val="16"/>
        </w:rPr>
        <w:tab/>
      </w:r>
      <w:r>
        <w:rPr>
          <w:rFonts w:ascii="Arial" w:hAnsi="Arial"/>
          <w:sz w:val="16"/>
        </w:rPr>
        <w:tab/>
        <w:t xml:space="preserve">From: </w:t>
      </w:r>
      <w:r>
        <w:rPr>
          <w:rFonts w:ascii="Arial" w:hAnsi="Arial"/>
          <w:sz w:val="16"/>
        </w:rPr>
        <w:t>mmmyyyy</w:t>
      </w:r>
      <w:r>
        <w:rPr>
          <w:rFonts w:ascii="Arial" w:hAnsi="Arial"/>
          <w:sz w:val="16"/>
        </w:rPr>
        <w:t xml:space="preserve"> To: </w:t>
      </w:r>
      <w:r>
        <w:rPr>
          <w:rFonts w:ascii="Arial" w:hAnsi="Arial"/>
          <w:sz w:val="16"/>
        </w:rPr>
        <w:t>mmmyyyy</w:t>
      </w:r>
    </w:p>
    <w:p w:rsidR="008C50EF"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COSA:</w:t>
      </w:r>
      <w:r>
        <w:rPr>
          <w:rFonts w:ascii="Arial" w:hAnsi="Arial"/>
          <w:sz w:val="16"/>
        </w:rPr>
        <w:tab/>
      </w:r>
      <w:r>
        <w:rPr>
          <w:rFonts w:ascii="Arial" w:hAnsi="Arial"/>
          <w:sz w:val="16"/>
        </w:rPr>
        <w:tab/>
        <w:t>XYAZ</w:t>
      </w:r>
      <w:r>
        <w:rPr>
          <w:rFonts w:ascii="Arial" w:hAnsi="Arial"/>
          <w:sz w:val="16"/>
        </w:rPr>
        <w:tab/>
      </w:r>
      <w:r>
        <w:rPr>
          <w:rFonts w:ascii="Arial" w:hAnsi="Arial"/>
          <w:sz w:val="16"/>
        </w:rPr>
        <w:tab/>
      </w:r>
      <w:r>
        <w:rPr>
          <w:rFonts w:ascii="Arial" w:hAnsi="Arial"/>
          <w:sz w:val="16"/>
        </w:rPr>
        <w:tab/>
        <w:t>Table I</w:t>
      </w:r>
    </w:p>
    <w:p w:rsidR="008C50EF" w:rsidP="008C50EF">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Page 3 of 4</w:t>
      </w:r>
    </w:p>
    <w:p w:rsidR="008C50EF" w:rsidP="008C50EF">
      <w:pPr>
        <w:pStyle w:val="header2"/>
        <w:tabs>
          <w:tab w:val="clear" w:pos="1440"/>
          <w:tab w:val="clear" w:pos="4320"/>
          <w:tab w:val="clear" w:pos="8640"/>
        </w:tabs>
        <w:suppressAutoHyphens w:val="0"/>
        <w:outlineLvl w:val="0"/>
        <w:rPr>
          <w:rFonts w:ascii="Arial" w:hAnsi="Arial"/>
          <w:sz w:val="20"/>
        </w:rPr>
      </w:pPr>
    </w:p>
    <w:p w:rsidR="008C50EF" w:rsidP="008C50EF">
      <w:pPr>
        <w:pStyle w:val="header2"/>
        <w:tabs>
          <w:tab w:val="clear" w:pos="1440"/>
          <w:tab w:val="clear" w:pos="4320"/>
          <w:tab w:val="clear" w:pos="8640"/>
        </w:tabs>
        <w:suppressAutoHyphens w:val="0"/>
        <w:outlineLvl w:val="0"/>
        <w:rPr>
          <w:rFonts w:ascii="Arial" w:hAnsi="Arial"/>
          <w:sz w:val="20"/>
        </w:rPr>
      </w:pPr>
      <w:r>
        <w:rPr>
          <w:rFonts w:ascii="Arial" w:hAnsi="Arial"/>
          <w:sz w:val="20"/>
        </w:rPr>
        <w:t>TABLE I – COST AND REVENUE - CLASS B ACCOUNT LEVEL REPORTING</w:t>
      </w:r>
    </w:p>
    <w:p w:rsidR="008C50EF" w:rsidP="008C50EF">
      <w:pPr>
        <w:jc w:val="center"/>
        <w:rPr>
          <w:rFonts w:ascii="Arial" w:hAnsi="Arial"/>
          <w:sz w:val="16"/>
        </w:rPr>
      </w:pPr>
      <w:r>
        <w:rPr>
          <w:rFonts w:ascii="Arial" w:hAnsi="Arial"/>
          <w:sz w:val="16"/>
        </w:rPr>
        <w:t>(Dollars in thousands)</w:t>
      </w:r>
    </w:p>
    <w:tbl>
      <w:tblPr>
        <w:tblW w:w="0" w:type="auto"/>
        <w:tblLayout w:type="fixed"/>
        <w:tblCellMar>
          <w:left w:w="30" w:type="dxa"/>
          <w:right w:w="30" w:type="dxa"/>
        </w:tblCellMar>
        <w:tblLook w:val="0000"/>
      </w:tblPr>
      <w:tblGrid>
        <w:gridCol w:w="570"/>
        <w:gridCol w:w="2700"/>
        <w:gridCol w:w="720"/>
        <w:gridCol w:w="810"/>
        <w:gridCol w:w="810"/>
        <w:gridCol w:w="810"/>
        <w:gridCol w:w="720"/>
        <w:gridCol w:w="810"/>
        <w:gridCol w:w="720"/>
      </w:tblGrid>
      <w:tr>
        <w:tblPrEx>
          <w:tblW w:w="0" w:type="auto"/>
          <w:tblLayout w:type="fixed"/>
          <w:tblCellMar>
            <w:left w:w="30" w:type="dxa"/>
            <w:right w:w="30" w:type="dxa"/>
          </w:tblCellMar>
          <w:tblLook w:val="0000"/>
        </w:tblPrEx>
        <w:trPr>
          <w:cantSplit/>
          <w:trHeight w:val="160"/>
        </w:trPr>
        <w:tc>
          <w:tcPr>
            <w:tcW w:w="570" w:type="dxa"/>
            <w:vMerge w:val="restart"/>
            <w:tcBorders>
              <w:top w:val="single" w:sz="6" w:space="0" w:color="auto"/>
              <w:left w:val="single" w:sz="6" w:space="0" w:color="auto"/>
              <w:bottom w:val="nil"/>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ROW</w:t>
            </w:r>
          </w:p>
        </w:tc>
        <w:tc>
          <w:tcPr>
            <w:tcW w:w="2700" w:type="dxa"/>
            <w:vMerge w:val="restart"/>
            <w:tcBorders>
              <w:top w:val="single" w:sz="6" w:space="0" w:color="auto"/>
              <w:left w:val="dotted" w:sz="6" w:space="0" w:color="auto"/>
              <w:bottom w:val="nil"/>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CLASSIFICATION</w:t>
            </w:r>
          </w:p>
          <w:p w:rsidR="008C50EF" w:rsidP="008C50EF">
            <w:pPr>
              <w:jc w:val="center"/>
              <w:rPr>
                <w:rFonts w:ascii="Arial" w:hAnsi="Arial"/>
                <w:color w:val="000000"/>
                <w:sz w:val="14"/>
              </w:rPr>
            </w:pPr>
            <w:r>
              <w:rPr>
                <w:rFonts w:ascii="Arial" w:hAnsi="Arial"/>
                <w:color w:val="000000"/>
                <w:sz w:val="14"/>
              </w:rPr>
              <w:t>(a)</w:t>
            </w:r>
          </w:p>
        </w:tc>
        <w:tc>
          <w:tcPr>
            <w:tcW w:w="720" w:type="dxa"/>
            <w:vMerge w:val="restart"/>
            <w:tcBorders>
              <w:top w:val="single" w:sz="6" w:space="0" w:color="auto"/>
              <w:left w:val="dotted" w:sz="6" w:space="0" w:color="auto"/>
              <w:bottom w:val="nil"/>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 xml:space="preserve">Common Line </w:t>
            </w:r>
          </w:p>
          <w:p w:rsidR="008C50EF" w:rsidP="008C50EF">
            <w:pPr>
              <w:jc w:val="center"/>
              <w:rPr>
                <w:rFonts w:ascii="Arial" w:hAnsi="Arial"/>
                <w:color w:val="000000"/>
                <w:sz w:val="14"/>
              </w:rPr>
            </w:pPr>
            <w:r>
              <w:rPr>
                <w:rFonts w:ascii="Arial" w:hAnsi="Arial"/>
                <w:color w:val="000000"/>
                <w:sz w:val="14"/>
              </w:rPr>
              <w:t>(m)</w:t>
            </w:r>
          </w:p>
        </w:tc>
        <w:tc>
          <w:tcPr>
            <w:tcW w:w="2430" w:type="dxa"/>
            <w:gridSpan w:val="3"/>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Traffic Sensitive</w:t>
            </w:r>
          </w:p>
        </w:tc>
        <w:tc>
          <w:tcPr>
            <w:tcW w:w="720" w:type="dxa"/>
            <w:vMerge w:val="restart"/>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Special</w:t>
            </w:r>
          </w:p>
          <w:p w:rsidR="008C50EF" w:rsidP="008C50EF">
            <w:pPr>
              <w:jc w:val="center"/>
              <w:rPr>
                <w:rFonts w:ascii="Arial" w:hAnsi="Arial"/>
                <w:color w:val="000000"/>
                <w:sz w:val="14"/>
              </w:rPr>
            </w:pPr>
            <w:r>
              <w:rPr>
                <w:rFonts w:ascii="Arial" w:hAnsi="Arial"/>
                <w:color w:val="000000"/>
                <w:sz w:val="14"/>
              </w:rPr>
              <w:t>Access</w:t>
            </w:r>
          </w:p>
          <w:p w:rsidR="008C50EF" w:rsidP="008C50EF">
            <w:pPr>
              <w:jc w:val="center"/>
              <w:rPr>
                <w:rFonts w:ascii="Arial" w:hAnsi="Arial"/>
                <w:color w:val="000000"/>
                <w:sz w:val="14"/>
              </w:rPr>
            </w:pPr>
            <w:r>
              <w:rPr>
                <w:rFonts w:ascii="Arial" w:hAnsi="Arial"/>
                <w:color w:val="000000"/>
                <w:sz w:val="14"/>
              </w:rPr>
              <w:t>(s)</w:t>
            </w:r>
          </w:p>
        </w:tc>
        <w:tc>
          <w:tcPr>
            <w:tcW w:w="810" w:type="dxa"/>
            <w:vMerge w:val="restart"/>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Billing &amp;</w:t>
            </w:r>
          </w:p>
          <w:p w:rsidR="008C50EF" w:rsidP="008C50EF">
            <w:pPr>
              <w:jc w:val="center"/>
              <w:rPr>
                <w:rFonts w:ascii="Arial" w:hAnsi="Arial"/>
                <w:color w:val="000000"/>
                <w:sz w:val="14"/>
              </w:rPr>
            </w:pPr>
            <w:r>
              <w:rPr>
                <w:rFonts w:ascii="Arial" w:hAnsi="Arial"/>
                <w:color w:val="000000"/>
                <w:sz w:val="14"/>
              </w:rPr>
              <w:t>Collection</w:t>
            </w:r>
          </w:p>
          <w:p w:rsidR="008C50EF" w:rsidP="008C50EF">
            <w:pPr>
              <w:jc w:val="center"/>
              <w:rPr>
                <w:rFonts w:ascii="Arial" w:hAnsi="Arial"/>
                <w:color w:val="000000"/>
                <w:sz w:val="14"/>
              </w:rPr>
            </w:pPr>
            <w:r>
              <w:rPr>
                <w:rFonts w:ascii="Arial" w:hAnsi="Arial"/>
                <w:color w:val="000000"/>
                <w:sz w:val="14"/>
              </w:rPr>
              <w:t>(u)</w:t>
            </w:r>
          </w:p>
        </w:tc>
        <w:tc>
          <w:tcPr>
            <w:tcW w:w="720" w:type="dxa"/>
            <w:vMerge w:val="restart"/>
            <w:tcBorders>
              <w:top w:val="single" w:sz="4" w:space="0" w:color="auto"/>
              <w:left w:val="single" w:sz="4" w:space="0" w:color="auto"/>
              <w:bottom w:val="nil"/>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IX</w:t>
            </w:r>
          </w:p>
          <w:p w:rsidR="008C50EF" w:rsidP="008C50EF">
            <w:pPr>
              <w:jc w:val="center"/>
              <w:rPr>
                <w:rFonts w:ascii="Arial" w:hAnsi="Arial"/>
                <w:color w:val="000000"/>
                <w:sz w:val="14"/>
              </w:rPr>
            </w:pPr>
            <w:r>
              <w:rPr>
                <w:rFonts w:ascii="Arial" w:hAnsi="Arial"/>
                <w:color w:val="000000"/>
                <w:sz w:val="14"/>
              </w:rPr>
              <w:t>(v)</w:t>
            </w:r>
          </w:p>
        </w:tc>
      </w:tr>
      <w:tr>
        <w:tblPrEx>
          <w:tblW w:w="0" w:type="auto"/>
          <w:tblLayout w:type="fixed"/>
          <w:tblCellMar>
            <w:left w:w="30" w:type="dxa"/>
            <w:right w:w="30" w:type="dxa"/>
          </w:tblCellMar>
          <w:tblLook w:val="0000"/>
        </w:tblPrEx>
        <w:trPr>
          <w:cantSplit/>
          <w:trHeight w:val="468"/>
        </w:trPr>
        <w:tc>
          <w:tcPr>
            <w:tcW w:w="570" w:type="dxa"/>
            <w:vMerge/>
            <w:tcBorders>
              <w:top w:val="nil"/>
              <w:left w:val="single" w:sz="6" w:space="0" w:color="auto"/>
              <w:bottom w:val="single" w:sz="4" w:space="0" w:color="auto"/>
              <w:right w:val="single" w:sz="6" w:space="0" w:color="auto"/>
            </w:tcBorders>
          </w:tcPr>
          <w:p w:rsidR="008C50EF" w:rsidP="008C50EF">
            <w:pPr>
              <w:jc w:val="center"/>
              <w:rPr>
                <w:rFonts w:ascii="Arial" w:hAnsi="Arial"/>
                <w:color w:val="000000"/>
                <w:sz w:val="14"/>
              </w:rPr>
            </w:pPr>
          </w:p>
        </w:tc>
        <w:tc>
          <w:tcPr>
            <w:tcW w:w="2700" w:type="dxa"/>
            <w:vMerge/>
            <w:tcBorders>
              <w:top w:val="nil"/>
              <w:left w:val="dotted" w:sz="6" w:space="0" w:color="auto"/>
              <w:bottom w:val="single" w:sz="4" w:space="0" w:color="auto"/>
              <w:right w:val="single" w:sz="6" w:space="0" w:color="auto"/>
            </w:tcBorders>
          </w:tcPr>
          <w:p w:rsidR="008C50EF" w:rsidP="008C50EF">
            <w:pPr>
              <w:jc w:val="center"/>
              <w:rPr>
                <w:rFonts w:ascii="Arial" w:hAnsi="Arial"/>
                <w:color w:val="000000"/>
                <w:sz w:val="14"/>
              </w:rPr>
            </w:pPr>
          </w:p>
        </w:tc>
        <w:tc>
          <w:tcPr>
            <w:tcW w:w="720" w:type="dxa"/>
            <w:vMerge/>
            <w:tcBorders>
              <w:top w:val="nil"/>
              <w:left w:val="dotted" w:sz="6"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Switching</w:t>
            </w:r>
          </w:p>
          <w:p w:rsidR="008C50EF" w:rsidP="008C50EF">
            <w:pPr>
              <w:jc w:val="center"/>
              <w:rPr>
                <w:rFonts w:ascii="Arial" w:hAnsi="Arial"/>
                <w:color w:val="000000"/>
                <w:sz w:val="14"/>
              </w:rPr>
            </w:pPr>
            <w:r>
              <w:rPr>
                <w:rFonts w:ascii="Arial" w:hAnsi="Arial"/>
                <w:color w:val="000000"/>
                <w:sz w:val="14"/>
              </w:rPr>
              <w:t>(n)</w:t>
            </w:r>
          </w:p>
        </w:tc>
        <w:tc>
          <w:tcPr>
            <w:tcW w:w="810" w:type="dxa"/>
            <w:tcBorders>
              <w:lef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Transport</w:t>
            </w:r>
          </w:p>
          <w:p w:rsidR="008C50EF" w:rsidP="008C50EF">
            <w:pPr>
              <w:jc w:val="center"/>
              <w:rPr>
                <w:rFonts w:ascii="Arial" w:hAnsi="Arial"/>
                <w:color w:val="000000"/>
                <w:sz w:val="14"/>
              </w:rPr>
            </w:pPr>
            <w:r>
              <w:rPr>
                <w:rFonts w:ascii="Arial" w:hAnsi="Arial"/>
                <w:color w:val="000000"/>
                <w:sz w:val="14"/>
              </w:rPr>
              <w:t>(p)</w:t>
            </w: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Total</w:t>
            </w:r>
          </w:p>
          <w:p w:rsidR="008C50EF" w:rsidP="008C50EF">
            <w:pPr>
              <w:jc w:val="center"/>
              <w:rPr>
                <w:rFonts w:ascii="Arial" w:hAnsi="Arial"/>
                <w:color w:val="000000"/>
                <w:sz w:val="14"/>
              </w:rPr>
            </w:pPr>
            <w:r>
              <w:rPr>
                <w:rFonts w:ascii="Arial" w:hAnsi="Arial"/>
                <w:color w:val="000000"/>
                <w:sz w:val="14"/>
              </w:rPr>
              <w:t>(r)</w:t>
            </w:r>
          </w:p>
        </w:tc>
        <w:tc>
          <w:tcPr>
            <w:tcW w:w="720" w:type="dxa"/>
            <w:vMerge/>
            <w:tcBorders>
              <w:top w:val="nil"/>
              <w:left w:val="single" w:sz="4" w:space="0" w:color="auto"/>
              <w:right w:val="single" w:sz="4" w:space="0" w:color="auto"/>
            </w:tcBorders>
          </w:tcPr>
          <w:p w:rsidR="008C50EF" w:rsidP="008C50EF">
            <w:pPr>
              <w:jc w:val="center"/>
              <w:rPr>
                <w:rFonts w:ascii="Arial" w:hAnsi="Arial"/>
                <w:color w:val="000000"/>
                <w:sz w:val="14"/>
              </w:rPr>
            </w:pPr>
          </w:p>
        </w:tc>
        <w:tc>
          <w:tcPr>
            <w:tcW w:w="810" w:type="dxa"/>
            <w:vMerge/>
            <w:tcBorders>
              <w:top w:val="nil"/>
              <w:left w:val="single" w:sz="4" w:space="0" w:color="auto"/>
              <w:right w:val="single" w:sz="4" w:space="0" w:color="auto"/>
            </w:tcBorders>
          </w:tcPr>
          <w:p w:rsidR="008C50EF" w:rsidP="008C50EF">
            <w:pPr>
              <w:jc w:val="center"/>
              <w:rPr>
                <w:rFonts w:ascii="Arial" w:hAnsi="Arial"/>
                <w:color w:val="000000"/>
                <w:sz w:val="14"/>
              </w:rPr>
            </w:pPr>
          </w:p>
        </w:tc>
        <w:tc>
          <w:tcPr>
            <w:tcW w:w="720" w:type="dxa"/>
            <w:vMerge/>
            <w:tcBorders>
              <w:top w:val="nil"/>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2"/>
              </w:rPr>
            </w:pPr>
          </w:p>
        </w:tc>
        <w:tc>
          <w:tcPr>
            <w:tcW w:w="2700" w:type="dxa"/>
            <w:tcBorders>
              <w:left w:val="dotted" w:sz="6" w:space="0" w:color="auto"/>
              <w:right w:val="single" w:sz="6" w:space="0" w:color="auto"/>
            </w:tcBorders>
          </w:tcPr>
          <w:p w:rsidR="008C50EF" w:rsidP="008C50EF">
            <w:pPr>
              <w:jc w:val="right"/>
              <w:rPr>
                <w:rFonts w:ascii="Arial" w:hAnsi="Arial"/>
                <w:color w:val="000000"/>
                <w:sz w:val="12"/>
              </w:rPr>
            </w:pPr>
          </w:p>
        </w:tc>
        <w:tc>
          <w:tcPr>
            <w:tcW w:w="720" w:type="dxa"/>
            <w:tcBorders>
              <w:left w:val="dotted" w:sz="6" w:space="0" w:color="auto"/>
            </w:tcBorders>
          </w:tcPr>
          <w:p w:rsidR="008C50EF" w:rsidP="008C50EF">
            <w:pPr>
              <w:jc w:val="center"/>
              <w:rPr>
                <w:rFonts w:ascii="Arial" w:hAnsi="Arial"/>
                <w:color w:val="000000"/>
                <w:sz w:val="12"/>
              </w:rPr>
            </w:pPr>
          </w:p>
        </w:tc>
        <w:tc>
          <w:tcPr>
            <w:tcW w:w="810" w:type="dxa"/>
            <w:tcBorders>
              <w:top w:val="single" w:sz="4" w:space="0" w:color="auto"/>
              <w:left w:val="single" w:sz="4" w:space="0" w:color="auto"/>
            </w:tcBorders>
          </w:tcPr>
          <w:p w:rsidR="008C50EF" w:rsidP="008C50EF">
            <w:pPr>
              <w:jc w:val="right"/>
              <w:rPr>
                <w:rFonts w:ascii="Arial" w:hAnsi="Arial"/>
                <w:color w:val="000000"/>
                <w:sz w:val="12"/>
              </w:rPr>
            </w:pPr>
          </w:p>
        </w:tc>
        <w:tc>
          <w:tcPr>
            <w:tcW w:w="810" w:type="dxa"/>
            <w:tcBorders>
              <w:top w:val="single" w:sz="4" w:space="0" w:color="auto"/>
              <w:left w:val="single" w:sz="4" w:space="0" w:color="auto"/>
            </w:tcBorders>
          </w:tcPr>
          <w:p w:rsidR="008C50EF" w:rsidP="008C50EF">
            <w:pPr>
              <w:jc w:val="right"/>
              <w:rPr>
                <w:rFonts w:ascii="Arial" w:hAnsi="Arial"/>
                <w:color w:val="000000"/>
                <w:sz w:val="12"/>
              </w:rPr>
            </w:pPr>
          </w:p>
        </w:tc>
        <w:tc>
          <w:tcPr>
            <w:tcW w:w="810" w:type="dxa"/>
            <w:tcBorders>
              <w:top w:val="single" w:sz="4" w:space="0" w:color="auto"/>
              <w:left w:val="single" w:sz="4" w:space="0" w:color="auto"/>
              <w:right w:val="single" w:sz="4" w:space="0" w:color="auto"/>
            </w:tcBorders>
          </w:tcPr>
          <w:p w:rsidR="008C50EF" w:rsidP="008C50EF">
            <w:pPr>
              <w:jc w:val="right"/>
              <w:rPr>
                <w:rFonts w:ascii="Arial" w:hAnsi="Arial"/>
                <w:color w:val="000000"/>
                <w:sz w:val="12"/>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2"/>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2"/>
              </w:rPr>
            </w:pPr>
          </w:p>
        </w:tc>
        <w:tc>
          <w:tcPr>
            <w:tcW w:w="720" w:type="dxa"/>
            <w:tcBorders>
              <w:left w:val="single" w:sz="4" w:space="0" w:color="auto"/>
              <w:right w:val="single" w:sz="4" w:space="0" w:color="auto"/>
            </w:tcBorders>
          </w:tcPr>
          <w:p w:rsidR="008C50EF" w:rsidP="008C50EF">
            <w:pPr>
              <w:jc w:val="center"/>
              <w:rPr>
                <w:rFonts w:ascii="Arial" w:hAnsi="Arial"/>
                <w:color w:val="000000"/>
                <w:sz w:val="12"/>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Revenues</w:t>
            </w:r>
          </w:p>
        </w:tc>
        <w:tc>
          <w:tcPr>
            <w:tcW w:w="720" w:type="dxa"/>
            <w:tcBorders>
              <w:left w:val="dotted" w:sz="6"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right"/>
              <w:rPr>
                <w:rFonts w:ascii="Arial" w:hAnsi="Arial"/>
                <w:color w:val="000000"/>
                <w:sz w:val="14"/>
              </w:rPr>
            </w:pPr>
          </w:p>
        </w:tc>
        <w:tc>
          <w:tcPr>
            <w:tcW w:w="810" w:type="dxa"/>
            <w:tcBorders>
              <w:left w:val="nil"/>
              <w:right w:val="single" w:sz="4" w:space="0" w:color="auto"/>
            </w:tcBorders>
          </w:tcPr>
          <w:p w:rsidR="008C50EF" w:rsidP="008C50EF">
            <w:pPr>
              <w:jc w:val="right"/>
              <w:rPr>
                <w:rFonts w:ascii="Arial" w:hAnsi="Arial"/>
                <w:color w:val="000000"/>
                <w:sz w:val="14"/>
              </w:rPr>
            </w:pPr>
          </w:p>
        </w:tc>
        <w:tc>
          <w:tcPr>
            <w:tcW w:w="810" w:type="dxa"/>
            <w:tcBorders>
              <w:left w:val="nil"/>
              <w:right w:val="single" w:sz="4" w:space="0" w:color="auto"/>
            </w:tcBorders>
          </w:tcPr>
          <w:p w:rsidR="008C50EF" w:rsidP="008C50EF">
            <w:pPr>
              <w:jc w:val="right"/>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1010</w:t>
            </w:r>
          </w:p>
        </w:tc>
        <w:tc>
          <w:tcPr>
            <w:tcW w:w="270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Basic Local Services</w:t>
            </w:r>
          </w:p>
        </w:tc>
        <w:tc>
          <w:tcPr>
            <w:tcW w:w="720" w:type="dxa"/>
            <w:tcBorders>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nil"/>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1020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Network Access Services</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1030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Toll Network Services</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1040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Miscellaneous</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1045</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Nonregulated</w:t>
            </w:r>
          </w:p>
        </w:tc>
        <w:tc>
          <w:tcPr>
            <w:tcW w:w="720" w:type="dxa"/>
            <w:tcBorders>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nil"/>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1060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Uncollectible</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1090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Operating Revenues</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top w:val="single" w:sz="6" w:space="0" w:color="auto"/>
              <w:left w:val="dotted" w:sz="6" w:space="0" w:color="auto"/>
              <w:right w:val="single" w:sz="6" w:space="0" w:color="auto"/>
            </w:tcBorders>
          </w:tcPr>
          <w:p w:rsidR="008C50EF" w:rsidP="008C50EF">
            <w:pPr>
              <w:jc w:val="right"/>
              <w:rPr>
                <w:rFonts w:ascii="Arial" w:hAnsi="Arial"/>
                <w:color w:val="000000"/>
                <w:sz w:val="14"/>
              </w:rPr>
            </w:pPr>
          </w:p>
        </w:tc>
        <w:tc>
          <w:tcPr>
            <w:tcW w:w="720" w:type="dxa"/>
            <w:tcBorders>
              <w:top w:val="single" w:sz="6" w:space="0" w:color="auto"/>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Expenses</w:t>
            </w:r>
          </w:p>
        </w:tc>
        <w:tc>
          <w:tcPr>
            <w:tcW w:w="720" w:type="dxa"/>
            <w:tcBorders>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1120</w:t>
            </w:r>
          </w:p>
        </w:tc>
        <w:tc>
          <w:tcPr>
            <w:tcW w:w="270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Specific</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1130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Non-Specific</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1140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Customer Operations Marketing</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1150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Customer Operations Services</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1160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General &amp; Administrative</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1170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Access</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1180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Depreciation/Amortization</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1185</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Expense Adjustment</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1190</w:t>
            </w:r>
          </w:p>
        </w:tc>
        <w:tc>
          <w:tcPr>
            <w:tcW w:w="2700" w:type="dxa"/>
            <w:tcBorders>
              <w:top w:val="single" w:sz="6" w:space="0" w:color="auto"/>
              <w:left w:val="dotted"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Operating Expenses</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top w:val="single" w:sz="6" w:space="0" w:color="auto"/>
              <w:left w:val="dotted" w:sz="6" w:space="0" w:color="auto"/>
              <w:right w:val="single" w:sz="6" w:space="0" w:color="auto"/>
            </w:tcBorders>
          </w:tcPr>
          <w:p w:rsidR="008C50EF" w:rsidP="008C50EF">
            <w:pPr>
              <w:jc w:val="right"/>
              <w:rPr>
                <w:rFonts w:ascii="Arial" w:hAnsi="Arial"/>
                <w:color w:val="000000"/>
                <w:sz w:val="14"/>
              </w:rPr>
            </w:pPr>
          </w:p>
        </w:tc>
        <w:tc>
          <w:tcPr>
            <w:tcW w:w="720" w:type="dxa"/>
            <w:tcBorders>
              <w:top w:val="single" w:sz="6" w:space="0" w:color="auto"/>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Other Operating Items</w:t>
            </w:r>
          </w:p>
        </w:tc>
        <w:tc>
          <w:tcPr>
            <w:tcW w:w="720" w:type="dxa"/>
            <w:tcBorders>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1290</w:t>
            </w:r>
          </w:p>
        </w:tc>
        <w:tc>
          <w:tcPr>
            <w:tcW w:w="2700" w:type="dxa"/>
            <w:tcBorders>
              <w:left w:val="dotted" w:sz="6" w:space="0" w:color="auto"/>
              <w:bottom w:val="single" w:sz="6" w:space="0" w:color="auto"/>
              <w:right w:val="single" w:sz="6" w:space="0" w:color="auto"/>
            </w:tcBorders>
          </w:tcPr>
          <w:p w:rsidR="008C50EF" w:rsidP="008C50EF">
            <w:pPr>
              <w:rPr>
                <w:rFonts w:ascii="Arial" w:hAnsi="Arial"/>
                <w:b/>
                <w:color w:val="000000"/>
                <w:sz w:val="14"/>
              </w:rPr>
            </w:pPr>
            <w:r>
              <w:rPr>
                <w:rFonts w:ascii="Arial" w:hAnsi="Arial"/>
                <w:b/>
                <w:color w:val="000000"/>
                <w:sz w:val="14"/>
              </w:rPr>
              <w:t xml:space="preserve">Other Operating Income/Losses </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jc w:val="right"/>
              <w:rPr>
                <w:rFonts w:ascii="Arial" w:hAnsi="Arial"/>
                <w:color w:val="000000"/>
                <w:sz w:val="14"/>
              </w:rPr>
            </w:pPr>
          </w:p>
        </w:tc>
        <w:tc>
          <w:tcPr>
            <w:tcW w:w="720" w:type="dxa"/>
            <w:tcBorders>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 xml:space="preserve">Non-operating Items </w:t>
            </w:r>
          </w:p>
        </w:tc>
        <w:tc>
          <w:tcPr>
            <w:tcW w:w="720" w:type="dxa"/>
            <w:tcBorders>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b/>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1320</w:t>
            </w:r>
          </w:p>
        </w:tc>
        <w:tc>
          <w:tcPr>
            <w:tcW w:w="270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Inc Effect/Jurisdictional Difference (Rev)</w:t>
            </w:r>
          </w:p>
        </w:tc>
        <w:tc>
          <w:tcPr>
            <w:tcW w:w="720" w:type="dxa"/>
            <w:tcBorders>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nil"/>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1330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Extraordinary Items (Rev)</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1365</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Non-operating Income &amp; Expenses</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1370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Non-operating Adjustment (Exp)</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1390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Non-operating Items (Exp)</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jc w:val="right"/>
              <w:rPr>
                <w:rFonts w:ascii="Arial" w:hAnsi="Arial"/>
                <w:color w:val="000000"/>
                <w:sz w:val="14"/>
              </w:rPr>
            </w:pPr>
          </w:p>
        </w:tc>
        <w:tc>
          <w:tcPr>
            <w:tcW w:w="720" w:type="dxa"/>
            <w:tcBorders>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 xml:space="preserve"> Taxes</w:t>
            </w:r>
          </w:p>
        </w:tc>
        <w:tc>
          <w:tcPr>
            <w:tcW w:w="720" w:type="dxa"/>
            <w:tcBorders>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1510</w:t>
            </w:r>
          </w:p>
        </w:tc>
        <w:tc>
          <w:tcPr>
            <w:tcW w:w="270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Fixed Charges (Exp)</w:t>
            </w:r>
          </w:p>
        </w:tc>
        <w:tc>
          <w:tcPr>
            <w:tcW w:w="720" w:type="dxa"/>
            <w:tcBorders>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cantSplit/>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1520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IRS Income Adjustment (Rev)</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1530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Taxable Income Adjustment (Rev)</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1550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ITC Adjustment (Rev)</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cantSplit/>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1595</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Taxes – Federal, State, &amp; Other (Exp)</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4" w:space="0" w:color="auto"/>
              <w:bottom w:val="single" w:sz="6" w:space="0" w:color="auto"/>
              <w:right w:val="single" w:sz="4" w:space="0" w:color="auto"/>
            </w:tcBorders>
          </w:tcPr>
          <w:p w:rsidR="008C50EF" w:rsidP="008C50EF">
            <w:pPr>
              <w:jc w:val="center"/>
              <w:rPr>
                <w:rFonts w:ascii="Arial" w:hAnsi="Arial"/>
                <w:color w:val="000000"/>
                <w:sz w:val="14"/>
              </w:rPr>
            </w:pPr>
          </w:p>
        </w:tc>
        <w:tc>
          <w:tcPr>
            <w:tcW w:w="810" w:type="dxa"/>
            <w:tcBorders>
              <w:top w:val="single" w:sz="6" w:space="0" w:color="auto"/>
              <w:left w:val="nil"/>
              <w:bottom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72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81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c>
          <w:tcPr>
            <w:tcW w:w="72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p>
        </w:tc>
      </w:tr>
    </w:tbl>
    <w:p w:rsidR="008C50EF" w:rsidP="008C50EF">
      <w:pPr>
        <w:rPr>
          <w:rFonts w:ascii="Arial" w:hAnsi="Arial"/>
        </w:rPr>
      </w:pPr>
    </w:p>
    <w:p w:rsidR="003F6950" w:rsidRPr="00BB2765" w:rsidP="005B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Arial" w:hAnsi="Arial" w:cs="Arial"/>
          <w:sz w:val="18"/>
          <w:szCs w:val="18"/>
        </w:rPr>
      </w:pPr>
      <w:r w:rsidRPr="00F91822">
        <w:rPr>
          <w:rFonts w:ascii="Arial" w:hAnsi="Arial" w:cs="Arial"/>
          <w:sz w:val="18"/>
          <w:szCs w:val="18"/>
          <w:u w:val="single"/>
        </w:rPr>
        <w:t>Footnotes</w:t>
      </w:r>
      <w:r w:rsidRPr="00F91822">
        <w:rPr>
          <w:rFonts w:ascii="Arial" w:hAnsi="Arial" w:cs="Arial"/>
          <w:sz w:val="18"/>
          <w:szCs w:val="18"/>
        </w:rPr>
        <w:t xml:space="preserve">: </w:t>
      </w:r>
      <w:r w:rsidRPr="00F91822">
        <w:rPr>
          <w:rFonts w:ascii="Arial" w:hAnsi="Arial" w:cs="Arial"/>
          <w:spacing w:val="-3"/>
          <w:sz w:val="18"/>
          <w:szCs w:val="18"/>
        </w:rPr>
        <w:t xml:space="preserve">Footnotes should appear at the bottom of the table, not on each page of the table.  Use numerical superscripts to indicate a footnote.  If the footnote applies to a single data entry, place the superscript on the </w:t>
      </w:r>
      <w:r w:rsidR="00FF3476">
        <w:rPr>
          <w:rFonts w:ascii="Arial" w:hAnsi="Arial" w:cs="Arial"/>
          <w:spacing w:val="-3"/>
          <w:sz w:val="18"/>
          <w:szCs w:val="18"/>
        </w:rPr>
        <w:t xml:space="preserve">data </w:t>
      </w:r>
      <w:r w:rsidRPr="00F91822">
        <w:rPr>
          <w:rFonts w:ascii="Arial" w:hAnsi="Arial" w:cs="Arial"/>
          <w:spacing w:val="-3"/>
          <w:sz w:val="18"/>
          <w:szCs w:val="18"/>
        </w:rPr>
        <w:t>entry. If it applies to an entire row and or column, footnote the row or column header.</w:t>
      </w:r>
      <w:r>
        <w:rPr>
          <w:rFonts w:ascii="Arial" w:hAnsi="Arial" w:cs="Arial"/>
          <w:spacing w:val="-3"/>
          <w:sz w:val="18"/>
          <w:szCs w:val="18"/>
        </w:rPr>
        <w:t xml:space="preserve">  See the reporting procedures document for the use of footnotes when an erratum is required.</w:t>
      </w:r>
    </w:p>
    <w:p w:rsidR="003711DB" w:rsidRPr="00F91822" w:rsidP="00371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rFonts w:ascii="Arial" w:hAnsi="Arial" w:cs="Arial"/>
          <w:sz w:val="18"/>
          <w:szCs w:val="18"/>
        </w:rPr>
      </w:pPr>
    </w:p>
    <w:p w:rsidR="003711DB">
      <w:pPr>
        <w:widowControl/>
        <w:rPr>
          <w:rFonts w:ascii="Arial" w:hAnsi="Arial"/>
          <w:sz w:val="20"/>
        </w:rPr>
      </w:pPr>
      <w:r>
        <w:rPr>
          <w:rFonts w:ascii="Arial" w:hAnsi="Arial"/>
          <w:sz w:val="20"/>
        </w:rPr>
        <w:br w:type="page"/>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6"/>
        </w:rPr>
      </w:pPr>
      <w:r>
        <w:rPr>
          <w:rFonts w:ascii="Arial" w:hAnsi="Arial"/>
          <w:sz w:val="16"/>
        </w:rPr>
        <w:t>FCC Report 43-01</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r>
        <w:rPr>
          <w:rFonts w:ascii="Arial" w:hAnsi="Arial"/>
          <w:sz w:val="16"/>
        </w:rPr>
        <w:t>ARMIS Annual Summary Report</w:t>
      </w:r>
    </w:p>
    <w:p w:rsidR="008C50EF" w:rsidP="008C50EF">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6"/>
        </w:rPr>
      </w:pPr>
    </w:p>
    <w:p w:rsidR="00170779"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Company:</w:t>
      </w:r>
      <w:r>
        <w:rPr>
          <w:rFonts w:ascii="Arial" w:hAnsi="Arial"/>
          <w:sz w:val="16"/>
        </w:rPr>
        <w:tab/>
      </w:r>
      <w:r>
        <w:rPr>
          <w:rFonts w:ascii="Arial" w:hAnsi="Arial"/>
          <w:sz w:val="16"/>
        </w:rPr>
        <w:t>XYZ Telco</w:t>
      </w:r>
      <w:r>
        <w:rPr>
          <w:rFonts w:ascii="Arial" w:hAnsi="Arial"/>
          <w:sz w:val="16"/>
        </w:rPr>
        <w:tab/>
      </w:r>
    </w:p>
    <w:p w:rsidR="00170779"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Study Area:</w:t>
      </w:r>
      <w:r>
        <w:rPr>
          <w:rFonts w:ascii="Arial" w:hAnsi="Arial"/>
          <w:sz w:val="16"/>
        </w:rPr>
        <w:tab/>
        <w:t>Arizona</w:t>
      </w:r>
      <w:r>
        <w:rPr>
          <w:rFonts w:ascii="Arial" w:hAnsi="Arial"/>
          <w:sz w:val="16"/>
        </w:rPr>
        <w:tab/>
      </w:r>
      <w:r>
        <w:rPr>
          <w:rFonts w:ascii="Arial" w:hAnsi="Arial"/>
          <w:sz w:val="16"/>
        </w:rPr>
        <w:tab/>
      </w:r>
      <w:r>
        <w:rPr>
          <w:rFonts w:ascii="Arial" w:hAnsi="Arial"/>
          <w:sz w:val="16"/>
        </w:rPr>
        <w:tab/>
        <w:t>Submission #</w:t>
      </w:r>
    </w:p>
    <w:p w:rsidR="00170779"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6"/>
        </w:rPr>
      </w:pPr>
      <w:r>
        <w:rPr>
          <w:rFonts w:ascii="Arial" w:hAnsi="Arial"/>
          <w:sz w:val="16"/>
        </w:rPr>
        <w:t>Period:</w:t>
      </w:r>
      <w:r>
        <w:rPr>
          <w:rFonts w:ascii="Arial" w:hAnsi="Arial"/>
          <w:sz w:val="16"/>
        </w:rPr>
        <w:tab/>
      </w:r>
      <w:r>
        <w:rPr>
          <w:rFonts w:ascii="Arial" w:hAnsi="Arial"/>
          <w:sz w:val="16"/>
        </w:rPr>
        <w:tab/>
        <w:t xml:space="preserve">From: </w:t>
      </w:r>
      <w:r>
        <w:rPr>
          <w:rFonts w:ascii="Arial" w:hAnsi="Arial"/>
          <w:sz w:val="16"/>
        </w:rPr>
        <w:t>mmmyyyy</w:t>
      </w:r>
      <w:r>
        <w:rPr>
          <w:rFonts w:ascii="Arial" w:hAnsi="Arial"/>
          <w:sz w:val="16"/>
        </w:rPr>
        <w:t xml:space="preserve"> To: </w:t>
      </w:r>
      <w:r>
        <w:rPr>
          <w:rFonts w:ascii="Arial" w:hAnsi="Arial"/>
          <w:sz w:val="16"/>
        </w:rPr>
        <w:t>mmmyyyy</w:t>
      </w:r>
    </w:p>
    <w:p w:rsidR="008C50EF"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COSA:</w:t>
      </w:r>
      <w:r>
        <w:rPr>
          <w:rFonts w:ascii="Arial" w:hAnsi="Arial"/>
          <w:sz w:val="16"/>
        </w:rPr>
        <w:tab/>
      </w:r>
      <w:r>
        <w:rPr>
          <w:rFonts w:ascii="Arial" w:hAnsi="Arial"/>
          <w:sz w:val="16"/>
        </w:rPr>
        <w:tab/>
        <w:t>XYAZ</w:t>
      </w:r>
      <w:r>
        <w:rPr>
          <w:rFonts w:ascii="Arial" w:hAnsi="Arial"/>
          <w:sz w:val="16"/>
        </w:rPr>
        <w:tab/>
      </w:r>
      <w:r>
        <w:rPr>
          <w:rFonts w:ascii="Arial" w:hAnsi="Arial"/>
          <w:sz w:val="16"/>
        </w:rPr>
        <w:tab/>
      </w:r>
      <w:r>
        <w:rPr>
          <w:rFonts w:ascii="Arial" w:hAnsi="Arial"/>
          <w:sz w:val="16"/>
        </w:rPr>
        <w:tab/>
        <w:t>Table I</w:t>
      </w:r>
    </w:p>
    <w:p w:rsidR="008C50EF" w:rsidP="008C50EF">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Page 4 of 4</w:t>
      </w:r>
    </w:p>
    <w:p w:rsidR="008C50EF" w:rsidP="008C50EF">
      <w:pPr>
        <w:pStyle w:val="header2"/>
        <w:tabs>
          <w:tab w:val="clear" w:pos="1440"/>
          <w:tab w:val="clear" w:pos="4320"/>
          <w:tab w:val="clear" w:pos="8640"/>
        </w:tabs>
        <w:suppressAutoHyphens w:val="0"/>
        <w:outlineLvl w:val="0"/>
        <w:rPr>
          <w:rFonts w:ascii="Arial" w:hAnsi="Arial"/>
          <w:sz w:val="20"/>
        </w:rPr>
      </w:pPr>
    </w:p>
    <w:p w:rsidR="008C50EF" w:rsidP="008C50EF">
      <w:pPr>
        <w:pStyle w:val="header2"/>
        <w:tabs>
          <w:tab w:val="clear" w:pos="1440"/>
          <w:tab w:val="clear" w:pos="4320"/>
          <w:tab w:val="clear" w:pos="8640"/>
        </w:tabs>
        <w:suppressAutoHyphens w:val="0"/>
        <w:outlineLvl w:val="0"/>
        <w:rPr>
          <w:rFonts w:ascii="Arial" w:hAnsi="Arial"/>
          <w:sz w:val="20"/>
        </w:rPr>
      </w:pPr>
      <w:r>
        <w:rPr>
          <w:rFonts w:ascii="Arial" w:hAnsi="Arial"/>
          <w:sz w:val="20"/>
        </w:rPr>
        <w:t>TABLE I – COST AND REVENUE - CLASS B ACCOUNT LEVEL REPORTING</w:t>
      </w:r>
    </w:p>
    <w:p w:rsidR="008C50EF" w:rsidP="008C50EF">
      <w:pPr>
        <w:jc w:val="center"/>
        <w:rPr>
          <w:rFonts w:ascii="Arial" w:hAnsi="Arial"/>
          <w:sz w:val="16"/>
        </w:rPr>
      </w:pPr>
      <w:r>
        <w:rPr>
          <w:rFonts w:ascii="Arial" w:hAnsi="Arial"/>
          <w:sz w:val="16"/>
        </w:rPr>
        <w:t>(Dollars in thousands)</w:t>
      </w:r>
    </w:p>
    <w:tbl>
      <w:tblPr>
        <w:tblW w:w="0" w:type="auto"/>
        <w:tblLayout w:type="fixed"/>
        <w:tblCellMar>
          <w:left w:w="30" w:type="dxa"/>
          <w:right w:w="30" w:type="dxa"/>
        </w:tblCellMar>
        <w:tblLook w:val="0000"/>
      </w:tblPr>
      <w:tblGrid>
        <w:gridCol w:w="570"/>
        <w:gridCol w:w="2700"/>
        <w:gridCol w:w="720"/>
        <w:gridCol w:w="810"/>
        <w:gridCol w:w="810"/>
        <w:gridCol w:w="810"/>
        <w:gridCol w:w="720"/>
        <w:gridCol w:w="810"/>
        <w:gridCol w:w="720"/>
      </w:tblGrid>
      <w:tr>
        <w:tblPrEx>
          <w:tblW w:w="0" w:type="auto"/>
          <w:tblLayout w:type="fixed"/>
          <w:tblCellMar>
            <w:left w:w="30" w:type="dxa"/>
            <w:right w:w="30" w:type="dxa"/>
          </w:tblCellMar>
          <w:tblLook w:val="0000"/>
        </w:tblPrEx>
        <w:trPr>
          <w:cantSplit/>
          <w:trHeight w:val="160"/>
        </w:trPr>
        <w:tc>
          <w:tcPr>
            <w:tcW w:w="570" w:type="dxa"/>
            <w:vMerge w:val="restart"/>
            <w:tcBorders>
              <w:top w:val="single" w:sz="6" w:space="0" w:color="auto"/>
              <w:left w:val="single" w:sz="6" w:space="0" w:color="auto"/>
              <w:bottom w:val="nil"/>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ROW</w:t>
            </w:r>
          </w:p>
        </w:tc>
        <w:tc>
          <w:tcPr>
            <w:tcW w:w="2700" w:type="dxa"/>
            <w:vMerge w:val="restart"/>
            <w:tcBorders>
              <w:top w:val="single" w:sz="6" w:space="0" w:color="auto"/>
              <w:left w:val="dotted" w:sz="6" w:space="0" w:color="auto"/>
              <w:bottom w:val="nil"/>
              <w:right w:val="single"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CLASSIFICATION</w:t>
            </w:r>
          </w:p>
          <w:p w:rsidR="008C50EF" w:rsidP="008C50EF">
            <w:pPr>
              <w:jc w:val="center"/>
              <w:rPr>
                <w:rFonts w:ascii="Arial" w:hAnsi="Arial"/>
                <w:color w:val="000000"/>
                <w:sz w:val="14"/>
              </w:rPr>
            </w:pPr>
            <w:r>
              <w:rPr>
                <w:rFonts w:ascii="Arial" w:hAnsi="Arial"/>
                <w:color w:val="000000"/>
                <w:sz w:val="14"/>
              </w:rPr>
              <w:t>(a)</w:t>
            </w:r>
          </w:p>
        </w:tc>
        <w:tc>
          <w:tcPr>
            <w:tcW w:w="720" w:type="dxa"/>
            <w:vMerge w:val="restart"/>
            <w:tcBorders>
              <w:top w:val="single" w:sz="6" w:space="0" w:color="auto"/>
              <w:left w:val="dotted" w:sz="6"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 xml:space="preserve">Common Line </w:t>
            </w:r>
          </w:p>
          <w:p w:rsidR="008C50EF" w:rsidP="008C50EF">
            <w:pPr>
              <w:jc w:val="center"/>
              <w:rPr>
                <w:rFonts w:ascii="Arial" w:hAnsi="Arial"/>
                <w:color w:val="000000"/>
                <w:sz w:val="14"/>
              </w:rPr>
            </w:pPr>
            <w:r>
              <w:rPr>
                <w:rFonts w:ascii="Arial" w:hAnsi="Arial"/>
                <w:color w:val="000000"/>
                <w:sz w:val="14"/>
              </w:rPr>
              <w:t>(m)</w:t>
            </w:r>
          </w:p>
        </w:tc>
        <w:tc>
          <w:tcPr>
            <w:tcW w:w="2430" w:type="dxa"/>
            <w:gridSpan w:val="3"/>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Traffic Sensitive</w:t>
            </w:r>
          </w:p>
        </w:tc>
        <w:tc>
          <w:tcPr>
            <w:tcW w:w="720" w:type="dxa"/>
            <w:vMerge w:val="restart"/>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Special</w:t>
            </w:r>
          </w:p>
          <w:p w:rsidR="008C50EF" w:rsidP="008C50EF">
            <w:pPr>
              <w:jc w:val="center"/>
              <w:rPr>
                <w:rFonts w:ascii="Arial" w:hAnsi="Arial"/>
                <w:color w:val="000000"/>
                <w:sz w:val="14"/>
              </w:rPr>
            </w:pPr>
            <w:r>
              <w:rPr>
                <w:rFonts w:ascii="Arial" w:hAnsi="Arial"/>
                <w:color w:val="000000"/>
                <w:sz w:val="14"/>
              </w:rPr>
              <w:t>Access</w:t>
            </w:r>
          </w:p>
          <w:p w:rsidR="008C50EF" w:rsidP="008C50EF">
            <w:pPr>
              <w:jc w:val="center"/>
              <w:rPr>
                <w:rFonts w:ascii="Arial" w:hAnsi="Arial"/>
                <w:color w:val="000000"/>
                <w:sz w:val="14"/>
              </w:rPr>
            </w:pPr>
            <w:r>
              <w:rPr>
                <w:rFonts w:ascii="Arial" w:hAnsi="Arial"/>
                <w:color w:val="000000"/>
                <w:sz w:val="14"/>
              </w:rPr>
              <w:t>(s)</w:t>
            </w:r>
          </w:p>
        </w:tc>
        <w:tc>
          <w:tcPr>
            <w:tcW w:w="810" w:type="dxa"/>
            <w:vMerge w:val="restart"/>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Billing &amp;</w:t>
            </w:r>
          </w:p>
          <w:p w:rsidR="008C50EF" w:rsidP="008C50EF">
            <w:pPr>
              <w:jc w:val="center"/>
              <w:rPr>
                <w:rFonts w:ascii="Arial" w:hAnsi="Arial"/>
                <w:color w:val="000000"/>
                <w:sz w:val="14"/>
              </w:rPr>
            </w:pPr>
            <w:r>
              <w:rPr>
                <w:rFonts w:ascii="Arial" w:hAnsi="Arial"/>
                <w:color w:val="000000"/>
                <w:sz w:val="14"/>
              </w:rPr>
              <w:t>Collection</w:t>
            </w:r>
          </w:p>
          <w:p w:rsidR="008C50EF" w:rsidP="008C50EF">
            <w:pPr>
              <w:jc w:val="center"/>
              <w:rPr>
                <w:rFonts w:ascii="Arial" w:hAnsi="Arial"/>
                <w:color w:val="000000"/>
                <w:sz w:val="14"/>
              </w:rPr>
            </w:pPr>
            <w:r>
              <w:rPr>
                <w:rFonts w:ascii="Arial" w:hAnsi="Arial"/>
                <w:color w:val="000000"/>
                <w:sz w:val="14"/>
              </w:rPr>
              <w:t>(u)</w:t>
            </w:r>
          </w:p>
        </w:tc>
        <w:tc>
          <w:tcPr>
            <w:tcW w:w="720" w:type="dxa"/>
            <w:vMerge w:val="restart"/>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IX</w:t>
            </w:r>
          </w:p>
          <w:p w:rsidR="008C50EF" w:rsidP="008C50EF">
            <w:pPr>
              <w:jc w:val="center"/>
              <w:rPr>
                <w:rFonts w:ascii="Arial" w:hAnsi="Arial"/>
                <w:color w:val="000000"/>
                <w:sz w:val="14"/>
              </w:rPr>
            </w:pPr>
            <w:r>
              <w:rPr>
                <w:rFonts w:ascii="Arial" w:hAnsi="Arial"/>
                <w:color w:val="000000"/>
                <w:sz w:val="14"/>
              </w:rPr>
              <w:t>(v)</w:t>
            </w:r>
          </w:p>
        </w:tc>
      </w:tr>
      <w:tr>
        <w:tblPrEx>
          <w:tblW w:w="0" w:type="auto"/>
          <w:tblLayout w:type="fixed"/>
          <w:tblCellMar>
            <w:left w:w="30" w:type="dxa"/>
            <w:right w:w="30" w:type="dxa"/>
          </w:tblCellMar>
          <w:tblLook w:val="0000"/>
        </w:tblPrEx>
        <w:trPr>
          <w:cantSplit/>
          <w:trHeight w:val="402"/>
        </w:trPr>
        <w:tc>
          <w:tcPr>
            <w:tcW w:w="570" w:type="dxa"/>
            <w:vMerge/>
            <w:tcBorders>
              <w:top w:val="nil"/>
              <w:left w:val="single" w:sz="6" w:space="0" w:color="auto"/>
              <w:bottom w:val="single" w:sz="4" w:space="0" w:color="auto"/>
              <w:right w:val="single" w:sz="6" w:space="0" w:color="auto"/>
            </w:tcBorders>
          </w:tcPr>
          <w:p w:rsidR="008C50EF" w:rsidP="008C50EF">
            <w:pPr>
              <w:jc w:val="center"/>
              <w:rPr>
                <w:rFonts w:ascii="Arial" w:hAnsi="Arial"/>
                <w:color w:val="000000"/>
                <w:sz w:val="14"/>
              </w:rPr>
            </w:pPr>
          </w:p>
        </w:tc>
        <w:tc>
          <w:tcPr>
            <w:tcW w:w="2700" w:type="dxa"/>
            <w:vMerge/>
            <w:tcBorders>
              <w:top w:val="nil"/>
              <w:left w:val="dotted" w:sz="6" w:space="0" w:color="auto"/>
              <w:bottom w:val="single" w:sz="4" w:space="0" w:color="auto"/>
              <w:right w:val="single" w:sz="6" w:space="0" w:color="auto"/>
            </w:tcBorders>
          </w:tcPr>
          <w:p w:rsidR="008C50EF" w:rsidP="008C50EF">
            <w:pPr>
              <w:jc w:val="center"/>
              <w:rPr>
                <w:rFonts w:ascii="Arial" w:hAnsi="Arial"/>
                <w:color w:val="000000"/>
                <w:sz w:val="14"/>
              </w:rPr>
            </w:pPr>
          </w:p>
        </w:tc>
        <w:tc>
          <w:tcPr>
            <w:tcW w:w="720" w:type="dxa"/>
            <w:vMerge/>
            <w:tcBorders>
              <w:top w:val="nil"/>
              <w:left w:val="dotted" w:sz="6" w:space="0" w:color="auto"/>
            </w:tcBorders>
          </w:tcPr>
          <w:p w:rsidR="008C50EF" w:rsidP="008C50EF">
            <w:pPr>
              <w:jc w:val="center"/>
              <w:rPr>
                <w:rFonts w:ascii="Arial" w:hAnsi="Arial"/>
                <w:color w:val="000000"/>
                <w:sz w:val="14"/>
              </w:rPr>
            </w:pPr>
          </w:p>
        </w:tc>
        <w:tc>
          <w:tcPr>
            <w:tcW w:w="810" w:type="dxa"/>
            <w:tcBorders>
              <w:lef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Switching</w:t>
            </w:r>
          </w:p>
          <w:p w:rsidR="008C50EF" w:rsidP="008C50EF">
            <w:pPr>
              <w:jc w:val="center"/>
              <w:rPr>
                <w:rFonts w:ascii="Arial" w:hAnsi="Arial"/>
                <w:color w:val="000000"/>
                <w:sz w:val="14"/>
              </w:rPr>
            </w:pPr>
            <w:r>
              <w:rPr>
                <w:rFonts w:ascii="Arial" w:hAnsi="Arial"/>
                <w:color w:val="000000"/>
                <w:sz w:val="14"/>
              </w:rPr>
              <w:t>(n)</w:t>
            </w:r>
          </w:p>
        </w:tc>
        <w:tc>
          <w:tcPr>
            <w:tcW w:w="810" w:type="dxa"/>
            <w:tcBorders>
              <w:lef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Transport</w:t>
            </w:r>
          </w:p>
          <w:p w:rsidR="008C50EF" w:rsidP="008C50EF">
            <w:pPr>
              <w:jc w:val="center"/>
              <w:rPr>
                <w:rFonts w:ascii="Arial" w:hAnsi="Arial"/>
                <w:color w:val="000000"/>
                <w:sz w:val="14"/>
              </w:rPr>
            </w:pPr>
            <w:r>
              <w:rPr>
                <w:rFonts w:ascii="Arial" w:hAnsi="Arial"/>
                <w:color w:val="000000"/>
                <w:sz w:val="14"/>
              </w:rPr>
              <w:t>(p)</w:t>
            </w: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p w:rsidR="008C50EF" w:rsidP="008C50EF">
            <w:pPr>
              <w:jc w:val="center"/>
              <w:rPr>
                <w:rFonts w:ascii="Arial" w:hAnsi="Arial"/>
                <w:color w:val="000000"/>
                <w:sz w:val="14"/>
              </w:rPr>
            </w:pPr>
            <w:r>
              <w:rPr>
                <w:rFonts w:ascii="Arial" w:hAnsi="Arial"/>
                <w:color w:val="000000"/>
                <w:sz w:val="14"/>
              </w:rPr>
              <w:t>Total</w:t>
            </w:r>
          </w:p>
          <w:p w:rsidR="008C50EF" w:rsidP="008C50EF">
            <w:pPr>
              <w:jc w:val="center"/>
              <w:rPr>
                <w:rFonts w:ascii="Arial" w:hAnsi="Arial"/>
                <w:color w:val="000000"/>
                <w:sz w:val="14"/>
              </w:rPr>
            </w:pPr>
            <w:r>
              <w:rPr>
                <w:rFonts w:ascii="Arial" w:hAnsi="Arial"/>
                <w:color w:val="000000"/>
                <w:sz w:val="14"/>
              </w:rPr>
              <w:t>(r)</w:t>
            </w:r>
          </w:p>
        </w:tc>
        <w:tc>
          <w:tcPr>
            <w:tcW w:w="720" w:type="dxa"/>
            <w:vMerge/>
            <w:tcBorders>
              <w:top w:val="nil"/>
              <w:left w:val="single" w:sz="4" w:space="0" w:color="auto"/>
              <w:right w:val="single" w:sz="4" w:space="0" w:color="auto"/>
            </w:tcBorders>
          </w:tcPr>
          <w:p w:rsidR="008C50EF" w:rsidP="008C50EF">
            <w:pPr>
              <w:jc w:val="center"/>
              <w:rPr>
                <w:rFonts w:ascii="Arial" w:hAnsi="Arial"/>
                <w:color w:val="000000"/>
                <w:sz w:val="14"/>
              </w:rPr>
            </w:pPr>
          </w:p>
        </w:tc>
        <w:tc>
          <w:tcPr>
            <w:tcW w:w="810" w:type="dxa"/>
            <w:vMerge/>
            <w:tcBorders>
              <w:top w:val="nil"/>
              <w:left w:val="single" w:sz="4" w:space="0" w:color="auto"/>
              <w:right w:val="single" w:sz="4" w:space="0" w:color="auto"/>
            </w:tcBorders>
          </w:tcPr>
          <w:p w:rsidR="008C50EF" w:rsidP="008C50EF">
            <w:pPr>
              <w:jc w:val="center"/>
              <w:rPr>
                <w:rFonts w:ascii="Arial" w:hAnsi="Arial"/>
                <w:color w:val="000000"/>
                <w:sz w:val="14"/>
              </w:rPr>
            </w:pPr>
          </w:p>
        </w:tc>
        <w:tc>
          <w:tcPr>
            <w:tcW w:w="720" w:type="dxa"/>
            <w:vMerge/>
            <w:tcBorders>
              <w:top w:val="nil"/>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left w:val="dotted" w:sz="6" w:space="0" w:color="auto"/>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Plant-in-Service</w:t>
            </w:r>
          </w:p>
        </w:tc>
        <w:tc>
          <w:tcPr>
            <w:tcW w:w="720" w:type="dxa"/>
            <w:tcBorders>
              <w:top w:val="single" w:sz="4" w:space="0" w:color="auto"/>
              <w:left w:val="dotted" w:sz="6"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1620</w:t>
            </w:r>
          </w:p>
        </w:tc>
        <w:tc>
          <w:tcPr>
            <w:tcW w:w="2700" w:type="dxa"/>
            <w:tcBorders>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Support Plant</w:t>
            </w:r>
          </w:p>
        </w:tc>
        <w:tc>
          <w:tcPr>
            <w:tcW w:w="720" w:type="dxa"/>
            <w:tcBorders>
              <w:left w:val="dotted" w:sz="6" w:space="0" w:color="auto"/>
              <w:bottom w:val="single" w:sz="6"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1630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Operator Systems Equipment</w:t>
            </w:r>
          </w:p>
        </w:tc>
        <w:tc>
          <w:tcPr>
            <w:tcW w:w="720" w:type="dxa"/>
            <w:tcBorders>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1640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COE-Switching</w:t>
            </w:r>
          </w:p>
        </w:tc>
        <w:tc>
          <w:tcPr>
            <w:tcW w:w="720" w:type="dxa"/>
            <w:tcBorders>
              <w:bottom w:val="single" w:sz="6"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1650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COE-Transmission</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1660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Cable and Wire Facilities</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1670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IOT Equipment</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1680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Amortizable Assets</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1690</w:t>
            </w:r>
          </w:p>
        </w:tc>
        <w:tc>
          <w:tcPr>
            <w:tcW w:w="2700" w:type="dxa"/>
            <w:tcBorders>
              <w:top w:val="single" w:sz="6" w:space="0" w:color="auto"/>
              <w:left w:val="dotted"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Plant In-Service</w:t>
            </w:r>
          </w:p>
        </w:tc>
        <w:tc>
          <w:tcPr>
            <w:tcW w:w="720" w:type="dxa"/>
            <w:tcBorders>
              <w:top w:val="single" w:sz="6" w:space="0" w:color="auto"/>
              <w:left w:val="dotted"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rPr>
                <w:rFonts w:ascii="Arial" w:hAnsi="Arial"/>
                <w:b/>
                <w:color w:val="000000"/>
                <w:sz w:val="14"/>
                <w:u w:val="single"/>
              </w:rPr>
            </w:pPr>
          </w:p>
        </w:tc>
        <w:tc>
          <w:tcPr>
            <w:tcW w:w="720" w:type="dxa"/>
            <w:tcBorders>
              <w:right w:val="single" w:sz="4" w:space="0" w:color="auto"/>
            </w:tcBorders>
          </w:tcPr>
          <w:p w:rsidR="008C50EF" w:rsidP="008C50EF">
            <w:pPr>
              <w:jc w:val="center"/>
              <w:rPr>
                <w:rFonts w:ascii="Arial" w:hAnsi="Arial"/>
                <w:color w:val="000000"/>
                <w:sz w:val="14"/>
              </w:rPr>
            </w:pPr>
          </w:p>
        </w:tc>
        <w:tc>
          <w:tcPr>
            <w:tcW w:w="810" w:type="dxa"/>
            <w:tcBorders>
              <w:right w:val="single" w:sz="4" w:space="0" w:color="auto"/>
            </w:tcBorders>
          </w:tcPr>
          <w:p w:rsidR="008C50EF" w:rsidP="008C50EF">
            <w:pPr>
              <w:jc w:val="center"/>
              <w:rPr>
                <w:rFonts w:ascii="Arial" w:hAnsi="Arial"/>
                <w:color w:val="000000"/>
                <w:sz w:val="14"/>
              </w:rPr>
            </w:pPr>
          </w:p>
        </w:tc>
        <w:tc>
          <w:tcPr>
            <w:tcW w:w="810" w:type="dxa"/>
            <w:tcBorders>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pStyle w:val="Heading2"/>
              <w:rPr>
                <w:sz w:val="14"/>
              </w:rPr>
            </w:pPr>
            <w:r>
              <w:rPr>
                <w:sz w:val="14"/>
              </w:rPr>
              <w:t>Other Investments</w:t>
            </w:r>
          </w:p>
        </w:tc>
        <w:tc>
          <w:tcPr>
            <w:tcW w:w="720" w:type="dxa"/>
            <w:tcBorders>
              <w:right w:val="single" w:sz="4" w:space="0" w:color="auto"/>
            </w:tcBorders>
          </w:tcPr>
          <w:p w:rsidR="008C50EF" w:rsidP="008C50EF">
            <w:pPr>
              <w:jc w:val="center"/>
              <w:rPr>
                <w:rFonts w:ascii="Arial" w:hAnsi="Arial"/>
                <w:color w:val="000000"/>
                <w:sz w:val="14"/>
              </w:rPr>
            </w:pPr>
          </w:p>
        </w:tc>
        <w:tc>
          <w:tcPr>
            <w:tcW w:w="810" w:type="dxa"/>
            <w:tcBorders>
              <w:right w:val="single" w:sz="4" w:space="0" w:color="auto"/>
            </w:tcBorders>
          </w:tcPr>
          <w:p w:rsidR="008C50EF" w:rsidP="008C50EF">
            <w:pPr>
              <w:jc w:val="center"/>
              <w:rPr>
                <w:rFonts w:ascii="Arial" w:hAnsi="Arial"/>
                <w:color w:val="000000"/>
                <w:sz w:val="14"/>
              </w:rPr>
            </w:pPr>
          </w:p>
        </w:tc>
        <w:tc>
          <w:tcPr>
            <w:tcW w:w="810" w:type="dxa"/>
            <w:tcBorders>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1705</w:t>
            </w:r>
          </w:p>
        </w:tc>
        <w:tc>
          <w:tcPr>
            <w:tcW w:w="2700" w:type="dxa"/>
            <w:tcBorders>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Other Jurisdictional Assets-Net</w:t>
            </w:r>
          </w:p>
        </w:tc>
        <w:tc>
          <w:tcPr>
            <w:tcW w:w="720" w:type="dxa"/>
            <w:tcBorders>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nil"/>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1710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Property Held for Future Use</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1720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Under Construction</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1730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Plant Acquisition Adjustment</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1740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Investment in Nonaffiliated Companies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1750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Other Deferred Charges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1760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Inventories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1770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Cash Working Capital</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1780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Investment Adjustment</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1790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Other Investments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top w:val="single" w:sz="6" w:space="0" w:color="auto"/>
              <w:right w:val="single" w:sz="6" w:space="0" w:color="auto"/>
            </w:tcBorders>
          </w:tcPr>
          <w:p w:rsidR="008C50EF" w:rsidP="008C50EF">
            <w:pPr>
              <w:jc w:val="right"/>
              <w:rPr>
                <w:rFonts w:ascii="Arial" w:hAnsi="Arial"/>
                <w:color w:val="000000"/>
                <w:sz w:val="14"/>
              </w:rPr>
            </w:pPr>
          </w:p>
        </w:tc>
        <w:tc>
          <w:tcPr>
            <w:tcW w:w="720" w:type="dxa"/>
            <w:tcBorders>
              <w:top w:val="single" w:sz="6"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Reserves</w:t>
            </w:r>
          </w:p>
        </w:tc>
        <w:tc>
          <w:tcPr>
            <w:tcW w:w="720" w:type="dxa"/>
            <w:tcBorders>
              <w:right w:val="single" w:sz="4" w:space="0" w:color="auto"/>
            </w:tcBorders>
          </w:tcPr>
          <w:p w:rsidR="008C50EF" w:rsidP="008C50EF">
            <w:pPr>
              <w:jc w:val="center"/>
              <w:rPr>
                <w:rFonts w:ascii="Arial" w:hAnsi="Arial"/>
                <w:color w:val="000000"/>
                <w:sz w:val="14"/>
              </w:rPr>
            </w:pPr>
          </w:p>
        </w:tc>
        <w:tc>
          <w:tcPr>
            <w:tcW w:w="810" w:type="dxa"/>
            <w:tcBorders>
              <w:right w:val="single" w:sz="4" w:space="0" w:color="auto"/>
            </w:tcBorders>
          </w:tcPr>
          <w:p w:rsidR="008C50EF" w:rsidP="008C50EF">
            <w:pPr>
              <w:jc w:val="center"/>
              <w:rPr>
                <w:rFonts w:ascii="Arial" w:hAnsi="Arial"/>
                <w:color w:val="000000"/>
                <w:sz w:val="14"/>
              </w:rPr>
            </w:pPr>
          </w:p>
        </w:tc>
        <w:tc>
          <w:tcPr>
            <w:tcW w:w="810" w:type="dxa"/>
            <w:tcBorders>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1820</w:t>
            </w:r>
          </w:p>
        </w:tc>
        <w:tc>
          <w:tcPr>
            <w:tcW w:w="2700" w:type="dxa"/>
            <w:tcBorders>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Accumulated Depreciation</w:t>
            </w:r>
          </w:p>
        </w:tc>
        <w:tc>
          <w:tcPr>
            <w:tcW w:w="720" w:type="dxa"/>
            <w:tcBorders>
              <w:bottom w:val="single" w:sz="6" w:space="0" w:color="auto"/>
              <w:right w:val="single" w:sz="4" w:space="0" w:color="auto"/>
            </w:tcBorders>
          </w:tcPr>
          <w:p w:rsidR="008C50EF" w:rsidP="008C50EF">
            <w:pPr>
              <w:jc w:val="center"/>
              <w:rPr>
                <w:rFonts w:ascii="Arial" w:hAnsi="Arial"/>
                <w:color w:val="000000"/>
                <w:sz w:val="14"/>
              </w:rPr>
            </w:pPr>
          </w:p>
        </w:tc>
        <w:tc>
          <w:tcPr>
            <w:tcW w:w="810" w:type="dxa"/>
            <w:tcBorders>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1830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Accumulated Amortization</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1840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Deferred  Operating Income Taxes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1850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Customer Deposits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1865</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Other Long-term </w:t>
            </w:r>
            <w:r>
              <w:rPr>
                <w:rFonts w:ascii="Arial" w:hAnsi="Arial"/>
                <w:color w:val="000000"/>
                <w:sz w:val="14"/>
              </w:rPr>
              <w:t>Liab</w:t>
            </w:r>
            <w:r>
              <w:rPr>
                <w:rFonts w:ascii="Arial" w:hAnsi="Arial"/>
                <w:color w:val="000000"/>
                <w:sz w:val="14"/>
              </w:rPr>
              <w:t>. &amp; Def. Credits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1882</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Deferred Tax  Liabilities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1883</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Other </w:t>
            </w:r>
            <w:r>
              <w:rPr>
                <w:rFonts w:ascii="Arial" w:hAnsi="Arial"/>
                <w:color w:val="000000"/>
                <w:sz w:val="14"/>
              </w:rPr>
              <w:t>Jurisd</w:t>
            </w:r>
            <w:r>
              <w:rPr>
                <w:rFonts w:ascii="Arial" w:hAnsi="Arial"/>
                <w:color w:val="000000"/>
                <w:sz w:val="14"/>
              </w:rPr>
              <w:t xml:space="preserve">. </w:t>
            </w:r>
            <w:r>
              <w:rPr>
                <w:rFonts w:ascii="Arial" w:hAnsi="Arial"/>
                <w:color w:val="000000"/>
                <w:sz w:val="14"/>
              </w:rPr>
              <w:t>Liab</w:t>
            </w:r>
            <w:r>
              <w:rPr>
                <w:rFonts w:ascii="Arial" w:hAnsi="Arial"/>
                <w:color w:val="000000"/>
                <w:sz w:val="14"/>
              </w:rPr>
              <w:t>. &amp; Deferred Credits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1885</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FCC Reserve Adjustment</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1890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     Total Reserves</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top w:val="single" w:sz="6" w:space="0" w:color="auto"/>
            </w:tcBorders>
          </w:tcPr>
          <w:p w:rsidR="008C50EF" w:rsidP="008C50EF">
            <w:pPr>
              <w:jc w:val="right"/>
              <w:rPr>
                <w:rFonts w:ascii="Arial" w:hAnsi="Arial"/>
                <w:color w:val="000000"/>
                <w:sz w:val="14"/>
              </w:rPr>
            </w:pPr>
          </w:p>
        </w:tc>
        <w:tc>
          <w:tcPr>
            <w:tcW w:w="720" w:type="dxa"/>
            <w:tcBorders>
              <w:top w:val="single" w:sz="6"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Pr>
          <w:p w:rsidR="008C50EF" w:rsidP="008C50EF">
            <w:pPr>
              <w:rPr>
                <w:rFonts w:ascii="Arial" w:hAnsi="Arial"/>
                <w:b/>
                <w:color w:val="000000"/>
                <w:sz w:val="14"/>
                <w:u w:val="single"/>
              </w:rPr>
            </w:pPr>
            <w:r>
              <w:rPr>
                <w:rFonts w:ascii="Arial" w:hAnsi="Arial"/>
                <w:b/>
                <w:color w:val="000000"/>
                <w:sz w:val="14"/>
                <w:u w:val="single"/>
              </w:rPr>
              <w:t>Return Data</w:t>
            </w: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1910</w:t>
            </w:r>
          </w:p>
        </w:tc>
        <w:tc>
          <w:tcPr>
            <w:tcW w:w="2700" w:type="dxa"/>
            <w:tcBorders>
              <w:bottom w:val="single" w:sz="6" w:space="0" w:color="auto"/>
            </w:tcBorders>
          </w:tcPr>
          <w:p w:rsidR="008C50EF" w:rsidP="008C50EF">
            <w:pPr>
              <w:rPr>
                <w:rFonts w:ascii="Arial" w:hAnsi="Arial"/>
                <w:color w:val="000000"/>
                <w:sz w:val="14"/>
              </w:rPr>
            </w:pPr>
            <w:r>
              <w:rPr>
                <w:rFonts w:ascii="Arial" w:hAnsi="Arial"/>
                <w:color w:val="000000"/>
                <w:sz w:val="14"/>
              </w:rPr>
              <w:t>Average Net Investment</w:t>
            </w:r>
          </w:p>
        </w:tc>
        <w:tc>
          <w:tcPr>
            <w:tcW w:w="720" w:type="dxa"/>
            <w:tcBorders>
              <w:left w:val="single" w:sz="4" w:space="0" w:color="auto"/>
              <w:bottom w:val="single" w:sz="6"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1915</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Net Return</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1920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Rate of Return</w:t>
            </w:r>
          </w:p>
        </w:tc>
        <w:tc>
          <w:tcPr>
            <w:tcW w:w="720" w:type="dxa"/>
            <w:tcBorders>
              <w:top w:val="single" w:sz="6" w:space="0" w:color="auto"/>
              <w:bottom w:val="single" w:sz="6"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nil"/>
              <w:bottom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jc w:val="right"/>
              <w:rPr>
                <w:rFonts w:ascii="Arial" w:hAnsi="Arial"/>
                <w:color w:val="000000"/>
                <w:sz w:val="14"/>
              </w:rPr>
            </w:pPr>
          </w:p>
        </w:tc>
        <w:tc>
          <w:tcPr>
            <w:tcW w:w="720" w:type="dxa"/>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nil"/>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81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c>
          <w:tcPr>
            <w:tcW w:w="720" w:type="dxa"/>
            <w:tcBorders>
              <w:top w:val="single" w:sz="4" w:space="0" w:color="auto"/>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right w:val="single" w:sz="6" w:space="0" w:color="auto"/>
            </w:tcBorders>
          </w:tcPr>
          <w:p w:rsidR="008C50EF" w:rsidP="008C50EF">
            <w:pPr>
              <w:jc w:val="center"/>
              <w:rPr>
                <w:rFonts w:ascii="Arial" w:hAnsi="Arial"/>
                <w:color w:val="000000"/>
                <w:sz w:val="14"/>
              </w:rPr>
            </w:pPr>
          </w:p>
        </w:tc>
        <w:tc>
          <w:tcPr>
            <w:tcW w:w="2700" w:type="dxa"/>
            <w:tcBorders>
              <w:right w:val="single" w:sz="6" w:space="0" w:color="auto"/>
            </w:tcBorders>
          </w:tcPr>
          <w:p w:rsidR="008C50EF" w:rsidP="008C50EF">
            <w:pPr>
              <w:rPr>
                <w:rFonts w:ascii="Arial" w:hAnsi="Arial"/>
                <w:b/>
                <w:color w:val="000000"/>
                <w:sz w:val="14"/>
                <w:u w:val="single"/>
              </w:rPr>
            </w:pPr>
            <w:r>
              <w:rPr>
                <w:rFonts w:ascii="Arial" w:hAnsi="Arial"/>
                <w:b/>
                <w:color w:val="000000"/>
                <w:sz w:val="14"/>
                <w:u w:val="single"/>
              </w:rPr>
              <w:t>Miscellaneous Data</w:t>
            </w:r>
          </w:p>
        </w:tc>
        <w:tc>
          <w:tcPr>
            <w:tcW w:w="720" w:type="dxa"/>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nil"/>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c>
          <w:tcPr>
            <w:tcW w:w="810" w:type="dxa"/>
            <w:tcBorders>
              <w:left w:val="single" w:sz="4" w:space="0" w:color="auto"/>
              <w:right w:val="single" w:sz="4" w:space="0" w:color="auto"/>
            </w:tcBorders>
          </w:tcPr>
          <w:p w:rsidR="008C50EF" w:rsidP="008C50EF">
            <w:pPr>
              <w:jc w:val="center"/>
              <w:rPr>
                <w:rFonts w:ascii="Arial" w:hAnsi="Arial"/>
                <w:color w:val="000000"/>
                <w:sz w:val="14"/>
              </w:rPr>
            </w:pPr>
          </w:p>
        </w:tc>
        <w:tc>
          <w:tcPr>
            <w:tcW w:w="720" w:type="dxa"/>
            <w:tcBorders>
              <w:left w:val="single" w:sz="4" w:space="0" w:color="auto"/>
              <w:right w:val="single" w:sz="4" w:space="0" w:color="auto"/>
            </w:tcBorders>
          </w:tcPr>
          <w:p w:rsidR="008C50EF" w:rsidP="008C50EF">
            <w:pPr>
              <w:jc w:val="center"/>
              <w:rPr>
                <w:rFonts w:ascii="Arial" w:hAnsi="Arial"/>
                <w:color w:val="000000"/>
                <w:sz w:val="14"/>
              </w:rPr>
            </w:pPr>
          </w:p>
        </w:tc>
      </w:tr>
      <w:tr>
        <w:tblPrEx>
          <w:tblW w:w="0" w:type="auto"/>
          <w:tblLayout w:type="fixed"/>
          <w:tblCellMar>
            <w:left w:w="30" w:type="dxa"/>
            <w:right w:w="30" w:type="dxa"/>
          </w:tblCellMar>
          <w:tblLook w:val="0000"/>
        </w:tblPrEx>
        <w:trPr>
          <w:trHeight w:val="200"/>
        </w:trPr>
        <w:tc>
          <w:tcPr>
            <w:tcW w:w="570" w:type="dxa"/>
            <w:tcBorders>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1950</w:t>
            </w:r>
          </w:p>
        </w:tc>
        <w:tc>
          <w:tcPr>
            <w:tcW w:w="2700" w:type="dxa"/>
            <w:tcBorders>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Lifeline Adjustment</w:t>
            </w:r>
          </w:p>
        </w:tc>
        <w:tc>
          <w:tcPr>
            <w:tcW w:w="720" w:type="dxa"/>
            <w:tcBorders>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nil"/>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r>
        <w:tblPrEx>
          <w:tblW w:w="0" w:type="auto"/>
          <w:tblLayout w:type="fixed"/>
          <w:tblCellMar>
            <w:left w:w="30" w:type="dxa"/>
            <w:right w:w="30" w:type="dxa"/>
          </w:tblCellMar>
          <w:tblLook w:val="0000"/>
        </w:tblPrEx>
        <w:trPr>
          <w:trHeight w:val="200"/>
        </w:trPr>
        <w:tc>
          <w:tcPr>
            <w:tcW w:w="570" w:type="dxa"/>
            <w:tcBorders>
              <w:top w:val="single" w:sz="6" w:space="0" w:color="auto"/>
              <w:left w:val="single" w:sz="6" w:space="0" w:color="auto"/>
              <w:bottom w:val="single" w:sz="6" w:space="0" w:color="auto"/>
              <w:right w:val="single" w:sz="6" w:space="0" w:color="auto"/>
            </w:tcBorders>
          </w:tcPr>
          <w:p w:rsidR="008C50EF" w:rsidP="008C50EF">
            <w:pPr>
              <w:jc w:val="center"/>
              <w:rPr>
                <w:rFonts w:ascii="Arial" w:hAnsi="Arial"/>
                <w:color w:val="000000"/>
                <w:sz w:val="14"/>
              </w:rPr>
            </w:pPr>
            <w:r>
              <w:rPr>
                <w:rFonts w:ascii="Arial" w:hAnsi="Arial"/>
                <w:color w:val="000000"/>
                <w:sz w:val="14"/>
              </w:rPr>
              <w:t>1960</w:t>
            </w:r>
          </w:p>
        </w:tc>
        <w:tc>
          <w:tcPr>
            <w:tcW w:w="2700" w:type="dxa"/>
            <w:tcBorders>
              <w:top w:val="single" w:sz="6" w:space="0" w:color="auto"/>
              <w:bottom w:val="single" w:sz="6" w:space="0" w:color="auto"/>
              <w:right w:val="single" w:sz="6" w:space="0" w:color="auto"/>
            </w:tcBorders>
          </w:tcPr>
          <w:p w:rsidR="008C50EF" w:rsidP="008C50EF">
            <w:pPr>
              <w:rPr>
                <w:rFonts w:ascii="Arial" w:hAnsi="Arial"/>
                <w:color w:val="000000"/>
                <w:sz w:val="14"/>
              </w:rPr>
            </w:pPr>
            <w:r>
              <w:rPr>
                <w:rFonts w:ascii="Arial" w:hAnsi="Arial"/>
                <w:color w:val="000000"/>
                <w:sz w:val="14"/>
              </w:rPr>
              <w:t xml:space="preserve">Universal Service Fund – High </w:t>
            </w:r>
            <w:smartTag w:uri="urn:schemas-microsoft-com:office:smarttags" w:element="place">
              <w:r>
                <w:rPr>
                  <w:rFonts w:ascii="Arial" w:hAnsi="Arial"/>
                  <w:color w:val="000000"/>
                  <w:sz w:val="14"/>
                </w:rPr>
                <w:t>Loop</w:t>
              </w:r>
            </w:smartTag>
            <w:r>
              <w:rPr>
                <w:rFonts w:ascii="Arial" w:hAnsi="Arial"/>
                <w:color w:val="000000"/>
                <w:sz w:val="14"/>
              </w:rPr>
              <w:t xml:space="preserve">  Cost</w:t>
            </w:r>
          </w:p>
        </w:tc>
        <w:tc>
          <w:tcPr>
            <w:tcW w:w="720" w:type="dxa"/>
            <w:tcBorders>
              <w:bottom w:val="single" w:sz="6"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left w:val="nil"/>
              <w:bottom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81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c>
          <w:tcPr>
            <w:tcW w:w="720" w:type="dxa"/>
            <w:tcBorders>
              <w:top w:val="single" w:sz="4" w:space="0" w:color="auto"/>
              <w:left w:val="single" w:sz="4" w:space="0" w:color="auto"/>
              <w:bottom w:val="single" w:sz="4" w:space="0" w:color="auto"/>
              <w:right w:val="single" w:sz="4" w:space="0" w:color="auto"/>
            </w:tcBorders>
          </w:tcPr>
          <w:p w:rsidR="008C50EF" w:rsidP="008C50EF">
            <w:pPr>
              <w:jc w:val="center"/>
              <w:rPr>
                <w:rFonts w:ascii="Arial" w:hAnsi="Arial"/>
                <w:color w:val="000000"/>
                <w:sz w:val="14"/>
              </w:rPr>
            </w:pPr>
            <w:r>
              <w:rPr>
                <w:rFonts w:ascii="Arial" w:hAnsi="Arial"/>
                <w:color w:val="000000"/>
                <w:sz w:val="14"/>
              </w:rPr>
              <w:t>N/A</w:t>
            </w:r>
          </w:p>
        </w:tc>
      </w:tr>
    </w:tbl>
    <w:p w:rsidR="008C50EF" w:rsidP="008C50EF"/>
    <w:p w:rsidR="00200756">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8"/>
        </w:rPr>
      </w:pPr>
    </w:p>
    <w:p w:rsidR="003F6950" w:rsidRPr="00BB2765" w:rsidP="005B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Arial" w:hAnsi="Arial" w:cs="Arial"/>
          <w:sz w:val="18"/>
          <w:szCs w:val="18"/>
        </w:rPr>
      </w:pPr>
      <w:r w:rsidRPr="0032600F">
        <w:rPr>
          <w:rFonts w:ascii="Arial" w:hAnsi="Arial" w:cs="Arial"/>
          <w:sz w:val="18"/>
          <w:szCs w:val="18"/>
          <w:u w:val="single"/>
        </w:rPr>
        <w:t>Footnotes</w:t>
      </w:r>
      <w:r w:rsidRPr="00B9317E">
        <w:rPr>
          <w:rFonts w:ascii="Arial" w:hAnsi="Arial" w:cs="Arial"/>
          <w:sz w:val="18"/>
          <w:szCs w:val="18"/>
        </w:rPr>
        <w:t xml:space="preserve">: </w:t>
      </w:r>
      <w:r w:rsidRPr="00B9317E">
        <w:rPr>
          <w:rFonts w:ascii="Arial" w:hAnsi="Arial" w:cs="Arial"/>
          <w:spacing w:val="-3"/>
          <w:sz w:val="18"/>
          <w:szCs w:val="18"/>
        </w:rPr>
        <w:t xml:space="preserve">Footnotes should appear at the </w:t>
      </w:r>
      <w:r w:rsidR="00935874">
        <w:rPr>
          <w:rFonts w:ascii="Arial" w:hAnsi="Arial" w:cs="Arial"/>
          <w:spacing w:val="-3"/>
          <w:sz w:val="18"/>
          <w:szCs w:val="18"/>
        </w:rPr>
        <w:t xml:space="preserve">bottom </w:t>
      </w:r>
      <w:r w:rsidRPr="00B9317E">
        <w:rPr>
          <w:rFonts w:ascii="Arial" w:hAnsi="Arial" w:cs="Arial"/>
          <w:spacing w:val="-3"/>
          <w:sz w:val="18"/>
          <w:szCs w:val="18"/>
        </w:rPr>
        <w:t>of a table</w:t>
      </w:r>
      <w:r>
        <w:rPr>
          <w:rFonts w:ascii="Arial" w:hAnsi="Arial" w:cs="Arial"/>
          <w:spacing w:val="-3"/>
          <w:sz w:val="18"/>
          <w:szCs w:val="18"/>
        </w:rPr>
        <w:t>, not on each page of a table</w:t>
      </w:r>
      <w:r w:rsidRPr="00B9317E">
        <w:rPr>
          <w:rFonts w:ascii="Arial" w:hAnsi="Arial" w:cs="Arial"/>
          <w:spacing w:val="-3"/>
          <w:sz w:val="18"/>
          <w:szCs w:val="18"/>
        </w:rPr>
        <w:t xml:space="preserve">.  Use numerical superscripts to indicate a footnote.  If the footnote applies to a single data entry, place the superscript on the </w:t>
      </w:r>
      <w:r w:rsidR="00FF3476">
        <w:rPr>
          <w:rFonts w:ascii="Arial" w:hAnsi="Arial" w:cs="Arial"/>
          <w:spacing w:val="-3"/>
          <w:sz w:val="18"/>
          <w:szCs w:val="18"/>
        </w:rPr>
        <w:t xml:space="preserve">data </w:t>
      </w:r>
      <w:r w:rsidRPr="00B9317E">
        <w:rPr>
          <w:rFonts w:ascii="Arial" w:hAnsi="Arial" w:cs="Arial"/>
          <w:spacing w:val="-3"/>
          <w:sz w:val="18"/>
          <w:szCs w:val="18"/>
        </w:rPr>
        <w:t>entry. If it applies to an entire row and or column, footnote the row or column header</w:t>
      </w:r>
      <w:r>
        <w:rPr>
          <w:rFonts w:ascii="Arial" w:hAnsi="Arial" w:cs="Arial"/>
          <w:spacing w:val="-3"/>
          <w:sz w:val="18"/>
          <w:szCs w:val="18"/>
        </w:rPr>
        <w:t>.  See the reporting procedures document for the use of footnotes when an erratum is required.</w:t>
      </w:r>
    </w:p>
    <w:p w:rsidR="00F33641" w:rsidRPr="00B9317E" w:rsidP="006A4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rPr>
          <w:rFonts w:ascii="Arial" w:hAnsi="Arial" w:cs="Arial"/>
          <w:spacing w:val="-3"/>
          <w:sz w:val="18"/>
          <w:szCs w:val="18"/>
        </w:rPr>
      </w:pPr>
    </w:p>
    <w:p w:rsidR="00133457">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8"/>
        </w:rPr>
      </w:pPr>
    </w:p>
    <w:p w:rsidR="00133457">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8"/>
        </w:rPr>
      </w:pPr>
    </w:p>
    <w:p w:rsidR="00977B84">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8"/>
        </w:rPr>
        <w:sectPr w:rsidSect="00B41A63">
          <w:headerReference w:type="default" r:id="rId7"/>
          <w:endnotePr>
            <w:numFmt w:val="decimal"/>
          </w:endnotePr>
          <w:pgSz w:w="12240" w:h="15840"/>
          <w:pgMar w:top="1152" w:right="1440" w:bottom="900" w:left="1440" w:header="720" w:footer="720" w:gutter="0"/>
          <w:cols w:space="720"/>
          <w:noEndnote/>
        </w:sectPr>
      </w:pPr>
    </w:p>
    <w:p w:rsidR="00133457">
      <w:pPr>
        <w:tabs>
          <w:tab w:val="left" w:pos="-1080"/>
          <w:tab w:val="left" w:pos="-720"/>
          <w:tab w:val="left" w:pos="0"/>
          <w:tab w:val="left" w:pos="360"/>
          <w:tab w:val="left" w:pos="720"/>
          <w:tab w:val="left" w:pos="1080"/>
          <w:tab w:val="left" w:pos="1440"/>
          <w:tab w:val="left" w:pos="1800"/>
          <w:tab w:val="left" w:pos="2160"/>
        </w:tabs>
        <w:suppressAutoHyphens/>
        <w:outlineLvl w:val="0"/>
        <w:rPr>
          <w:rFonts w:ascii="Arial" w:hAnsi="Arial"/>
          <w:sz w:val="18"/>
        </w:rPr>
      </w:pPr>
      <w:r>
        <w:rPr>
          <w:rFonts w:ascii="Arial" w:hAnsi="Arial"/>
          <w:sz w:val="18"/>
        </w:rPr>
        <w:t>FCC Report 43-01</w:t>
      </w:r>
    </w:p>
    <w:p w:rsidR="00133457">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8"/>
        </w:rPr>
      </w:pPr>
      <w:r>
        <w:rPr>
          <w:rFonts w:ascii="Arial" w:hAnsi="Arial"/>
          <w:sz w:val="18"/>
        </w:rPr>
        <w:t>ARMIS Annual Summary Report</w:t>
      </w:r>
    </w:p>
    <w:p w:rsidR="00133457">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8"/>
        </w:rPr>
      </w:pP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8"/>
          <w:szCs w:val="18"/>
        </w:rPr>
      </w:pPr>
      <w:r w:rsidRPr="00BB2765">
        <w:rPr>
          <w:rFonts w:ascii="Arial" w:hAnsi="Arial"/>
          <w:sz w:val="18"/>
          <w:szCs w:val="18"/>
        </w:rPr>
        <w:t>Company:</w:t>
      </w:r>
      <w:r w:rsidRPr="00BB2765">
        <w:rPr>
          <w:rFonts w:ascii="Arial" w:hAnsi="Arial"/>
          <w:sz w:val="18"/>
          <w:szCs w:val="18"/>
        </w:rPr>
        <w:tab/>
      </w:r>
      <w:r w:rsidRPr="00BB2765">
        <w:rPr>
          <w:rFonts w:ascii="Arial" w:hAnsi="Arial"/>
          <w:sz w:val="18"/>
          <w:szCs w:val="18"/>
        </w:rPr>
        <w:t>XYZ Telco</w:t>
      </w:r>
      <w:r w:rsidRPr="00BB2765">
        <w:rPr>
          <w:rFonts w:ascii="Arial" w:hAnsi="Arial"/>
          <w:sz w:val="18"/>
          <w:szCs w:val="18"/>
        </w:rPr>
        <w:tab/>
      </w: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8"/>
          <w:szCs w:val="18"/>
        </w:rPr>
      </w:pPr>
      <w:r w:rsidRPr="00BB2765">
        <w:rPr>
          <w:rFonts w:ascii="Arial" w:hAnsi="Arial"/>
          <w:sz w:val="18"/>
          <w:szCs w:val="18"/>
        </w:rPr>
        <w:t>Study Area:</w:t>
      </w:r>
      <w:r w:rsidRPr="00BB2765">
        <w:rPr>
          <w:rFonts w:ascii="Arial" w:hAnsi="Arial"/>
          <w:sz w:val="18"/>
          <w:szCs w:val="18"/>
        </w:rPr>
        <w:tab/>
        <w:t>Arizona</w:t>
      </w:r>
      <w:r w:rsidRPr="00BB2765">
        <w:rPr>
          <w:rFonts w:ascii="Arial" w:hAnsi="Arial"/>
          <w:sz w:val="18"/>
          <w:szCs w:val="18"/>
        </w:rPr>
        <w:tab/>
      </w:r>
      <w:r w:rsidRPr="00BB2765">
        <w:rPr>
          <w:rFonts w:ascii="Arial" w:hAnsi="Arial"/>
          <w:sz w:val="18"/>
          <w:szCs w:val="18"/>
        </w:rPr>
        <w:tab/>
      </w:r>
      <w:r w:rsidRPr="00BB2765">
        <w:rPr>
          <w:rFonts w:ascii="Arial" w:hAnsi="Arial"/>
          <w:sz w:val="18"/>
          <w:szCs w:val="18"/>
        </w:rPr>
        <w:tab/>
      </w:r>
      <w:r>
        <w:rPr>
          <w:rFonts w:ascii="Arial" w:hAnsi="Arial"/>
          <w:sz w:val="18"/>
          <w:szCs w:val="18"/>
        </w:rPr>
        <w:tab/>
      </w:r>
      <w:r w:rsidRPr="00BB2765">
        <w:rPr>
          <w:rFonts w:ascii="Arial" w:hAnsi="Arial"/>
          <w:sz w:val="18"/>
          <w:szCs w:val="18"/>
        </w:rPr>
        <w:t>Submission #</w:t>
      </w: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szCs w:val="18"/>
        </w:rPr>
      </w:pPr>
      <w:r w:rsidRPr="00BB2765">
        <w:rPr>
          <w:rFonts w:ascii="Arial" w:hAnsi="Arial"/>
          <w:sz w:val="18"/>
          <w:szCs w:val="18"/>
        </w:rPr>
        <w:t>Period:</w:t>
      </w:r>
      <w:r w:rsidRPr="00BB2765">
        <w:rPr>
          <w:rFonts w:ascii="Arial" w:hAnsi="Arial"/>
          <w:sz w:val="18"/>
          <w:szCs w:val="18"/>
        </w:rPr>
        <w:tab/>
      </w:r>
      <w:r w:rsidRPr="00BB2765">
        <w:rPr>
          <w:rFonts w:ascii="Arial" w:hAnsi="Arial"/>
          <w:sz w:val="18"/>
          <w:szCs w:val="18"/>
        </w:rPr>
        <w:tab/>
        <w:t xml:space="preserve">From: </w:t>
      </w:r>
      <w:r w:rsidRPr="00BB2765">
        <w:rPr>
          <w:rFonts w:ascii="Arial" w:hAnsi="Arial"/>
          <w:sz w:val="18"/>
          <w:szCs w:val="18"/>
        </w:rPr>
        <w:t>mmmyyyy</w:t>
      </w:r>
      <w:r w:rsidRPr="00BB2765">
        <w:rPr>
          <w:rFonts w:ascii="Arial" w:hAnsi="Arial"/>
          <w:sz w:val="18"/>
          <w:szCs w:val="18"/>
        </w:rPr>
        <w:t xml:space="preserve"> To: </w:t>
      </w:r>
      <w:r w:rsidRPr="00BB2765">
        <w:rPr>
          <w:rFonts w:ascii="Arial" w:hAnsi="Arial"/>
          <w:sz w:val="18"/>
          <w:szCs w:val="18"/>
        </w:rPr>
        <w:t>mmmyyyy</w:t>
      </w:r>
    </w:p>
    <w:p w:rsidR="00133457" w:rsidRPr="00BB2765"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szCs w:val="18"/>
        </w:rPr>
      </w:pPr>
      <w:r w:rsidRPr="00BB2765">
        <w:rPr>
          <w:rFonts w:ascii="Arial" w:hAnsi="Arial"/>
          <w:sz w:val="18"/>
          <w:szCs w:val="18"/>
        </w:rPr>
        <w:t>COSA:</w:t>
      </w:r>
      <w:r w:rsidRPr="00BB2765">
        <w:rPr>
          <w:rFonts w:ascii="Arial" w:hAnsi="Arial"/>
          <w:sz w:val="18"/>
          <w:szCs w:val="18"/>
        </w:rPr>
        <w:tab/>
      </w:r>
      <w:r w:rsidRPr="00BB2765">
        <w:rPr>
          <w:rFonts w:ascii="Arial" w:hAnsi="Arial"/>
          <w:sz w:val="18"/>
          <w:szCs w:val="18"/>
        </w:rPr>
        <w:tab/>
        <w:t>XYAZ</w:t>
      </w:r>
      <w:r w:rsidRPr="00BB2765">
        <w:rPr>
          <w:rFonts w:ascii="Arial" w:hAnsi="Arial"/>
          <w:sz w:val="18"/>
          <w:szCs w:val="18"/>
        </w:rPr>
        <w:tab/>
      </w:r>
      <w:r w:rsidRPr="00BB2765">
        <w:rPr>
          <w:rFonts w:ascii="Arial" w:hAnsi="Arial"/>
          <w:sz w:val="18"/>
          <w:szCs w:val="18"/>
        </w:rPr>
        <w:tab/>
      </w:r>
      <w:r w:rsidRPr="00BB2765">
        <w:rPr>
          <w:rFonts w:ascii="Arial" w:hAnsi="Arial"/>
          <w:sz w:val="18"/>
          <w:szCs w:val="18"/>
        </w:rPr>
        <w:tab/>
        <w:t>Table II</w:t>
      </w:r>
    </w:p>
    <w:p w:rsidR="00133457">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Page 1 of 1</w:t>
      </w:r>
    </w:p>
    <w:p w:rsidR="00133457">
      <w:pPr>
        <w:pStyle w:val="header2"/>
        <w:tabs>
          <w:tab w:val="clear" w:pos="1440"/>
          <w:tab w:val="clear" w:pos="4320"/>
          <w:tab w:val="clear" w:pos="8640"/>
        </w:tabs>
        <w:suppressAutoHyphens w:val="0"/>
        <w:rPr>
          <w:rFonts w:ascii="Arial" w:hAnsi="Arial"/>
          <w:sz w:val="18"/>
        </w:rPr>
      </w:pPr>
    </w:p>
    <w:p w:rsidR="00133457">
      <w:pPr>
        <w:pStyle w:val="header2"/>
        <w:tabs>
          <w:tab w:val="clear" w:pos="1440"/>
          <w:tab w:val="clear" w:pos="4320"/>
          <w:tab w:val="clear" w:pos="8640"/>
        </w:tabs>
        <w:suppressAutoHyphens w:val="0"/>
        <w:outlineLvl w:val="0"/>
        <w:rPr>
          <w:rFonts w:ascii="Arial" w:hAnsi="Arial"/>
          <w:sz w:val="20"/>
        </w:rPr>
      </w:pPr>
      <w:r>
        <w:rPr>
          <w:rFonts w:ascii="Arial" w:hAnsi="Arial"/>
          <w:sz w:val="20"/>
        </w:rPr>
        <w:t xml:space="preserve">TABLE II – DEMAND ANALYSIS </w:t>
      </w:r>
    </w:p>
    <w:p w:rsidR="00133457">
      <w:pPr>
        <w:tabs>
          <w:tab w:val="left" w:pos="-1080"/>
          <w:tab w:val="left" w:pos="-720"/>
          <w:tab w:val="left" w:pos="0"/>
          <w:tab w:val="left" w:pos="360"/>
          <w:tab w:val="left" w:pos="720"/>
          <w:tab w:val="left" w:pos="1080"/>
          <w:tab w:val="left" w:pos="1440"/>
          <w:tab w:val="left" w:pos="1800"/>
          <w:tab w:val="left" w:pos="2160"/>
        </w:tabs>
        <w:suppressAutoHyphens/>
        <w:jc w:val="center"/>
        <w:rPr>
          <w:rFonts w:ascii="Arial" w:hAnsi="Arial"/>
          <w:color w:val="000000"/>
          <w:sz w:val="18"/>
        </w:rPr>
      </w:pPr>
      <w:r>
        <w:rPr>
          <w:rFonts w:ascii="Arial" w:hAnsi="Arial"/>
          <w:color w:val="000000"/>
          <w:sz w:val="18"/>
        </w:rPr>
        <w:t xml:space="preserve"> (Minutes in thousands, Lines in whole numbers)</w:t>
      </w:r>
    </w:p>
    <w:p w:rsidR="00133457">
      <w:pPr>
        <w:tabs>
          <w:tab w:val="left" w:pos="-1080"/>
          <w:tab w:val="left" w:pos="-720"/>
          <w:tab w:val="left" w:pos="0"/>
          <w:tab w:val="left" w:pos="360"/>
          <w:tab w:val="left" w:pos="720"/>
          <w:tab w:val="left" w:pos="1080"/>
          <w:tab w:val="left" w:pos="1440"/>
          <w:tab w:val="left" w:pos="1800"/>
          <w:tab w:val="left" w:pos="2160"/>
        </w:tabs>
        <w:suppressAutoHyphens/>
        <w:jc w:val="center"/>
        <w:rPr>
          <w:rFonts w:ascii="Arial" w:hAnsi="Arial"/>
          <w:sz w:val="18"/>
        </w:rPr>
      </w:pPr>
      <w:r>
        <w:rPr>
          <w:rFonts w:ascii="Arial" w:hAnsi="Arial"/>
          <w:sz w:val="18"/>
        </w:rPr>
        <w:t>END OF YEAR VIEW</w:t>
      </w:r>
    </w:p>
    <w:tbl>
      <w:tblPr>
        <w:tblW w:w="0" w:type="auto"/>
        <w:tblInd w:w="660" w:type="dxa"/>
        <w:tblLayout w:type="fixed"/>
        <w:tblCellMar>
          <w:left w:w="30" w:type="dxa"/>
          <w:right w:w="30" w:type="dxa"/>
        </w:tblCellMar>
        <w:tblLook w:val="0000"/>
      </w:tblPr>
      <w:tblGrid>
        <w:gridCol w:w="900"/>
        <w:gridCol w:w="6300"/>
        <w:gridCol w:w="1080"/>
        <w:gridCol w:w="285"/>
      </w:tblGrid>
      <w:tr>
        <w:tblPrEx>
          <w:tblW w:w="0" w:type="auto"/>
          <w:tblInd w:w="660" w:type="dxa"/>
          <w:tblLayout w:type="fixed"/>
          <w:tblCellMar>
            <w:left w:w="30" w:type="dxa"/>
            <w:right w:w="30" w:type="dxa"/>
          </w:tblCellMar>
          <w:tblLook w:val="0000"/>
        </w:tblPrEx>
        <w:trPr>
          <w:trHeight w:val="262"/>
        </w:trPr>
        <w:tc>
          <w:tcPr>
            <w:tcW w:w="900" w:type="dxa"/>
            <w:shd w:val="solid" w:color="FFFFFF" w:fill="FFFFFF"/>
          </w:tcPr>
          <w:p w:rsidR="00133457">
            <w:pPr>
              <w:jc w:val="center"/>
              <w:rPr>
                <w:rFonts w:ascii="MS Sans Serif" w:hAnsi="MS Sans Serif"/>
                <w:color w:val="000000"/>
              </w:rPr>
            </w:pPr>
          </w:p>
        </w:tc>
        <w:tc>
          <w:tcPr>
            <w:tcW w:w="6300" w:type="dxa"/>
            <w:shd w:val="solid" w:color="FFFFFF" w:fill="FFFFFF"/>
          </w:tcPr>
          <w:p w:rsidR="00133457">
            <w:pPr>
              <w:jc w:val="right"/>
              <w:rPr>
                <w:rFonts w:ascii="MS Sans Serif" w:hAnsi="MS Sans Serif"/>
                <w:color w:val="000000"/>
              </w:rPr>
            </w:pPr>
          </w:p>
        </w:tc>
        <w:tc>
          <w:tcPr>
            <w:tcW w:w="1080" w:type="dxa"/>
            <w:shd w:val="solid" w:color="FFFFFF" w:fill="FFFFFF"/>
          </w:tcPr>
          <w:p w:rsidR="00133457">
            <w:pPr>
              <w:jc w:val="right"/>
              <w:rPr>
                <w:rFonts w:ascii="MS Sans Serif" w:hAnsi="MS Sans Serif"/>
                <w:color w:val="000000"/>
              </w:rPr>
            </w:pPr>
          </w:p>
        </w:tc>
        <w:tc>
          <w:tcPr>
            <w:tcW w:w="285" w:type="dxa"/>
            <w:shd w:val="solid" w:color="FFFFFF" w:fill="FFFFFF"/>
          </w:tcPr>
          <w:p w:rsidR="00133457">
            <w:pPr>
              <w:jc w:val="right"/>
              <w:rPr>
                <w:rFonts w:ascii="MS Sans Serif" w:hAnsi="MS Sans Serif"/>
                <w:color w:val="000000"/>
              </w:rPr>
            </w:pPr>
          </w:p>
        </w:tc>
      </w:tr>
      <w:tr>
        <w:tblPrEx>
          <w:tblW w:w="0" w:type="auto"/>
          <w:tblInd w:w="660" w:type="dxa"/>
          <w:tblLayout w:type="fixed"/>
          <w:tblCellMar>
            <w:left w:w="30" w:type="dxa"/>
            <w:right w:w="30" w:type="dxa"/>
          </w:tblCellMar>
          <w:tblLook w:val="0000"/>
        </w:tblPrEx>
        <w:trPr>
          <w:trHeight w:val="262"/>
        </w:trPr>
        <w:tc>
          <w:tcPr>
            <w:tcW w:w="900" w:type="dxa"/>
            <w:tcBorders>
              <w:top w:val="single" w:sz="6" w:space="0" w:color="auto"/>
              <w:left w:val="single" w:sz="6" w:space="0" w:color="auto"/>
              <w:right w:val="single" w:sz="4" w:space="0" w:color="auto"/>
            </w:tcBorders>
            <w:shd w:val="solid" w:color="FFFFFF" w:fill="FFFFFF"/>
          </w:tcPr>
          <w:p w:rsidR="00133457">
            <w:pPr>
              <w:jc w:val="center"/>
              <w:rPr>
                <w:rFonts w:ascii="Arial" w:hAnsi="Arial"/>
                <w:color w:val="000000"/>
                <w:sz w:val="20"/>
              </w:rPr>
            </w:pPr>
            <w:r>
              <w:rPr>
                <w:rFonts w:ascii="Arial" w:hAnsi="Arial"/>
                <w:color w:val="000000"/>
                <w:sz w:val="20"/>
              </w:rPr>
              <w:t>Row</w:t>
            </w:r>
          </w:p>
        </w:tc>
        <w:tc>
          <w:tcPr>
            <w:tcW w:w="6300" w:type="dxa"/>
            <w:tcBorders>
              <w:top w:val="single" w:sz="6" w:space="0" w:color="auto"/>
              <w:left w:val="nil"/>
            </w:tcBorders>
            <w:shd w:val="solid" w:color="FFFFFF" w:fill="FFFFFF"/>
          </w:tcPr>
          <w:p w:rsidR="00133457">
            <w:pPr>
              <w:jc w:val="center"/>
              <w:rPr>
                <w:rFonts w:ascii="Arial" w:hAnsi="Arial"/>
                <w:color w:val="000000"/>
                <w:sz w:val="20"/>
              </w:rPr>
            </w:pPr>
            <w:r>
              <w:rPr>
                <w:rFonts w:ascii="Arial" w:hAnsi="Arial"/>
                <w:color w:val="000000"/>
                <w:sz w:val="20"/>
              </w:rPr>
              <w:t>Classification</w:t>
            </w:r>
          </w:p>
        </w:tc>
        <w:tc>
          <w:tcPr>
            <w:tcW w:w="1080" w:type="dxa"/>
            <w:tcBorders>
              <w:top w:val="single" w:sz="6" w:space="0" w:color="auto"/>
              <w:left w:val="single" w:sz="4" w:space="0" w:color="auto"/>
              <w:right w:val="single" w:sz="6" w:space="0" w:color="auto"/>
            </w:tcBorders>
            <w:shd w:val="solid" w:color="FFFFFF" w:fill="FFFFFF"/>
          </w:tcPr>
          <w:p w:rsidR="00133457">
            <w:pPr>
              <w:jc w:val="center"/>
              <w:rPr>
                <w:rFonts w:ascii="Arial" w:hAnsi="Arial"/>
                <w:color w:val="000000"/>
                <w:sz w:val="20"/>
              </w:rPr>
            </w:pPr>
            <w:r>
              <w:rPr>
                <w:rFonts w:ascii="Arial" w:hAnsi="Arial"/>
                <w:color w:val="000000"/>
                <w:sz w:val="20"/>
              </w:rPr>
              <w:t>Annual</w:t>
            </w: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bottom w:val="single" w:sz="6" w:space="0" w:color="auto"/>
              <w:right w:val="single" w:sz="4" w:space="0" w:color="auto"/>
            </w:tcBorders>
            <w:shd w:val="solid" w:color="FFFFFF" w:fill="FFFFFF"/>
          </w:tcPr>
          <w:p w:rsidR="00133457">
            <w:pPr>
              <w:jc w:val="center"/>
              <w:rPr>
                <w:rFonts w:ascii="Arial" w:hAnsi="Arial"/>
                <w:color w:val="000000"/>
                <w:sz w:val="20"/>
              </w:rPr>
            </w:pPr>
          </w:p>
        </w:tc>
        <w:tc>
          <w:tcPr>
            <w:tcW w:w="6300" w:type="dxa"/>
            <w:tcBorders>
              <w:left w:val="nil"/>
              <w:bottom w:val="single" w:sz="6" w:space="0" w:color="auto"/>
            </w:tcBorders>
            <w:shd w:val="solid" w:color="FFFFFF" w:fill="FFFFFF"/>
          </w:tcPr>
          <w:p w:rsidR="00133457">
            <w:pPr>
              <w:jc w:val="center"/>
              <w:rPr>
                <w:rFonts w:ascii="Arial" w:hAnsi="Arial"/>
                <w:color w:val="000000"/>
                <w:sz w:val="20"/>
              </w:rPr>
            </w:pPr>
            <w:r>
              <w:rPr>
                <w:rFonts w:ascii="Arial" w:hAnsi="Arial"/>
                <w:color w:val="000000"/>
                <w:sz w:val="20"/>
              </w:rPr>
              <w:t>(a)</w:t>
            </w:r>
          </w:p>
        </w:tc>
        <w:tc>
          <w:tcPr>
            <w:tcW w:w="1080" w:type="dxa"/>
            <w:tcBorders>
              <w:left w:val="single" w:sz="4" w:space="0" w:color="auto"/>
              <w:bottom w:val="single" w:sz="6" w:space="0" w:color="auto"/>
              <w:right w:val="single" w:sz="6" w:space="0" w:color="auto"/>
            </w:tcBorders>
            <w:shd w:val="solid" w:color="FFFFFF" w:fill="FFFFFF"/>
          </w:tcPr>
          <w:p w:rsidR="00133457">
            <w:pPr>
              <w:jc w:val="center"/>
              <w:rPr>
                <w:rFonts w:ascii="Arial" w:hAnsi="Arial"/>
                <w:color w:val="000000"/>
                <w:sz w:val="20"/>
              </w:rPr>
            </w:pPr>
            <w:r>
              <w:rPr>
                <w:rFonts w:ascii="Arial" w:hAnsi="Arial"/>
                <w:color w:val="000000"/>
                <w:sz w:val="20"/>
              </w:rPr>
              <w:t>(bb)</w:t>
            </w: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tcBorders>
            <w:shd w:val="solid" w:color="FFFFFF" w:fill="FFFFFF"/>
          </w:tcPr>
          <w:p w:rsidR="00133457">
            <w:pPr>
              <w:jc w:val="center"/>
              <w:rPr>
                <w:rFonts w:ascii="Arial" w:hAnsi="Arial"/>
                <w:color w:val="000000"/>
                <w:sz w:val="20"/>
              </w:rPr>
            </w:pPr>
          </w:p>
        </w:tc>
        <w:tc>
          <w:tcPr>
            <w:tcW w:w="6300" w:type="dxa"/>
            <w:shd w:val="solid" w:color="FFFFFF" w:fill="FFFFFF"/>
          </w:tcPr>
          <w:p w:rsidR="00133457">
            <w:pPr>
              <w:jc w:val="right"/>
              <w:rPr>
                <w:rFonts w:ascii="Arial" w:hAnsi="Arial"/>
                <w:color w:val="000000"/>
                <w:sz w:val="20"/>
              </w:rPr>
            </w:pPr>
          </w:p>
        </w:tc>
        <w:tc>
          <w:tcPr>
            <w:tcW w:w="1080" w:type="dxa"/>
            <w:tcBorders>
              <w:right w:val="single" w:sz="6" w:space="0" w:color="auto"/>
            </w:tcBorders>
            <w:shd w:val="solid" w:color="FFFFFF" w:fill="FFFFFF"/>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cantSplit/>
          <w:trHeight w:val="240"/>
        </w:trPr>
        <w:tc>
          <w:tcPr>
            <w:tcW w:w="900" w:type="dxa"/>
            <w:tcBorders>
              <w:left w:val="single" w:sz="6" w:space="0" w:color="auto"/>
            </w:tcBorders>
          </w:tcPr>
          <w:p w:rsidR="00133457">
            <w:pPr>
              <w:jc w:val="center"/>
              <w:rPr>
                <w:rFonts w:ascii="Arial" w:hAnsi="Arial"/>
                <w:color w:val="000000"/>
                <w:sz w:val="20"/>
              </w:rPr>
            </w:pPr>
          </w:p>
        </w:tc>
        <w:tc>
          <w:tcPr>
            <w:tcW w:w="6300" w:type="dxa"/>
            <w:shd w:val="solid" w:color="FFFFFF" w:fill="FFFFFF"/>
          </w:tcPr>
          <w:p w:rsidR="00133457">
            <w:pPr>
              <w:rPr>
                <w:rFonts w:ascii="Arial" w:hAnsi="Arial"/>
                <w:b/>
                <w:color w:val="000000"/>
                <w:sz w:val="20"/>
              </w:rPr>
            </w:pPr>
            <w:r>
              <w:rPr>
                <w:rFonts w:ascii="Arial" w:hAnsi="Arial"/>
                <w:b/>
                <w:color w:val="000000"/>
                <w:sz w:val="20"/>
              </w:rPr>
              <w:t>SWITCHED TRAFFIC SENS. DEMAND-MOU</w:t>
            </w:r>
          </w:p>
        </w:tc>
        <w:tc>
          <w:tcPr>
            <w:tcW w:w="1080" w:type="dxa"/>
            <w:tcBorders>
              <w:right w:val="single" w:sz="6" w:space="0" w:color="auto"/>
            </w:tcBorders>
            <w:shd w:val="solid" w:color="FFFFFF" w:fill="FFFFFF"/>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40"/>
        </w:trPr>
        <w:tc>
          <w:tcPr>
            <w:tcW w:w="900" w:type="dxa"/>
            <w:tcBorders>
              <w:left w:val="single" w:sz="6" w:space="0" w:color="auto"/>
            </w:tcBorders>
            <w:shd w:val="solid" w:color="FFFFFF" w:fill="FFFFFF"/>
          </w:tcPr>
          <w:p w:rsidR="00133457">
            <w:pPr>
              <w:jc w:val="center"/>
              <w:rPr>
                <w:rFonts w:ascii="Arial" w:hAnsi="Arial"/>
                <w:color w:val="000000"/>
                <w:sz w:val="20"/>
              </w:rPr>
            </w:pPr>
          </w:p>
        </w:tc>
        <w:tc>
          <w:tcPr>
            <w:tcW w:w="6300" w:type="dxa"/>
            <w:shd w:val="solid" w:color="FFFFFF" w:fill="FFFFFF"/>
          </w:tcPr>
          <w:p w:rsidR="00133457">
            <w:pPr>
              <w:jc w:val="right"/>
              <w:rPr>
                <w:rFonts w:ascii="Arial" w:hAnsi="Arial"/>
                <w:color w:val="000000"/>
                <w:sz w:val="20"/>
              </w:rPr>
            </w:pPr>
          </w:p>
        </w:tc>
        <w:tc>
          <w:tcPr>
            <w:tcW w:w="1080" w:type="dxa"/>
            <w:tcBorders>
              <w:right w:val="single" w:sz="6" w:space="0" w:color="auto"/>
            </w:tcBorders>
            <w:shd w:val="solid" w:color="FFFFFF" w:fill="FFFFFF"/>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2050</w:t>
            </w:r>
          </w:p>
        </w:tc>
        <w:tc>
          <w:tcPr>
            <w:tcW w:w="6300" w:type="dxa"/>
            <w:tcBorders>
              <w:bottom w:val="single" w:sz="6" w:space="0" w:color="auto"/>
            </w:tcBorders>
          </w:tcPr>
          <w:p w:rsidR="00133457">
            <w:pPr>
              <w:rPr>
                <w:rFonts w:ascii="Arial" w:hAnsi="Arial"/>
                <w:color w:val="000000"/>
                <w:sz w:val="20"/>
              </w:rPr>
            </w:pPr>
            <w:r>
              <w:rPr>
                <w:rFonts w:ascii="Arial" w:hAnsi="Arial"/>
                <w:color w:val="000000"/>
                <w:sz w:val="20"/>
              </w:rPr>
              <w:t>Premium</w:t>
            </w:r>
          </w:p>
        </w:tc>
        <w:tc>
          <w:tcPr>
            <w:tcW w:w="1080" w:type="dxa"/>
            <w:tcBorders>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2060</w:t>
            </w:r>
          </w:p>
        </w:tc>
        <w:tc>
          <w:tcPr>
            <w:tcW w:w="6300" w:type="dxa"/>
            <w:tcBorders>
              <w:bottom w:val="single" w:sz="6" w:space="0" w:color="auto"/>
            </w:tcBorders>
          </w:tcPr>
          <w:p w:rsidR="00133457">
            <w:pPr>
              <w:rPr>
                <w:rFonts w:ascii="Arial" w:hAnsi="Arial"/>
                <w:color w:val="000000"/>
                <w:sz w:val="20"/>
              </w:rPr>
            </w:pPr>
            <w:r>
              <w:rPr>
                <w:rFonts w:ascii="Arial" w:hAnsi="Arial"/>
                <w:color w:val="000000"/>
                <w:sz w:val="20"/>
              </w:rPr>
              <w:t>Non-Premium</w:t>
            </w:r>
          </w:p>
        </w:tc>
        <w:tc>
          <w:tcPr>
            <w:tcW w:w="1080" w:type="dxa"/>
            <w:tcBorders>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tcBorders>
            <w:shd w:val="solid" w:color="FFFFFF" w:fill="FFFFFF"/>
          </w:tcPr>
          <w:p w:rsidR="00133457">
            <w:pPr>
              <w:jc w:val="center"/>
              <w:rPr>
                <w:rFonts w:ascii="Arial" w:hAnsi="Arial"/>
                <w:color w:val="000000"/>
                <w:sz w:val="20"/>
              </w:rPr>
            </w:pPr>
          </w:p>
        </w:tc>
        <w:tc>
          <w:tcPr>
            <w:tcW w:w="6300" w:type="dxa"/>
            <w:shd w:val="solid" w:color="FFFFFF" w:fill="FFFFFF"/>
          </w:tcPr>
          <w:p w:rsidR="00133457">
            <w:pPr>
              <w:jc w:val="right"/>
              <w:rPr>
                <w:rFonts w:ascii="Arial" w:hAnsi="Arial"/>
                <w:color w:val="000000"/>
                <w:sz w:val="20"/>
              </w:rPr>
            </w:pPr>
          </w:p>
        </w:tc>
        <w:tc>
          <w:tcPr>
            <w:tcW w:w="1080" w:type="dxa"/>
            <w:tcBorders>
              <w:right w:val="single" w:sz="6" w:space="0" w:color="auto"/>
            </w:tcBorders>
            <w:shd w:val="solid" w:color="FFFFFF" w:fill="FFFFFF"/>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tcBorders>
          </w:tcPr>
          <w:p w:rsidR="00133457">
            <w:pPr>
              <w:jc w:val="center"/>
              <w:rPr>
                <w:rFonts w:ascii="Arial" w:hAnsi="Arial"/>
                <w:color w:val="000000"/>
                <w:sz w:val="20"/>
              </w:rPr>
            </w:pPr>
          </w:p>
        </w:tc>
        <w:tc>
          <w:tcPr>
            <w:tcW w:w="6300" w:type="dxa"/>
            <w:shd w:val="solid" w:color="FFFFFF" w:fill="FFFFFF"/>
          </w:tcPr>
          <w:p w:rsidR="00133457">
            <w:pPr>
              <w:rPr>
                <w:rFonts w:ascii="Arial" w:hAnsi="Arial"/>
                <w:b/>
                <w:color w:val="000000"/>
                <w:sz w:val="20"/>
              </w:rPr>
            </w:pPr>
            <w:r>
              <w:rPr>
                <w:rFonts w:ascii="Arial" w:hAnsi="Arial"/>
                <w:b/>
                <w:color w:val="000000"/>
                <w:sz w:val="20"/>
              </w:rPr>
              <w:t>COMMON LINE DEMAND - BILLABLE ACCESS LINES</w:t>
            </w:r>
          </w:p>
        </w:tc>
        <w:tc>
          <w:tcPr>
            <w:tcW w:w="1080" w:type="dxa"/>
            <w:tcBorders>
              <w:right w:val="single" w:sz="6" w:space="0" w:color="auto"/>
            </w:tcBorders>
            <w:shd w:val="solid" w:color="FFFFFF" w:fill="FFFFFF"/>
          </w:tcPr>
          <w:p w:rsidR="00133457">
            <w:pPr>
              <w:jc w:val="center"/>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tcBorders>
            <w:shd w:val="solid" w:color="FFFFFF" w:fill="FFFFFF"/>
          </w:tcPr>
          <w:p w:rsidR="00133457">
            <w:pPr>
              <w:jc w:val="center"/>
              <w:rPr>
                <w:rFonts w:ascii="Arial" w:hAnsi="Arial"/>
                <w:color w:val="000000"/>
                <w:sz w:val="20"/>
              </w:rPr>
            </w:pPr>
          </w:p>
        </w:tc>
        <w:tc>
          <w:tcPr>
            <w:tcW w:w="6300" w:type="dxa"/>
            <w:shd w:val="solid" w:color="FFFFFF" w:fill="FFFFFF"/>
          </w:tcPr>
          <w:p w:rsidR="00133457">
            <w:pPr>
              <w:jc w:val="right"/>
              <w:rPr>
                <w:rFonts w:ascii="Arial" w:hAnsi="Arial"/>
                <w:color w:val="000000"/>
                <w:sz w:val="20"/>
              </w:rPr>
            </w:pPr>
          </w:p>
        </w:tc>
        <w:tc>
          <w:tcPr>
            <w:tcW w:w="1080" w:type="dxa"/>
            <w:tcBorders>
              <w:right w:val="single" w:sz="6" w:space="0" w:color="auto"/>
            </w:tcBorders>
            <w:shd w:val="solid" w:color="FFFFFF" w:fill="FFFFFF"/>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2090</w:t>
            </w:r>
          </w:p>
        </w:tc>
        <w:tc>
          <w:tcPr>
            <w:tcW w:w="6300" w:type="dxa"/>
            <w:tcBorders>
              <w:bottom w:val="single" w:sz="6" w:space="0" w:color="auto"/>
            </w:tcBorders>
          </w:tcPr>
          <w:p w:rsidR="00133457">
            <w:pPr>
              <w:rPr>
                <w:rFonts w:ascii="Arial" w:hAnsi="Arial"/>
                <w:color w:val="000000"/>
                <w:sz w:val="20"/>
              </w:rPr>
            </w:pPr>
            <w:r>
              <w:rPr>
                <w:rFonts w:ascii="Arial" w:hAnsi="Arial"/>
                <w:color w:val="000000"/>
                <w:sz w:val="20"/>
              </w:rPr>
              <w:t>Single Line Business Access Lines</w:t>
            </w:r>
          </w:p>
        </w:tc>
        <w:tc>
          <w:tcPr>
            <w:tcW w:w="1080" w:type="dxa"/>
            <w:tcBorders>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top w:val="single" w:sz="6" w:space="0" w:color="auto"/>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2100</w:t>
            </w:r>
          </w:p>
        </w:tc>
        <w:tc>
          <w:tcPr>
            <w:tcW w:w="6300" w:type="dxa"/>
            <w:tcBorders>
              <w:top w:val="single" w:sz="6" w:space="0" w:color="auto"/>
              <w:bottom w:val="single" w:sz="6" w:space="0" w:color="auto"/>
            </w:tcBorders>
          </w:tcPr>
          <w:p w:rsidR="00133457">
            <w:pPr>
              <w:rPr>
                <w:rFonts w:ascii="Arial" w:hAnsi="Arial"/>
                <w:color w:val="000000"/>
                <w:sz w:val="20"/>
              </w:rPr>
            </w:pPr>
            <w:r>
              <w:rPr>
                <w:rFonts w:ascii="Arial" w:hAnsi="Arial"/>
                <w:color w:val="000000"/>
                <w:sz w:val="20"/>
              </w:rPr>
              <w:t>Residence Lifeline Access Lines</w:t>
            </w:r>
          </w:p>
        </w:tc>
        <w:tc>
          <w:tcPr>
            <w:tcW w:w="1080" w:type="dxa"/>
            <w:tcBorders>
              <w:top w:val="single" w:sz="6" w:space="0" w:color="auto"/>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top w:val="single" w:sz="6" w:space="0" w:color="auto"/>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2110</w:t>
            </w:r>
          </w:p>
        </w:tc>
        <w:tc>
          <w:tcPr>
            <w:tcW w:w="6300" w:type="dxa"/>
            <w:tcBorders>
              <w:top w:val="single" w:sz="6" w:space="0" w:color="auto"/>
              <w:bottom w:val="single" w:sz="6" w:space="0" w:color="auto"/>
            </w:tcBorders>
          </w:tcPr>
          <w:p w:rsidR="00133457">
            <w:pPr>
              <w:rPr>
                <w:rFonts w:ascii="Arial" w:hAnsi="Arial"/>
                <w:color w:val="000000"/>
                <w:sz w:val="20"/>
              </w:rPr>
            </w:pPr>
            <w:r>
              <w:rPr>
                <w:rFonts w:ascii="Arial" w:hAnsi="Arial"/>
                <w:color w:val="000000"/>
                <w:sz w:val="20"/>
              </w:rPr>
              <w:t>Residence Non-Lifeline Access Lines</w:t>
            </w:r>
          </w:p>
        </w:tc>
        <w:tc>
          <w:tcPr>
            <w:tcW w:w="1080" w:type="dxa"/>
            <w:tcBorders>
              <w:top w:val="single" w:sz="6" w:space="0" w:color="auto"/>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top w:val="single" w:sz="6" w:space="0" w:color="auto"/>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2120</w:t>
            </w:r>
          </w:p>
        </w:tc>
        <w:tc>
          <w:tcPr>
            <w:tcW w:w="6300" w:type="dxa"/>
            <w:tcBorders>
              <w:top w:val="single" w:sz="6" w:space="0" w:color="auto"/>
              <w:bottom w:val="single" w:sz="6" w:space="0" w:color="auto"/>
            </w:tcBorders>
          </w:tcPr>
          <w:p w:rsidR="00133457">
            <w:pPr>
              <w:rPr>
                <w:rFonts w:ascii="Arial" w:hAnsi="Arial"/>
                <w:color w:val="000000"/>
                <w:sz w:val="20"/>
              </w:rPr>
            </w:pPr>
            <w:r>
              <w:rPr>
                <w:rFonts w:ascii="Arial" w:hAnsi="Arial"/>
                <w:color w:val="000000"/>
                <w:sz w:val="20"/>
              </w:rPr>
              <w:t>Multi-line Business Access Lines</w:t>
            </w:r>
          </w:p>
        </w:tc>
        <w:tc>
          <w:tcPr>
            <w:tcW w:w="1080" w:type="dxa"/>
            <w:tcBorders>
              <w:top w:val="single" w:sz="6" w:space="0" w:color="auto"/>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262"/>
        </w:trPr>
        <w:tc>
          <w:tcPr>
            <w:tcW w:w="900" w:type="dxa"/>
            <w:tcBorders>
              <w:top w:val="single" w:sz="6" w:space="0" w:color="auto"/>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2140</w:t>
            </w:r>
          </w:p>
        </w:tc>
        <w:tc>
          <w:tcPr>
            <w:tcW w:w="6300" w:type="dxa"/>
            <w:tcBorders>
              <w:top w:val="single" w:sz="6" w:space="0" w:color="auto"/>
              <w:bottom w:val="single" w:sz="6" w:space="0" w:color="auto"/>
            </w:tcBorders>
          </w:tcPr>
          <w:p w:rsidR="00133457">
            <w:pPr>
              <w:rPr>
                <w:rFonts w:ascii="Arial" w:hAnsi="Arial"/>
                <w:color w:val="000000"/>
                <w:sz w:val="20"/>
              </w:rPr>
            </w:pPr>
            <w:r>
              <w:rPr>
                <w:rFonts w:ascii="Arial" w:hAnsi="Arial"/>
                <w:color w:val="000000"/>
                <w:sz w:val="20"/>
              </w:rPr>
              <w:t>Access Lines Subject To A Special Access Surcharge</w:t>
            </w:r>
          </w:p>
        </w:tc>
        <w:tc>
          <w:tcPr>
            <w:tcW w:w="1080" w:type="dxa"/>
            <w:tcBorders>
              <w:top w:val="single" w:sz="6" w:space="0" w:color="auto"/>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r>
        <w:tblPrEx>
          <w:tblW w:w="0" w:type="auto"/>
          <w:tblInd w:w="660" w:type="dxa"/>
          <w:tblLayout w:type="fixed"/>
          <w:tblCellMar>
            <w:left w:w="30" w:type="dxa"/>
            <w:right w:w="30" w:type="dxa"/>
          </w:tblCellMar>
          <w:tblLook w:val="0000"/>
        </w:tblPrEx>
        <w:trPr>
          <w:trHeight w:val="322"/>
        </w:trPr>
        <w:tc>
          <w:tcPr>
            <w:tcW w:w="900" w:type="dxa"/>
            <w:tcBorders>
              <w:top w:val="single" w:sz="6" w:space="0" w:color="auto"/>
              <w:left w:val="single" w:sz="6" w:space="0" w:color="auto"/>
              <w:bottom w:val="single" w:sz="6" w:space="0" w:color="auto"/>
              <w:right w:val="single" w:sz="6" w:space="0" w:color="auto"/>
            </w:tcBorders>
          </w:tcPr>
          <w:p w:rsidR="00133457">
            <w:pPr>
              <w:jc w:val="center"/>
              <w:rPr>
                <w:rFonts w:ascii="Arial" w:hAnsi="Arial"/>
                <w:color w:val="000000"/>
                <w:sz w:val="20"/>
              </w:rPr>
            </w:pPr>
            <w:r>
              <w:rPr>
                <w:rFonts w:ascii="Arial" w:hAnsi="Arial"/>
                <w:color w:val="000000"/>
                <w:sz w:val="20"/>
              </w:rPr>
              <w:t>2150</w:t>
            </w:r>
          </w:p>
        </w:tc>
        <w:tc>
          <w:tcPr>
            <w:tcW w:w="6300" w:type="dxa"/>
            <w:tcBorders>
              <w:bottom w:val="single" w:sz="6" w:space="0" w:color="auto"/>
            </w:tcBorders>
            <w:shd w:val="solid" w:color="FFFFFF" w:fill="FFFFFF"/>
          </w:tcPr>
          <w:p w:rsidR="00133457">
            <w:pPr>
              <w:rPr>
                <w:rFonts w:ascii="Arial" w:hAnsi="Arial"/>
                <w:color w:val="000000"/>
                <w:sz w:val="20"/>
              </w:rPr>
            </w:pPr>
            <w:r>
              <w:rPr>
                <w:rFonts w:ascii="Arial" w:hAnsi="Arial"/>
                <w:color w:val="000000"/>
                <w:sz w:val="20"/>
              </w:rPr>
              <w:t xml:space="preserve">     Total Billable Access Lines</w:t>
            </w:r>
          </w:p>
        </w:tc>
        <w:tc>
          <w:tcPr>
            <w:tcW w:w="1080" w:type="dxa"/>
            <w:tcBorders>
              <w:top w:val="single" w:sz="6" w:space="0" w:color="auto"/>
              <w:left w:val="single" w:sz="6" w:space="0" w:color="auto"/>
              <w:bottom w:val="single" w:sz="6" w:space="0" w:color="auto"/>
              <w:right w:val="single" w:sz="6" w:space="0" w:color="auto"/>
            </w:tcBorders>
          </w:tcPr>
          <w:p w:rsidR="00133457">
            <w:pPr>
              <w:jc w:val="right"/>
              <w:rPr>
                <w:rFonts w:ascii="Arial" w:hAnsi="Arial"/>
                <w:color w:val="000000"/>
                <w:sz w:val="20"/>
              </w:rPr>
            </w:pPr>
          </w:p>
        </w:tc>
        <w:tc>
          <w:tcPr>
            <w:tcW w:w="285" w:type="dxa"/>
            <w:shd w:val="solid" w:color="FFFFFF" w:fill="FFFFFF"/>
          </w:tcPr>
          <w:p w:rsidR="00133457">
            <w:pPr>
              <w:jc w:val="right"/>
              <w:rPr>
                <w:rFonts w:ascii="Arial" w:hAnsi="Arial"/>
                <w:color w:val="000000"/>
                <w:sz w:val="20"/>
              </w:rPr>
            </w:pPr>
          </w:p>
        </w:tc>
      </w:tr>
    </w:tbl>
    <w:p w:rsidR="00133457">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20"/>
        </w:rPr>
      </w:pPr>
    </w:p>
    <w:p w:rsidR="003F6950" w:rsidRPr="00BB2765" w:rsidP="005B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Arial" w:hAnsi="Arial" w:cs="Arial"/>
          <w:sz w:val="18"/>
          <w:szCs w:val="18"/>
        </w:rPr>
      </w:pPr>
      <w:r w:rsidRPr="006A4BB8">
        <w:rPr>
          <w:rFonts w:ascii="Arial" w:hAnsi="Arial" w:cs="Arial"/>
          <w:sz w:val="18"/>
          <w:szCs w:val="18"/>
          <w:u w:val="single"/>
        </w:rPr>
        <w:t>Footnotes</w:t>
      </w:r>
      <w:r w:rsidRPr="00B9317E">
        <w:rPr>
          <w:rFonts w:ascii="Arial" w:hAnsi="Arial" w:cs="Arial"/>
          <w:sz w:val="18"/>
          <w:szCs w:val="18"/>
        </w:rPr>
        <w:t xml:space="preserve">: </w:t>
      </w:r>
      <w:r w:rsidRPr="00B9317E">
        <w:rPr>
          <w:rFonts w:ascii="Arial" w:hAnsi="Arial" w:cs="Arial"/>
          <w:spacing w:val="-3"/>
          <w:sz w:val="18"/>
          <w:szCs w:val="18"/>
        </w:rPr>
        <w:t xml:space="preserve">Footnotes should appear at the </w:t>
      </w:r>
      <w:r>
        <w:rPr>
          <w:rFonts w:ascii="Arial" w:hAnsi="Arial" w:cs="Arial"/>
          <w:spacing w:val="-3"/>
          <w:sz w:val="18"/>
          <w:szCs w:val="18"/>
        </w:rPr>
        <w:t>bottom</w:t>
      </w:r>
      <w:r w:rsidRPr="00B9317E">
        <w:rPr>
          <w:rFonts w:ascii="Arial" w:hAnsi="Arial" w:cs="Arial"/>
          <w:spacing w:val="-3"/>
          <w:sz w:val="18"/>
          <w:szCs w:val="18"/>
        </w:rPr>
        <w:t xml:space="preserve"> of a table.  Use numerical superscripts to indicate a footnote.  If the footnote applies to a single data entry, place the superscript on the entry. If it applies to an entire row and or column, footnote the row or column header.  </w:t>
      </w:r>
      <w:r>
        <w:rPr>
          <w:rFonts w:ascii="Arial" w:hAnsi="Arial" w:cs="Arial"/>
          <w:spacing w:val="-3"/>
          <w:sz w:val="18"/>
          <w:szCs w:val="18"/>
        </w:rPr>
        <w:t>See the reporting procedures document for the use of footnotes when an erratum is required.</w:t>
      </w:r>
    </w:p>
    <w:p w:rsidR="0048710E" w:rsidRPr="00B9317E" w:rsidP="006A4BB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144"/>
        <w:rPr>
          <w:rFonts w:ascii="Arial" w:hAnsi="Arial" w:cs="Arial"/>
          <w:spacing w:val="-3"/>
          <w:sz w:val="18"/>
          <w:szCs w:val="18"/>
        </w:rPr>
      </w:pPr>
    </w:p>
    <w:p w:rsidR="00C64FFB" w:rsidP="001B5C03">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20"/>
        </w:rPr>
        <w:sectPr w:rsidSect="00B41A63">
          <w:endnotePr>
            <w:numFmt w:val="decimal"/>
          </w:endnotePr>
          <w:pgSz w:w="12240" w:h="15840"/>
          <w:pgMar w:top="1152" w:right="1440" w:bottom="900" w:left="1440" w:header="720" w:footer="720" w:gutter="0"/>
          <w:cols w:space="720"/>
          <w:noEndnote/>
        </w:sectPr>
      </w:pPr>
      <w:r>
        <w:rPr>
          <w:rFonts w:ascii="Arial" w:hAnsi="Arial"/>
          <w:sz w:val="20"/>
        </w:rPr>
        <w:br w:type="page"/>
      </w:r>
    </w:p>
    <w:p w:rsidR="00133457" w:rsidP="001B5C03">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8"/>
        </w:rPr>
      </w:pPr>
      <w:r>
        <w:rPr>
          <w:rFonts w:ascii="Arial" w:hAnsi="Arial"/>
          <w:sz w:val="18"/>
        </w:rPr>
        <w:t>FCC Report 43-01</w:t>
      </w:r>
    </w:p>
    <w:p w:rsidR="00133457">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8"/>
        </w:rPr>
      </w:pPr>
      <w:r>
        <w:rPr>
          <w:rFonts w:ascii="Arial" w:hAnsi="Arial"/>
          <w:sz w:val="18"/>
        </w:rPr>
        <w:t>ARMIS Annual Summary Report</w:t>
      </w:r>
    </w:p>
    <w:p w:rsidR="00133457">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18"/>
        </w:rPr>
      </w:pP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8"/>
          <w:szCs w:val="18"/>
        </w:rPr>
      </w:pPr>
      <w:r w:rsidRPr="00BB2765">
        <w:rPr>
          <w:rFonts w:ascii="Arial" w:hAnsi="Arial"/>
          <w:sz w:val="18"/>
          <w:szCs w:val="18"/>
        </w:rPr>
        <w:t>Company:</w:t>
      </w:r>
      <w:r w:rsidRPr="00BB2765">
        <w:rPr>
          <w:rFonts w:ascii="Arial" w:hAnsi="Arial"/>
          <w:sz w:val="18"/>
          <w:szCs w:val="18"/>
        </w:rPr>
        <w:tab/>
      </w:r>
      <w:r w:rsidRPr="00BB2765">
        <w:rPr>
          <w:rFonts w:ascii="Arial" w:hAnsi="Arial"/>
          <w:sz w:val="18"/>
          <w:szCs w:val="18"/>
        </w:rPr>
        <w:t>XYZ Telco</w:t>
      </w:r>
      <w:r w:rsidRPr="00BB2765">
        <w:rPr>
          <w:rFonts w:ascii="Arial" w:hAnsi="Arial"/>
          <w:sz w:val="18"/>
          <w:szCs w:val="18"/>
        </w:rPr>
        <w:tab/>
      </w: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8"/>
          <w:szCs w:val="18"/>
        </w:rPr>
      </w:pPr>
      <w:r w:rsidRPr="00BB2765">
        <w:rPr>
          <w:rFonts w:ascii="Arial" w:hAnsi="Arial"/>
          <w:sz w:val="18"/>
          <w:szCs w:val="18"/>
        </w:rPr>
        <w:t>Study Area:</w:t>
      </w:r>
      <w:r w:rsidRPr="00BB2765">
        <w:rPr>
          <w:rFonts w:ascii="Arial" w:hAnsi="Arial"/>
          <w:sz w:val="18"/>
          <w:szCs w:val="18"/>
        </w:rPr>
        <w:tab/>
        <w:t>Arizona</w:t>
      </w:r>
      <w:r w:rsidRPr="00BB2765">
        <w:rPr>
          <w:rFonts w:ascii="Arial" w:hAnsi="Arial"/>
          <w:sz w:val="18"/>
          <w:szCs w:val="18"/>
        </w:rPr>
        <w:tab/>
      </w:r>
      <w:r w:rsidRPr="00BB2765">
        <w:rPr>
          <w:rFonts w:ascii="Arial" w:hAnsi="Arial"/>
          <w:sz w:val="18"/>
          <w:szCs w:val="18"/>
        </w:rPr>
        <w:tab/>
      </w:r>
      <w:r w:rsidRPr="00BB2765">
        <w:rPr>
          <w:rFonts w:ascii="Arial" w:hAnsi="Arial"/>
          <w:sz w:val="18"/>
          <w:szCs w:val="18"/>
        </w:rPr>
        <w:tab/>
      </w:r>
      <w:r>
        <w:rPr>
          <w:rFonts w:ascii="Arial" w:hAnsi="Arial"/>
          <w:sz w:val="18"/>
          <w:szCs w:val="18"/>
        </w:rPr>
        <w:tab/>
      </w:r>
      <w:r w:rsidRPr="00BB2765">
        <w:rPr>
          <w:rFonts w:ascii="Arial" w:hAnsi="Arial"/>
          <w:sz w:val="18"/>
          <w:szCs w:val="18"/>
        </w:rPr>
        <w:t>Submission #</w:t>
      </w: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szCs w:val="18"/>
        </w:rPr>
      </w:pPr>
      <w:r w:rsidRPr="00BB2765">
        <w:rPr>
          <w:rFonts w:ascii="Arial" w:hAnsi="Arial"/>
          <w:sz w:val="18"/>
          <w:szCs w:val="18"/>
        </w:rPr>
        <w:t>Period:</w:t>
      </w:r>
      <w:r w:rsidRPr="00BB2765">
        <w:rPr>
          <w:rFonts w:ascii="Arial" w:hAnsi="Arial"/>
          <w:sz w:val="18"/>
          <w:szCs w:val="18"/>
        </w:rPr>
        <w:tab/>
      </w:r>
      <w:r w:rsidRPr="00BB2765">
        <w:rPr>
          <w:rFonts w:ascii="Arial" w:hAnsi="Arial"/>
          <w:sz w:val="18"/>
          <w:szCs w:val="18"/>
        </w:rPr>
        <w:tab/>
        <w:t xml:space="preserve">From: </w:t>
      </w:r>
      <w:r w:rsidRPr="00BB2765">
        <w:rPr>
          <w:rFonts w:ascii="Arial" w:hAnsi="Arial"/>
          <w:sz w:val="18"/>
          <w:szCs w:val="18"/>
        </w:rPr>
        <w:t>mmmyyyy</w:t>
      </w:r>
      <w:r w:rsidRPr="00BB2765">
        <w:rPr>
          <w:rFonts w:ascii="Arial" w:hAnsi="Arial"/>
          <w:sz w:val="18"/>
          <w:szCs w:val="18"/>
        </w:rPr>
        <w:t xml:space="preserve"> To: </w:t>
      </w:r>
      <w:r w:rsidRPr="00BB2765">
        <w:rPr>
          <w:rFonts w:ascii="Arial" w:hAnsi="Arial"/>
          <w:sz w:val="18"/>
          <w:szCs w:val="18"/>
        </w:rPr>
        <w:t>mmmyyyy</w:t>
      </w:r>
    </w:p>
    <w:p w:rsidR="00133457" w:rsidRPr="00BB2765"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szCs w:val="18"/>
        </w:rPr>
      </w:pPr>
      <w:r w:rsidRPr="00BB2765">
        <w:rPr>
          <w:rFonts w:ascii="Arial" w:hAnsi="Arial"/>
          <w:sz w:val="18"/>
          <w:szCs w:val="18"/>
        </w:rPr>
        <w:t>COSA:</w:t>
      </w:r>
      <w:r w:rsidRPr="00BB2765">
        <w:rPr>
          <w:rFonts w:ascii="Arial" w:hAnsi="Arial"/>
          <w:sz w:val="18"/>
          <w:szCs w:val="18"/>
        </w:rPr>
        <w:tab/>
      </w:r>
      <w:r w:rsidRPr="00BB2765">
        <w:rPr>
          <w:rFonts w:ascii="Arial" w:hAnsi="Arial"/>
          <w:sz w:val="18"/>
          <w:szCs w:val="18"/>
        </w:rPr>
        <w:tab/>
        <w:t>XYAZ</w:t>
      </w:r>
      <w:r w:rsidRPr="00BB2765">
        <w:rPr>
          <w:rFonts w:ascii="Arial" w:hAnsi="Arial"/>
          <w:sz w:val="18"/>
          <w:szCs w:val="18"/>
        </w:rPr>
        <w:tab/>
      </w:r>
      <w:r w:rsidRPr="00BB2765">
        <w:rPr>
          <w:rFonts w:ascii="Arial" w:hAnsi="Arial"/>
          <w:sz w:val="18"/>
          <w:szCs w:val="18"/>
        </w:rPr>
        <w:tab/>
      </w:r>
      <w:r w:rsidRPr="00BB2765">
        <w:rPr>
          <w:rFonts w:ascii="Arial" w:hAnsi="Arial"/>
          <w:sz w:val="18"/>
          <w:szCs w:val="18"/>
        </w:rPr>
        <w:tab/>
      </w:r>
      <w:r w:rsidRPr="00BB2765" w:rsidR="0048710E">
        <w:rPr>
          <w:rFonts w:ascii="Arial" w:hAnsi="Arial"/>
          <w:sz w:val="18"/>
          <w:szCs w:val="18"/>
        </w:rPr>
        <w:t>Page 1 of 1</w:t>
      </w:r>
    </w:p>
    <w:p w:rsidR="00133457">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133457">
      <w:pPr>
        <w:pStyle w:val="Heading1"/>
        <w:jc w:val="center"/>
        <w:rPr>
          <w:b/>
          <w:sz w:val="22"/>
          <w:u w:val="none"/>
        </w:rPr>
      </w:pPr>
      <w:r>
        <w:rPr>
          <w:b/>
          <w:sz w:val="22"/>
          <w:u w:val="none"/>
        </w:rPr>
        <w:t>TABLE III – POLE AND CONDUIT RENTAL CALCULATION INFORMATION</w:t>
      </w:r>
    </w:p>
    <w:p w:rsidR="00A04749" w:rsidP="00A04749">
      <w:pPr>
        <w:tabs>
          <w:tab w:val="left" w:pos="-1080"/>
          <w:tab w:val="left" w:pos="-720"/>
          <w:tab w:val="left" w:pos="0"/>
          <w:tab w:val="left" w:pos="360"/>
          <w:tab w:val="left" w:pos="720"/>
          <w:tab w:val="left" w:pos="1080"/>
          <w:tab w:val="left" w:pos="1440"/>
          <w:tab w:val="left" w:pos="1800"/>
          <w:tab w:val="left" w:pos="2160"/>
        </w:tabs>
        <w:suppressAutoHyphens/>
        <w:jc w:val="center"/>
        <w:rPr>
          <w:rFonts w:ascii="Arial" w:hAnsi="Arial"/>
          <w:color w:val="000000"/>
          <w:sz w:val="18"/>
        </w:rPr>
      </w:pPr>
      <w:r>
        <w:rPr>
          <w:rFonts w:ascii="Arial" w:hAnsi="Arial"/>
          <w:color w:val="000000"/>
          <w:sz w:val="18"/>
        </w:rPr>
        <w:t>(Dollars in thousands; Operating data in actual units)</w:t>
      </w:r>
    </w:p>
    <w:p w:rsidR="00133457">
      <w:pPr>
        <w:pStyle w:val="End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6030"/>
        <w:gridCol w:w="198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17" w:type="dxa"/>
          </w:tcPr>
          <w:p w:rsidR="00133457">
            <w:pPr>
              <w:jc w:val="center"/>
              <w:rPr>
                <w:rFonts w:ascii="Arial" w:hAnsi="Arial"/>
                <w:sz w:val="20"/>
              </w:rPr>
            </w:pPr>
            <w:r>
              <w:rPr>
                <w:rFonts w:ascii="Arial" w:hAnsi="Arial"/>
                <w:sz w:val="20"/>
              </w:rPr>
              <w:t>Row</w:t>
            </w:r>
          </w:p>
          <w:p w:rsidR="00133457">
            <w:pPr>
              <w:jc w:val="center"/>
              <w:rPr>
                <w:rFonts w:ascii="Arial" w:hAnsi="Arial"/>
                <w:sz w:val="20"/>
              </w:rPr>
            </w:pPr>
          </w:p>
        </w:tc>
        <w:tc>
          <w:tcPr>
            <w:tcW w:w="6030" w:type="dxa"/>
          </w:tcPr>
          <w:p w:rsidR="00133457">
            <w:pPr>
              <w:jc w:val="center"/>
              <w:rPr>
                <w:rFonts w:ascii="Arial" w:hAnsi="Arial"/>
                <w:sz w:val="20"/>
              </w:rPr>
            </w:pPr>
            <w:r>
              <w:rPr>
                <w:rFonts w:ascii="Arial" w:hAnsi="Arial"/>
                <w:sz w:val="20"/>
              </w:rPr>
              <w:t>Row Title</w:t>
            </w:r>
          </w:p>
          <w:p w:rsidR="00133457">
            <w:pPr>
              <w:jc w:val="center"/>
              <w:rPr>
                <w:rFonts w:ascii="Arial" w:hAnsi="Arial"/>
                <w:sz w:val="20"/>
              </w:rPr>
            </w:pPr>
            <w:r>
              <w:rPr>
                <w:rFonts w:ascii="Arial" w:hAnsi="Arial"/>
                <w:sz w:val="20"/>
              </w:rPr>
              <w:t>(a)</w:t>
            </w:r>
          </w:p>
        </w:tc>
        <w:tc>
          <w:tcPr>
            <w:tcW w:w="1980" w:type="dxa"/>
          </w:tcPr>
          <w:p w:rsidR="00133457">
            <w:pPr>
              <w:jc w:val="center"/>
              <w:rPr>
                <w:rFonts w:ascii="Arial" w:hAnsi="Arial"/>
                <w:sz w:val="20"/>
              </w:rPr>
            </w:pPr>
            <w:r>
              <w:rPr>
                <w:rFonts w:ascii="Arial" w:hAnsi="Arial"/>
                <w:sz w:val="20"/>
              </w:rPr>
              <w:t>Amount</w:t>
            </w:r>
          </w:p>
          <w:p w:rsidR="00133457">
            <w:pPr>
              <w:jc w:val="center"/>
              <w:rPr>
                <w:rFonts w:ascii="Arial" w:hAnsi="Arial"/>
                <w:sz w:val="20"/>
              </w:rPr>
            </w:pPr>
            <w:r>
              <w:rPr>
                <w:rFonts w:ascii="Arial" w:hAnsi="Arial"/>
                <w:sz w:val="20"/>
              </w:rPr>
              <w:t>(b)</w:t>
            </w:r>
          </w:p>
        </w:tc>
      </w:tr>
    </w:tbl>
    <w:p w:rsidR="00133457">
      <w:pPr>
        <w:pStyle w:val="Caption"/>
        <w:rPr>
          <w:rFonts w:ascii="Arial" w:hAnsi="Arial"/>
          <w:b/>
          <w:sz w:val="20"/>
        </w:rPr>
      </w:pPr>
      <w:r>
        <w:rPr>
          <w:rFonts w:ascii="Arial" w:hAnsi="Arial"/>
          <w:b/>
          <w:sz w:val="20"/>
        </w:rPr>
        <w:t xml:space="preserve">     Financial Information </w:t>
      </w:r>
      <w:r>
        <w:rPr>
          <w:rFonts w:ascii="Arial" w:hAnsi="Arial"/>
          <w:b/>
          <w:i/>
          <w:sz w:val="20"/>
        </w:rPr>
        <w:t>($000)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6021"/>
        <w:gridCol w:w="198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09" w:type="dxa"/>
          </w:tcPr>
          <w:p w:rsidR="00133457">
            <w:pPr>
              <w:jc w:val="center"/>
              <w:rPr>
                <w:rFonts w:ascii="Arial" w:hAnsi="Arial"/>
                <w:sz w:val="20"/>
              </w:rPr>
            </w:pPr>
            <w:r>
              <w:rPr>
                <w:rFonts w:ascii="Arial" w:hAnsi="Arial"/>
                <w:sz w:val="20"/>
              </w:rPr>
              <w:t>100</w:t>
            </w:r>
          </w:p>
        </w:tc>
        <w:tc>
          <w:tcPr>
            <w:tcW w:w="6021" w:type="dxa"/>
          </w:tcPr>
          <w:p w:rsidR="00133457">
            <w:pPr>
              <w:rPr>
                <w:rFonts w:ascii="Arial" w:hAnsi="Arial"/>
                <w:sz w:val="20"/>
              </w:rPr>
            </w:pPr>
            <w:r>
              <w:rPr>
                <w:rFonts w:ascii="Arial" w:hAnsi="Arial"/>
                <w:sz w:val="20"/>
              </w:rPr>
              <w:t>Telecommunications Plant-in-Service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101</w:t>
            </w:r>
          </w:p>
        </w:tc>
        <w:tc>
          <w:tcPr>
            <w:tcW w:w="6021" w:type="dxa"/>
          </w:tcPr>
          <w:p w:rsidR="00133457">
            <w:pPr>
              <w:rPr>
                <w:rFonts w:ascii="Arial" w:hAnsi="Arial"/>
                <w:sz w:val="20"/>
              </w:rPr>
            </w:pPr>
            <w:r>
              <w:rPr>
                <w:rFonts w:ascii="Arial" w:hAnsi="Arial"/>
                <w:sz w:val="20"/>
              </w:rPr>
              <w:t>Gross Investment – Poles</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102</w:t>
            </w:r>
          </w:p>
        </w:tc>
        <w:tc>
          <w:tcPr>
            <w:tcW w:w="6021" w:type="dxa"/>
          </w:tcPr>
          <w:p w:rsidR="00133457">
            <w:pPr>
              <w:rPr>
                <w:rFonts w:ascii="Arial" w:hAnsi="Arial"/>
                <w:sz w:val="20"/>
              </w:rPr>
            </w:pPr>
            <w:r>
              <w:rPr>
                <w:rFonts w:ascii="Arial" w:hAnsi="Arial"/>
                <w:sz w:val="20"/>
              </w:rPr>
              <w:t>Gross Investment – Conduit</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p>
        </w:tc>
        <w:tc>
          <w:tcPr>
            <w:tcW w:w="6021" w:type="dxa"/>
          </w:tcPr>
          <w:p w:rsidR="00133457">
            <w:pPr>
              <w:rPr>
                <w:rFonts w:ascii="Arial" w:hAnsi="Arial"/>
                <w:sz w:val="20"/>
              </w:rPr>
            </w:pP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200</w:t>
            </w:r>
          </w:p>
        </w:tc>
        <w:tc>
          <w:tcPr>
            <w:tcW w:w="6021" w:type="dxa"/>
          </w:tcPr>
          <w:p w:rsidR="00133457">
            <w:pPr>
              <w:rPr>
                <w:rFonts w:ascii="Arial" w:hAnsi="Arial"/>
                <w:sz w:val="20"/>
              </w:rPr>
            </w:pPr>
            <w:r>
              <w:rPr>
                <w:rFonts w:ascii="Arial" w:hAnsi="Arial"/>
                <w:sz w:val="20"/>
              </w:rPr>
              <w:t>Accumulated Depreciation – Total Plant-in-Service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201</w:t>
            </w:r>
          </w:p>
        </w:tc>
        <w:tc>
          <w:tcPr>
            <w:tcW w:w="6021" w:type="dxa"/>
          </w:tcPr>
          <w:p w:rsidR="00133457">
            <w:pPr>
              <w:rPr>
                <w:rFonts w:ascii="Arial" w:hAnsi="Arial"/>
                <w:sz w:val="20"/>
              </w:rPr>
            </w:pPr>
            <w:r>
              <w:rPr>
                <w:rFonts w:ascii="Arial" w:hAnsi="Arial"/>
                <w:sz w:val="20"/>
              </w:rPr>
              <w:t>Accumulated Depreciation – Poles</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202</w:t>
            </w:r>
          </w:p>
        </w:tc>
        <w:tc>
          <w:tcPr>
            <w:tcW w:w="6021" w:type="dxa"/>
          </w:tcPr>
          <w:p w:rsidR="00133457">
            <w:pPr>
              <w:rPr>
                <w:rFonts w:ascii="Arial" w:hAnsi="Arial"/>
                <w:sz w:val="20"/>
              </w:rPr>
            </w:pPr>
            <w:r>
              <w:rPr>
                <w:rFonts w:ascii="Arial" w:hAnsi="Arial"/>
                <w:sz w:val="20"/>
              </w:rPr>
              <w:t>Accumulated Depreciation – Conduit</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p>
        </w:tc>
        <w:tc>
          <w:tcPr>
            <w:tcW w:w="6021" w:type="dxa"/>
          </w:tcPr>
          <w:p w:rsidR="00133457">
            <w:pPr>
              <w:rPr>
                <w:rFonts w:ascii="Arial" w:hAnsi="Arial"/>
                <w:sz w:val="20"/>
              </w:rPr>
            </w:pP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301</w:t>
            </w:r>
          </w:p>
        </w:tc>
        <w:tc>
          <w:tcPr>
            <w:tcW w:w="6021" w:type="dxa"/>
          </w:tcPr>
          <w:p w:rsidR="00133457">
            <w:pPr>
              <w:rPr>
                <w:rFonts w:ascii="Arial" w:hAnsi="Arial"/>
                <w:sz w:val="20"/>
              </w:rPr>
            </w:pPr>
            <w:r>
              <w:rPr>
                <w:rFonts w:ascii="Arial" w:hAnsi="Arial"/>
                <w:sz w:val="20"/>
              </w:rPr>
              <w:t>Depreciation Rate – Poles</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302</w:t>
            </w:r>
          </w:p>
        </w:tc>
        <w:tc>
          <w:tcPr>
            <w:tcW w:w="6021" w:type="dxa"/>
          </w:tcPr>
          <w:p w:rsidR="00133457">
            <w:pPr>
              <w:rPr>
                <w:rFonts w:ascii="Arial" w:hAnsi="Arial"/>
                <w:sz w:val="20"/>
              </w:rPr>
            </w:pPr>
            <w:r>
              <w:rPr>
                <w:rFonts w:ascii="Arial" w:hAnsi="Arial"/>
                <w:sz w:val="20"/>
              </w:rPr>
              <w:t>Depreciation Rate – Conduit</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p>
        </w:tc>
        <w:tc>
          <w:tcPr>
            <w:tcW w:w="6021" w:type="dxa"/>
          </w:tcPr>
          <w:p w:rsidR="00BD2BD2">
            <w:pPr>
              <w:rPr>
                <w:rFonts w:ascii="Arial" w:hAnsi="Arial"/>
                <w:sz w:val="20"/>
              </w:rPr>
            </w:pP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r>
              <w:rPr>
                <w:rFonts w:ascii="Arial" w:hAnsi="Arial"/>
                <w:sz w:val="20"/>
              </w:rPr>
              <w:t>401</w:t>
            </w:r>
          </w:p>
        </w:tc>
        <w:tc>
          <w:tcPr>
            <w:tcW w:w="6021" w:type="dxa"/>
          </w:tcPr>
          <w:p w:rsidR="00BD2BD2" w:rsidRPr="00BD2BD2" w:rsidP="00365004">
            <w:pPr>
              <w:rPr>
                <w:rFonts w:ascii="Arial" w:hAnsi="Arial" w:cs="Arial"/>
                <w:sz w:val="20"/>
              </w:rPr>
            </w:pPr>
            <w:r w:rsidRPr="00BD2BD2">
              <w:rPr>
                <w:rFonts w:ascii="Arial" w:hAnsi="Arial" w:cs="Arial"/>
                <w:sz w:val="20"/>
              </w:rPr>
              <w:t>Net Current Deferred Operating Income Taxes – Poles</w:t>
            </w: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r>
              <w:rPr>
                <w:rFonts w:ascii="Arial" w:hAnsi="Arial"/>
                <w:sz w:val="20"/>
              </w:rPr>
              <w:t>402</w:t>
            </w:r>
          </w:p>
        </w:tc>
        <w:tc>
          <w:tcPr>
            <w:tcW w:w="6021" w:type="dxa"/>
          </w:tcPr>
          <w:p w:rsidR="00BD2BD2" w:rsidRPr="00BD2BD2" w:rsidP="00365004">
            <w:pPr>
              <w:rPr>
                <w:rFonts w:ascii="Arial" w:hAnsi="Arial" w:cs="Arial"/>
                <w:sz w:val="20"/>
              </w:rPr>
            </w:pPr>
            <w:r w:rsidRPr="00BD2BD2">
              <w:rPr>
                <w:rFonts w:ascii="Arial" w:hAnsi="Arial" w:cs="Arial"/>
                <w:sz w:val="20"/>
              </w:rPr>
              <w:t>Net Current Deferred Operating Income Taxes – Conduit</w:t>
            </w: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r>
              <w:rPr>
                <w:rFonts w:ascii="Arial" w:hAnsi="Arial"/>
                <w:sz w:val="20"/>
              </w:rPr>
              <w:t>403</w:t>
            </w:r>
          </w:p>
        </w:tc>
        <w:tc>
          <w:tcPr>
            <w:tcW w:w="6021" w:type="dxa"/>
          </w:tcPr>
          <w:p w:rsidR="00BD2BD2" w:rsidRPr="00BD2BD2" w:rsidP="00365004">
            <w:pPr>
              <w:rPr>
                <w:rFonts w:ascii="Arial" w:hAnsi="Arial" w:cs="Arial"/>
                <w:sz w:val="20"/>
              </w:rPr>
            </w:pPr>
            <w:r w:rsidRPr="00BD2BD2">
              <w:rPr>
                <w:rFonts w:ascii="Arial" w:hAnsi="Arial" w:cs="Arial"/>
                <w:sz w:val="20"/>
              </w:rPr>
              <w:t xml:space="preserve">Net Current Deferred Operating Income Taxes – Total </w:t>
            </w: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p>
        </w:tc>
        <w:tc>
          <w:tcPr>
            <w:tcW w:w="6021" w:type="dxa"/>
          </w:tcPr>
          <w:p w:rsidR="00BD2BD2">
            <w:pPr>
              <w:rPr>
                <w:rFonts w:ascii="Arial" w:hAnsi="Arial"/>
                <w:sz w:val="20"/>
              </w:rPr>
            </w:pP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r>
              <w:rPr>
                <w:rFonts w:ascii="Arial" w:hAnsi="Arial"/>
                <w:sz w:val="20"/>
              </w:rPr>
              <w:t>404</w:t>
            </w:r>
          </w:p>
        </w:tc>
        <w:tc>
          <w:tcPr>
            <w:tcW w:w="6021" w:type="dxa"/>
          </w:tcPr>
          <w:p w:rsidR="00BD2BD2" w:rsidRPr="00BD2BD2" w:rsidP="00365004">
            <w:pPr>
              <w:rPr>
                <w:rFonts w:ascii="Arial" w:hAnsi="Arial" w:cs="Arial"/>
                <w:sz w:val="20"/>
              </w:rPr>
            </w:pPr>
            <w:r w:rsidRPr="00BD2BD2">
              <w:rPr>
                <w:rFonts w:ascii="Arial" w:hAnsi="Arial" w:cs="Arial"/>
                <w:sz w:val="20"/>
              </w:rPr>
              <w:t>Net Non-current Deferred Operating Income Taxes – Poles</w:t>
            </w: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r>
              <w:rPr>
                <w:rFonts w:ascii="Arial" w:hAnsi="Arial"/>
                <w:sz w:val="20"/>
              </w:rPr>
              <w:t>405</w:t>
            </w:r>
          </w:p>
        </w:tc>
        <w:tc>
          <w:tcPr>
            <w:tcW w:w="6021" w:type="dxa"/>
          </w:tcPr>
          <w:p w:rsidR="00BD2BD2" w:rsidRPr="00BD2BD2" w:rsidP="00365004">
            <w:pPr>
              <w:rPr>
                <w:rFonts w:ascii="Arial" w:hAnsi="Arial" w:cs="Arial"/>
                <w:sz w:val="20"/>
              </w:rPr>
            </w:pPr>
            <w:r w:rsidRPr="00BD2BD2">
              <w:rPr>
                <w:rFonts w:ascii="Arial" w:hAnsi="Arial" w:cs="Arial"/>
                <w:sz w:val="20"/>
              </w:rPr>
              <w:t>Net Non-current Deferred Operating Income Taxes – Conduit</w:t>
            </w: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BD2BD2">
            <w:pPr>
              <w:jc w:val="center"/>
              <w:rPr>
                <w:rFonts w:ascii="Arial" w:hAnsi="Arial"/>
                <w:sz w:val="20"/>
              </w:rPr>
            </w:pPr>
            <w:r>
              <w:rPr>
                <w:rFonts w:ascii="Arial" w:hAnsi="Arial"/>
                <w:sz w:val="20"/>
              </w:rPr>
              <w:t>406</w:t>
            </w:r>
          </w:p>
        </w:tc>
        <w:tc>
          <w:tcPr>
            <w:tcW w:w="6021" w:type="dxa"/>
          </w:tcPr>
          <w:p w:rsidR="00BD2BD2" w:rsidRPr="00BD2BD2" w:rsidP="00365004">
            <w:pPr>
              <w:rPr>
                <w:rFonts w:ascii="Arial" w:hAnsi="Arial" w:cs="Arial"/>
                <w:sz w:val="20"/>
              </w:rPr>
            </w:pPr>
            <w:r w:rsidRPr="00BD2BD2">
              <w:rPr>
                <w:rFonts w:ascii="Arial" w:hAnsi="Arial" w:cs="Arial"/>
                <w:sz w:val="20"/>
              </w:rPr>
              <w:t>Net Non-current Deferred Operating Income Taxes – Total</w:t>
            </w:r>
          </w:p>
        </w:tc>
        <w:tc>
          <w:tcPr>
            <w:tcW w:w="1980" w:type="dxa"/>
          </w:tcPr>
          <w:p w:rsidR="00BD2BD2">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p>
        </w:tc>
        <w:tc>
          <w:tcPr>
            <w:tcW w:w="6021" w:type="dxa"/>
          </w:tcPr>
          <w:p w:rsidR="00133457">
            <w:pPr>
              <w:rPr>
                <w:rFonts w:ascii="Arial" w:hAnsi="Arial"/>
                <w:sz w:val="20"/>
              </w:rPr>
            </w:pP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501.1</w:t>
            </w:r>
          </w:p>
        </w:tc>
        <w:tc>
          <w:tcPr>
            <w:tcW w:w="6021" w:type="dxa"/>
          </w:tcPr>
          <w:p w:rsidR="00133457">
            <w:pPr>
              <w:rPr>
                <w:rFonts w:ascii="Arial" w:hAnsi="Arial"/>
                <w:sz w:val="20"/>
              </w:rPr>
            </w:pPr>
            <w:r>
              <w:rPr>
                <w:rFonts w:ascii="Arial" w:hAnsi="Arial"/>
                <w:sz w:val="20"/>
              </w:rPr>
              <w:t>Pole Maintenance Expense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501.2</w:t>
            </w:r>
          </w:p>
        </w:tc>
        <w:tc>
          <w:tcPr>
            <w:tcW w:w="6021" w:type="dxa"/>
          </w:tcPr>
          <w:p w:rsidR="00133457">
            <w:pPr>
              <w:rPr>
                <w:rFonts w:ascii="Arial" w:hAnsi="Arial"/>
                <w:sz w:val="20"/>
              </w:rPr>
            </w:pPr>
            <w:r>
              <w:rPr>
                <w:rFonts w:ascii="Arial" w:hAnsi="Arial"/>
                <w:sz w:val="20"/>
              </w:rPr>
              <w:t>Pole Rental Expense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501</w:t>
            </w:r>
          </w:p>
        </w:tc>
        <w:tc>
          <w:tcPr>
            <w:tcW w:w="6021" w:type="dxa"/>
          </w:tcPr>
          <w:p w:rsidR="00133457">
            <w:pPr>
              <w:rPr>
                <w:rFonts w:ascii="Arial" w:hAnsi="Arial"/>
                <w:sz w:val="20"/>
              </w:rPr>
            </w:pPr>
            <w:r>
              <w:rPr>
                <w:rFonts w:ascii="Arial" w:hAnsi="Arial"/>
                <w:sz w:val="20"/>
              </w:rPr>
              <w:t>Pole Expense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p>
        </w:tc>
        <w:tc>
          <w:tcPr>
            <w:tcW w:w="6021" w:type="dxa"/>
          </w:tcPr>
          <w:p w:rsidR="00133457">
            <w:pPr>
              <w:rPr>
                <w:rFonts w:ascii="Arial" w:hAnsi="Arial"/>
                <w:sz w:val="20"/>
              </w:rPr>
            </w:pP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502.1</w:t>
            </w:r>
          </w:p>
        </w:tc>
        <w:tc>
          <w:tcPr>
            <w:tcW w:w="6021" w:type="dxa"/>
          </w:tcPr>
          <w:p w:rsidR="00133457">
            <w:pPr>
              <w:rPr>
                <w:rFonts w:ascii="Arial" w:hAnsi="Arial"/>
                <w:sz w:val="20"/>
              </w:rPr>
            </w:pPr>
            <w:r>
              <w:rPr>
                <w:rFonts w:ascii="Arial" w:hAnsi="Arial"/>
                <w:sz w:val="20"/>
              </w:rPr>
              <w:t>Conduit Maintenance Expense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502.2</w:t>
            </w:r>
          </w:p>
        </w:tc>
        <w:tc>
          <w:tcPr>
            <w:tcW w:w="6021" w:type="dxa"/>
          </w:tcPr>
          <w:p w:rsidR="00133457">
            <w:pPr>
              <w:rPr>
                <w:rFonts w:ascii="Arial" w:hAnsi="Arial"/>
                <w:sz w:val="20"/>
              </w:rPr>
            </w:pPr>
            <w:r>
              <w:rPr>
                <w:rFonts w:ascii="Arial" w:hAnsi="Arial"/>
                <w:sz w:val="20"/>
              </w:rPr>
              <w:t>Conduit Rental Expense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502</w:t>
            </w:r>
          </w:p>
        </w:tc>
        <w:tc>
          <w:tcPr>
            <w:tcW w:w="6021" w:type="dxa"/>
          </w:tcPr>
          <w:p w:rsidR="00133457">
            <w:pPr>
              <w:rPr>
                <w:rFonts w:ascii="Arial" w:hAnsi="Arial"/>
                <w:sz w:val="20"/>
              </w:rPr>
            </w:pPr>
            <w:r>
              <w:rPr>
                <w:rFonts w:ascii="Arial" w:hAnsi="Arial"/>
                <w:sz w:val="20"/>
              </w:rPr>
              <w:t>Conduit Expense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p>
        </w:tc>
        <w:tc>
          <w:tcPr>
            <w:tcW w:w="6021" w:type="dxa"/>
          </w:tcPr>
          <w:p w:rsidR="00133457">
            <w:pPr>
              <w:rPr>
                <w:rFonts w:ascii="Arial" w:hAnsi="Arial"/>
                <w:sz w:val="20"/>
              </w:rPr>
            </w:pP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503</w:t>
            </w:r>
          </w:p>
        </w:tc>
        <w:tc>
          <w:tcPr>
            <w:tcW w:w="6021" w:type="dxa"/>
          </w:tcPr>
          <w:p w:rsidR="00133457">
            <w:pPr>
              <w:rPr>
                <w:rFonts w:ascii="Arial" w:hAnsi="Arial"/>
                <w:sz w:val="20"/>
              </w:rPr>
            </w:pPr>
            <w:r>
              <w:rPr>
                <w:rFonts w:ascii="Arial" w:hAnsi="Arial"/>
                <w:sz w:val="20"/>
              </w:rPr>
              <w:t>General &amp; Administrative Expense</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r>
              <w:rPr>
                <w:rFonts w:ascii="Arial" w:hAnsi="Arial"/>
                <w:sz w:val="20"/>
              </w:rPr>
              <w:t>504</w:t>
            </w:r>
          </w:p>
        </w:tc>
        <w:tc>
          <w:tcPr>
            <w:tcW w:w="6021" w:type="dxa"/>
          </w:tcPr>
          <w:p w:rsidR="00133457">
            <w:pPr>
              <w:rPr>
                <w:rFonts w:ascii="Arial" w:hAnsi="Arial"/>
                <w:sz w:val="20"/>
              </w:rPr>
            </w:pPr>
            <w:r>
              <w:rPr>
                <w:rFonts w:ascii="Arial" w:hAnsi="Arial"/>
                <w:sz w:val="20"/>
              </w:rPr>
              <w:t>Operating Taxes</w:t>
            </w:r>
          </w:p>
        </w:tc>
        <w:tc>
          <w:tcPr>
            <w:tcW w:w="1980" w:type="dxa"/>
          </w:tcPr>
          <w:p w:rsidR="00133457">
            <w:pPr>
              <w:rPr>
                <w:rFonts w:ascii="Arial" w:hAnsi="Arial"/>
                <w:sz w:val="20"/>
              </w:rPr>
            </w:pPr>
          </w:p>
        </w:tc>
      </w:tr>
      <w:tr>
        <w:tblPrEx>
          <w:tblW w:w="0" w:type="auto"/>
          <w:jc w:val="center"/>
          <w:tblLayout w:type="fixed"/>
          <w:tblLook w:val="0000"/>
        </w:tblPrEx>
        <w:trPr>
          <w:jc w:val="center"/>
        </w:trPr>
        <w:tc>
          <w:tcPr>
            <w:tcW w:w="909" w:type="dxa"/>
          </w:tcPr>
          <w:p w:rsidR="00133457">
            <w:pPr>
              <w:jc w:val="center"/>
              <w:rPr>
                <w:rFonts w:ascii="Arial" w:hAnsi="Arial"/>
                <w:sz w:val="20"/>
              </w:rPr>
            </w:pPr>
          </w:p>
        </w:tc>
        <w:tc>
          <w:tcPr>
            <w:tcW w:w="6021" w:type="dxa"/>
          </w:tcPr>
          <w:p w:rsidR="00133457">
            <w:pPr>
              <w:rPr>
                <w:rFonts w:ascii="Arial" w:hAnsi="Arial"/>
                <w:sz w:val="20"/>
              </w:rPr>
            </w:pPr>
          </w:p>
        </w:tc>
        <w:tc>
          <w:tcPr>
            <w:tcW w:w="1980" w:type="dxa"/>
          </w:tcPr>
          <w:p w:rsidR="00133457">
            <w:pPr>
              <w:rPr>
                <w:rFonts w:ascii="Arial" w:hAnsi="Arial"/>
                <w:sz w:val="20"/>
              </w:rPr>
            </w:pPr>
          </w:p>
        </w:tc>
      </w:tr>
    </w:tbl>
    <w:p w:rsidR="00133457">
      <w:pPr>
        <w:pStyle w:val="Caption"/>
        <w:rPr>
          <w:rFonts w:ascii="Arial" w:hAnsi="Arial"/>
          <w:b/>
          <w:i/>
          <w:sz w:val="20"/>
        </w:rPr>
      </w:pPr>
      <w:r>
        <w:rPr>
          <w:rFonts w:ascii="Arial" w:hAnsi="Arial"/>
          <w:b/>
          <w:sz w:val="20"/>
        </w:rPr>
        <w:t xml:space="preserve">     Operational Data </w:t>
      </w:r>
      <w:r>
        <w:rPr>
          <w:rFonts w:ascii="Arial" w:hAnsi="Arial"/>
          <w:b/>
          <w:i/>
          <w:sz w:val="20"/>
        </w:rPr>
        <w:t>(Actual)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5940"/>
        <w:gridCol w:w="199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18" w:type="dxa"/>
          </w:tcPr>
          <w:p w:rsidR="00133457">
            <w:pPr>
              <w:jc w:val="center"/>
              <w:rPr>
                <w:rFonts w:ascii="Arial" w:hAnsi="Arial"/>
                <w:sz w:val="20"/>
              </w:rPr>
            </w:pPr>
            <w:r>
              <w:rPr>
                <w:rFonts w:ascii="Arial" w:hAnsi="Arial"/>
                <w:sz w:val="20"/>
              </w:rPr>
              <w:t>601</w:t>
            </w:r>
          </w:p>
        </w:tc>
        <w:tc>
          <w:tcPr>
            <w:tcW w:w="5940" w:type="dxa"/>
          </w:tcPr>
          <w:p w:rsidR="00133457">
            <w:pPr>
              <w:rPr>
                <w:rFonts w:ascii="Arial" w:hAnsi="Arial"/>
                <w:sz w:val="20"/>
              </w:rPr>
            </w:pPr>
            <w:r>
              <w:rPr>
                <w:rFonts w:ascii="Arial" w:hAnsi="Arial"/>
                <w:sz w:val="20"/>
              </w:rPr>
              <w:t>Equivalent Number of Poles</w:t>
            </w:r>
          </w:p>
        </w:tc>
        <w:tc>
          <w:tcPr>
            <w:tcW w:w="1998" w:type="dxa"/>
          </w:tcPr>
          <w:p w:rsidR="00133457">
            <w:pPr>
              <w:rPr>
                <w:rFonts w:ascii="Arial" w:hAnsi="Arial"/>
                <w:sz w:val="20"/>
              </w:rPr>
            </w:pPr>
          </w:p>
        </w:tc>
      </w:tr>
      <w:tr>
        <w:tblPrEx>
          <w:tblW w:w="0" w:type="auto"/>
          <w:jc w:val="center"/>
          <w:tblLayout w:type="fixed"/>
          <w:tblLook w:val="0000"/>
        </w:tblPrEx>
        <w:trPr>
          <w:jc w:val="center"/>
        </w:trPr>
        <w:tc>
          <w:tcPr>
            <w:tcW w:w="918" w:type="dxa"/>
          </w:tcPr>
          <w:p w:rsidR="00133457">
            <w:pPr>
              <w:jc w:val="center"/>
              <w:rPr>
                <w:rFonts w:ascii="Arial" w:hAnsi="Arial"/>
                <w:sz w:val="20"/>
              </w:rPr>
            </w:pPr>
            <w:r>
              <w:rPr>
                <w:rFonts w:ascii="Arial" w:hAnsi="Arial"/>
                <w:sz w:val="20"/>
              </w:rPr>
              <w:t>602</w:t>
            </w:r>
          </w:p>
        </w:tc>
        <w:tc>
          <w:tcPr>
            <w:tcW w:w="5940" w:type="dxa"/>
          </w:tcPr>
          <w:p w:rsidR="00133457">
            <w:pPr>
              <w:rPr>
                <w:rFonts w:ascii="Arial" w:hAnsi="Arial"/>
                <w:sz w:val="20"/>
              </w:rPr>
            </w:pPr>
            <w:r>
              <w:rPr>
                <w:rFonts w:ascii="Arial" w:hAnsi="Arial"/>
                <w:sz w:val="20"/>
              </w:rPr>
              <w:t>Conduit System Trench Kilometers</w:t>
            </w:r>
          </w:p>
        </w:tc>
        <w:tc>
          <w:tcPr>
            <w:tcW w:w="1998" w:type="dxa"/>
          </w:tcPr>
          <w:p w:rsidR="00133457">
            <w:pPr>
              <w:rPr>
                <w:rFonts w:ascii="Arial" w:hAnsi="Arial"/>
                <w:sz w:val="20"/>
              </w:rPr>
            </w:pPr>
          </w:p>
        </w:tc>
      </w:tr>
      <w:tr>
        <w:tblPrEx>
          <w:tblW w:w="0" w:type="auto"/>
          <w:jc w:val="center"/>
          <w:tblLayout w:type="fixed"/>
          <w:tblLook w:val="0000"/>
        </w:tblPrEx>
        <w:trPr>
          <w:jc w:val="center"/>
        </w:trPr>
        <w:tc>
          <w:tcPr>
            <w:tcW w:w="918" w:type="dxa"/>
          </w:tcPr>
          <w:p w:rsidR="00133457">
            <w:pPr>
              <w:jc w:val="center"/>
              <w:rPr>
                <w:rFonts w:ascii="Arial" w:hAnsi="Arial"/>
                <w:sz w:val="20"/>
              </w:rPr>
            </w:pPr>
            <w:r>
              <w:rPr>
                <w:rFonts w:ascii="Arial" w:hAnsi="Arial"/>
                <w:sz w:val="20"/>
              </w:rPr>
              <w:t>603</w:t>
            </w:r>
          </w:p>
        </w:tc>
        <w:tc>
          <w:tcPr>
            <w:tcW w:w="5940" w:type="dxa"/>
          </w:tcPr>
          <w:p w:rsidR="00133457">
            <w:pPr>
              <w:rPr>
                <w:rFonts w:ascii="Arial" w:hAnsi="Arial"/>
                <w:sz w:val="20"/>
              </w:rPr>
            </w:pPr>
            <w:r>
              <w:rPr>
                <w:rFonts w:ascii="Arial" w:hAnsi="Arial"/>
                <w:sz w:val="20"/>
              </w:rPr>
              <w:t>Conduit System Duct Kilometers</w:t>
            </w:r>
          </w:p>
        </w:tc>
        <w:tc>
          <w:tcPr>
            <w:tcW w:w="1998" w:type="dxa"/>
          </w:tcPr>
          <w:p w:rsidR="00133457">
            <w:pPr>
              <w:rPr>
                <w:rFonts w:ascii="Arial" w:hAnsi="Arial"/>
                <w:sz w:val="20"/>
              </w:rPr>
            </w:pPr>
          </w:p>
        </w:tc>
      </w:tr>
      <w:tr>
        <w:tblPrEx>
          <w:tblW w:w="0" w:type="auto"/>
          <w:jc w:val="center"/>
          <w:tblLayout w:type="fixed"/>
          <w:tblLook w:val="0000"/>
        </w:tblPrEx>
        <w:trPr>
          <w:jc w:val="center"/>
        </w:trPr>
        <w:tc>
          <w:tcPr>
            <w:tcW w:w="918" w:type="dxa"/>
          </w:tcPr>
          <w:p w:rsidR="00BD2BD2">
            <w:pPr>
              <w:jc w:val="center"/>
              <w:rPr>
                <w:rFonts w:ascii="Arial" w:hAnsi="Arial"/>
                <w:sz w:val="20"/>
              </w:rPr>
            </w:pPr>
          </w:p>
        </w:tc>
        <w:tc>
          <w:tcPr>
            <w:tcW w:w="5940" w:type="dxa"/>
          </w:tcPr>
          <w:p w:rsidR="00BD2BD2">
            <w:pPr>
              <w:rPr>
                <w:rFonts w:ascii="Arial" w:hAnsi="Arial"/>
                <w:sz w:val="20"/>
              </w:rPr>
            </w:pPr>
          </w:p>
        </w:tc>
        <w:tc>
          <w:tcPr>
            <w:tcW w:w="1998" w:type="dxa"/>
          </w:tcPr>
          <w:p w:rsidR="00BD2BD2">
            <w:pPr>
              <w:rPr>
                <w:rFonts w:ascii="Arial" w:hAnsi="Arial"/>
                <w:sz w:val="20"/>
              </w:rPr>
            </w:pPr>
          </w:p>
        </w:tc>
      </w:tr>
    </w:tbl>
    <w:p w:rsidR="00BD2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5940"/>
        <w:gridCol w:w="199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18" w:type="dxa"/>
          </w:tcPr>
          <w:p w:rsidR="00133457">
            <w:pPr>
              <w:jc w:val="center"/>
              <w:rPr>
                <w:rFonts w:ascii="Arial" w:hAnsi="Arial"/>
                <w:sz w:val="20"/>
              </w:rPr>
            </w:pPr>
            <w:r>
              <w:rPr>
                <w:rFonts w:ascii="Arial" w:hAnsi="Arial"/>
                <w:sz w:val="20"/>
              </w:rPr>
              <w:t>700</w:t>
            </w:r>
          </w:p>
        </w:tc>
        <w:tc>
          <w:tcPr>
            <w:tcW w:w="5940" w:type="dxa"/>
          </w:tcPr>
          <w:p w:rsidR="00133457" w:rsidRPr="00BD2BD2">
            <w:pPr>
              <w:rPr>
                <w:rFonts w:ascii="Arial" w:hAnsi="Arial" w:cs="Arial"/>
                <w:sz w:val="20"/>
              </w:rPr>
            </w:pPr>
            <w:r w:rsidRPr="00BD2BD2">
              <w:rPr>
                <w:rFonts w:ascii="Arial" w:hAnsi="Arial" w:cs="Arial"/>
                <w:sz w:val="20"/>
              </w:rPr>
              <w:t>Additional Rental Calculation Information</w:t>
            </w:r>
          </w:p>
        </w:tc>
        <w:tc>
          <w:tcPr>
            <w:tcW w:w="1998" w:type="dxa"/>
          </w:tcPr>
          <w:p w:rsidR="00133457">
            <w:pPr>
              <w:rPr>
                <w:rFonts w:ascii="Arial" w:hAnsi="Arial"/>
                <w:sz w:val="20"/>
              </w:rPr>
            </w:pPr>
          </w:p>
        </w:tc>
      </w:tr>
    </w:tbl>
    <w:p w:rsidR="00133457">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20"/>
        </w:rPr>
      </w:pPr>
    </w:p>
    <w:p w:rsidR="003F6950" w:rsidRPr="00BB2765" w:rsidP="005B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Arial" w:hAnsi="Arial" w:cs="Arial"/>
          <w:sz w:val="18"/>
          <w:szCs w:val="18"/>
        </w:rPr>
      </w:pPr>
      <w:r w:rsidRPr="006A4BB8">
        <w:rPr>
          <w:rFonts w:ascii="Arial" w:hAnsi="Arial" w:cs="Arial"/>
          <w:sz w:val="18"/>
          <w:szCs w:val="18"/>
          <w:u w:val="single"/>
        </w:rPr>
        <w:t>Footnotes</w:t>
      </w:r>
      <w:r w:rsidRPr="00B9317E">
        <w:rPr>
          <w:rFonts w:ascii="Arial" w:hAnsi="Arial" w:cs="Arial"/>
          <w:sz w:val="18"/>
          <w:szCs w:val="18"/>
        </w:rPr>
        <w:t xml:space="preserve">: </w:t>
      </w:r>
      <w:r w:rsidRPr="00B9317E">
        <w:rPr>
          <w:rFonts w:ascii="Arial" w:hAnsi="Arial" w:cs="Arial"/>
          <w:spacing w:val="-3"/>
          <w:sz w:val="18"/>
          <w:szCs w:val="18"/>
        </w:rPr>
        <w:t xml:space="preserve">Footnotes should appear at the </w:t>
      </w:r>
      <w:r>
        <w:rPr>
          <w:rFonts w:ascii="Arial" w:hAnsi="Arial" w:cs="Arial"/>
          <w:spacing w:val="-3"/>
          <w:sz w:val="18"/>
          <w:szCs w:val="18"/>
        </w:rPr>
        <w:t>bottom</w:t>
      </w:r>
      <w:r w:rsidRPr="00B9317E">
        <w:rPr>
          <w:rFonts w:ascii="Arial" w:hAnsi="Arial" w:cs="Arial"/>
          <w:spacing w:val="-3"/>
          <w:sz w:val="18"/>
          <w:szCs w:val="18"/>
        </w:rPr>
        <w:t xml:space="preserve"> of a table.  Use numerical superscripts to indicate a footnote.  If the footnote applies to a single data entry, place the superscript on the entry. If it applies to an entire row and or column, footnote the row or column header.  </w:t>
      </w:r>
      <w:r>
        <w:rPr>
          <w:rFonts w:ascii="Arial" w:hAnsi="Arial" w:cs="Arial"/>
          <w:spacing w:val="-3"/>
          <w:sz w:val="18"/>
          <w:szCs w:val="18"/>
        </w:rPr>
        <w:t>See the reporting procedures document for the use of footnotes when an erratum is required.</w:t>
      </w:r>
    </w:p>
    <w:p w:rsidR="00D10DF1" w:rsidP="005B4282">
      <w:pPr>
        <w:tabs>
          <w:tab w:val="left" w:pos="-1080"/>
          <w:tab w:val="left" w:pos="-720"/>
          <w:tab w:val="left" w:pos="0"/>
          <w:tab w:val="left" w:pos="360"/>
          <w:tab w:val="left" w:pos="720"/>
          <w:tab w:val="left" w:pos="1080"/>
          <w:tab w:val="left" w:pos="1440"/>
          <w:tab w:val="left" w:pos="1800"/>
          <w:tab w:val="left" w:pos="2160"/>
        </w:tabs>
        <w:suppressAutoHyphens/>
        <w:jc w:val="both"/>
        <w:sectPr w:rsidSect="00B41A63">
          <w:endnotePr>
            <w:numFmt w:val="decimal"/>
          </w:endnotePr>
          <w:pgSz w:w="12240" w:h="15840"/>
          <w:pgMar w:top="1152" w:right="1440" w:bottom="900" w:left="1440" w:header="720" w:footer="720" w:gutter="0"/>
          <w:cols w:space="720"/>
          <w:noEndnote/>
        </w:sectPr>
      </w:pPr>
    </w:p>
    <w:p w:rsidR="00133457" w:rsidP="00BB2765">
      <w:pPr>
        <w:tabs>
          <w:tab w:val="left" w:pos="-1080"/>
          <w:tab w:val="left" w:pos="-720"/>
          <w:tab w:val="left" w:pos="0"/>
          <w:tab w:val="left" w:pos="360"/>
          <w:tab w:val="left" w:pos="720"/>
          <w:tab w:val="left" w:pos="1080"/>
          <w:tab w:val="left" w:pos="1440"/>
          <w:tab w:val="left" w:pos="1800"/>
          <w:tab w:val="left" w:pos="2160"/>
        </w:tabs>
        <w:suppressAutoHyphens/>
      </w:pP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8"/>
          <w:szCs w:val="18"/>
        </w:rPr>
      </w:pPr>
      <w:r w:rsidRPr="00BB2765">
        <w:rPr>
          <w:rFonts w:ascii="Arial" w:hAnsi="Arial"/>
          <w:sz w:val="18"/>
          <w:szCs w:val="18"/>
        </w:rPr>
        <w:t>Company:</w:t>
      </w:r>
      <w:r w:rsidRPr="00BB2765">
        <w:rPr>
          <w:rFonts w:ascii="Arial" w:hAnsi="Arial"/>
          <w:sz w:val="18"/>
          <w:szCs w:val="18"/>
        </w:rPr>
        <w:tab/>
      </w:r>
      <w:r w:rsidRPr="00BB2765">
        <w:rPr>
          <w:rFonts w:ascii="Arial" w:hAnsi="Arial"/>
          <w:sz w:val="18"/>
          <w:szCs w:val="18"/>
        </w:rPr>
        <w:t>XYZ Telco</w:t>
      </w:r>
      <w:r w:rsidRPr="00BB2765">
        <w:rPr>
          <w:rFonts w:ascii="Arial" w:hAnsi="Arial"/>
          <w:sz w:val="18"/>
          <w:szCs w:val="18"/>
        </w:rPr>
        <w:tab/>
      </w: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7380"/>
        </w:tabs>
        <w:suppressAutoHyphens/>
        <w:rPr>
          <w:rFonts w:ascii="Arial" w:hAnsi="Arial"/>
          <w:sz w:val="18"/>
          <w:szCs w:val="18"/>
        </w:rPr>
      </w:pPr>
      <w:r w:rsidRPr="00BB2765">
        <w:rPr>
          <w:rFonts w:ascii="Arial" w:hAnsi="Arial"/>
          <w:sz w:val="18"/>
          <w:szCs w:val="18"/>
        </w:rPr>
        <w:t>Study Area:</w:t>
      </w:r>
      <w:r w:rsidRPr="00BB2765">
        <w:rPr>
          <w:rFonts w:ascii="Arial" w:hAnsi="Arial"/>
          <w:sz w:val="18"/>
          <w:szCs w:val="18"/>
        </w:rPr>
        <w:tab/>
        <w:t>Arizona</w:t>
      </w:r>
      <w:r w:rsidRPr="00BB2765">
        <w:rPr>
          <w:rFonts w:ascii="Arial" w:hAnsi="Arial"/>
          <w:sz w:val="18"/>
          <w:szCs w:val="18"/>
        </w:rPr>
        <w:tab/>
      </w:r>
      <w:r w:rsidRPr="00BB2765">
        <w:rPr>
          <w:rFonts w:ascii="Arial" w:hAnsi="Arial"/>
          <w:sz w:val="18"/>
          <w:szCs w:val="18"/>
        </w:rPr>
        <w:tab/>
      </w:r>
      <w:r w:rsidRPr="00BB2765">
        <w:rPr>
          <w:rFonts w:ascii="Arial" w:hAnsi="Arial"/>
          <w:sz w:val="18"/>
          <w:szCs w:val="18"/>
        </w:rPr>
        <w:tab/>
      </w:r>
      <w:r>
        <w:rPr>
          <w:rFonts w:ascii="Arial" w:hAnsi="Arial"/>
          <w:sz w:val="18"/>
          <w:szCs w:val="18"/>
        </w:rPr>
        <w:tab/>
      </w:r>
      <w:r w:rsidRPr="00BB2765">
        <w:rPr>
          <w:rFonts w:ascii="Arial" w:hAnsi="Arial"/>
          <w:sz w:val="18"/>
          <w:szCs w:val="18"/>
        </w:rPr>
        <w:t>Submission #</w:t>
      </w:r>
    </w:p>
    <w:p w:rsidR="00170779" w:rsidRPr="00BB2765"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szCs w:val="18"/>
        </w:rPr>
      </w:pPr>
      <w:r w:rsidRPr="00BB2765">
        <w:rPr>
          <w:rFonts w:ascii="Arial" w:hAnsi="Arial"/>
          <w:sz w:val="18"/>
          <w:szCs w:val="18"/>
        </w:rPr>
        <w:t>Period:</w:t>
      </w:r>
      <w:r w:rsidRPr="00BB2765">
        <w:rPr>
          <w:rFonts w:ascii="Arial" w:hAnsi="Arial"/>
          <w:sz w:val="18"/>
          <w:szCs w:val="18"/>
        </w:rPr>
        <w:tab/>
      </w:r>
      <w:r w:rsidRPr="00BB2765">
        <w:rPr>
          <w:rFonts w:ascii="Arial" w:hAnsi="Arial"/>
          <w:sz w:val="18"/>
          <w:szCs w:val="18"/>
        </w:rPr>
        <w:tab/>
        <w:t xml:space="preserve">From: </w:t>
      </w:r>
      <w:r w:rsidRPr="00BB2765">
        <w:rPr>
          <w:rFonts w:ascii="Arial" w:hAnsi="Arial"/>
          <w:sz w:val="18"/>
          <w:szCs w:val="18"/>
        </w:rPr>
        <w:t>mmmyyyy</w:t>
      </w:r>
      <w:r w:rsidRPr="00BB2765">
        <w:rPr>
          <w:rFonts w:ascii="Arial" w:hAnsi="Arial"/>
          <w:sz w:val="18"/>
          <w:szCs w:val="18"/>
        </w:rPr>
        <w:t xml:space="preserve"> To: </w:t>
      </w:r>
      <w:r w:rsidRPr="00BB2765">
        <w:rPr>
          <w:rFonts w:ascii="Arial" w:hAnsi="Arial"/>
          <w:sz w:val="18"/>
          <w:szCs w:val="18"/>
        </w:rPr>
        <w:t>mmmyyyy</w:t>
      </w:r>
    </w:p>
    <w:p w:rsidR="00977B84" w:rsidRPr="00BB2765" w:rsidP="00170779">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szCs w:val="18"/>
        </w:rPr>
      </w:pPr>
      <w:r w:rsidRPr="00BB2765">
        <w:rPr>
          <w:rFonts w:ascii="Arial" w:hAnsi="Arial"/>
          <w:sz w:val="18"/>
          <w:szCs w:val="18"/>
        </w:rPr>
        <w:t>COSA:</w:t>
      </w:r>
      <w:r w:rsidRPr="00BB2765">
        <w:rPr>
          <w:rFonts w:ascii="Arial" w:hAnsi="Arial"/>
          <w:sz w:val="18"/>
          <w:szCs w:val="18"/>
        </w:rPr>
        <w:tab/>
      </w:r>
      <w:r w:rsidRPr="00BB2765">
        <w:rPr>
          <w:rFonts w:ascii="Arial" w:hAnsi="Arial"/>
          <w:sz w:val="18"/>
          <w:szCs w:val="18"/>
        </w:rPr>
        <w:tab/>
        <w:t>XYAZ</w:t>
      </w:r>
      <w:r w:rsidRPr="00BB2765">
        <w:rPr>
          <w:rFonts w:ascii="Arial" w:hAnsi="Arial"/>
          <w:sz w:val="18"/>
          <w:szCs w:val="18"/>
        </w:rPr>
        <w:tab/>
      </w:r>
      <w:r w:rsidRPr="00BB2765">
        <w:rPr>
          <w:rFonts w:ascii="Arial" w:hAnsi="Arial"/>
          <w:sz w:val="18"/>
          <w:szCs w:val="18"/>
        </w:rPr>
        <w:tab/>
      </w:r>
      <w:r w:rsidRPr="00BB2765">
        <w:rPr>
          <w:rFonts w:ascii="Arial" w:hAnsi="Arial"/>
          <w:sz w:val="18"/>
          <w:szCs w:val="18"/>
        </w:rPr>
        <w:tab/>
      </w:r>
    </w:p>
    <w:p w:rsidR="00977B84" w:rsidP="00977B84">
      <w:pPr>
        <w:tabs>
          <w:tab w:val="left" w:pos="-1080"/>
          <w:tab w:val="left" w:pos="-720"/>
          <w:tab w:val="left" w:pos="0"/>
          <w:tab w:val="left" w:pos="360"/>
          <w:tab w:val="left" w:pos="720"/>
          <w:tab w:val="left" w:pos="1080"/>
          <w:tab w:val="left" w:pos="1440"/>
          <w:tab w:val="left" w:pos="1800"/>
          <w:tab w:val="left" w:pos="2160"/>
          <w:tab w:val="left" w:pos="8010"/>
        </w:tabs>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977B84" w:rsidP="00977B84">
      <w:pPr>
        <w:pStyle w:val="Heading1"/>
        <w:jc w:val="center"/>
        <w:rPr>
          <w:b/>
          <w:sz w:val="22"/>
          <w:u w:val="none"/>
        </w:rPr>
      </w:pPr>
      <w:r>
        <w:rPr>
          <w:b/>
          <w:sz w:val="22"/>
          <w:u w:val="none"/>
        </w:rPr>
        <w:t>POLE AND CONDUIT RENTAL CALCULATION INFORMATION</w:t>
      </w:r>
    </w:p>
    <w:p w:rsidR="000F32E0" w:rsidRPr="00BB2765" w:rsidP="00BB2765">
      <w:pPr>
        <w:jc w:val="center"/>
        <w:rPr>
          <w:b/>
        </w:rPr>
      </w:pPr>
      <w:r w:rsidRPr="00BB2765">
        <w:rPr>
          <w:b/>
        </w:rPr>
        <w:t>Pole Attachment Data</w:t>
      </w:r>
    </w:p>
    <w:p w:rsidR="00977B84" w:rsidP="00977B84">
      <w:pPr>
        <w:tabs>
          <w:tab w:val="left" w:pos="-1080"/>
          <w:tab w:val="left" w:pos="-720"/>
          <w:tab w:val="left" w:pos="0"/>
          <w:tab w:val="left" w:pos="360"/>
          <w:tab w:val="left" w:pos="720"/>
          <w:tab w:val="left" w:pos="1080"/>
          <w:tab w:val="left" w:pos="1440"/>
          <w:tab w:val="left" w:pos="1800"/>
          <w:tab w:val="left" w:pos="2160"/>
        </w:tabs>
        <w:suppressAutoHyphens/>
        <w:jc w:val="center"/>
        <w:rPr>
          <w:rFonts w:ascii="Arial" w:hAnsi="Arial"/>
          <w:color w:val="000000"/>
          <w:sz w:val="18"/>
        </w:rPr>
      </w:pPr>
      <w:r>
        <w:rPr>
          <w:rFonts w:ascii="Arial" w:hAnsi="Arial"/>
          <w:color w:val="000000"/>
          <w:sz w:val="18"/>
        </w:rPr>
        <w:t xml:space="preserve">(Dollars in thousands; </w:t>
      </w:r>
      <w:r w:rsidR="000F32E0">
        <w:rPr>
          <w:rFonts w:ascii="Arial" w:hAnsi="Arial"/>
          <w:color w:val="000000"/>
          <w:sz w:val="18"/>
        </w:rPr>
        <w:t>o</w:t>
      </w:r>
      <w:r>
        <w:rPr>
          <w:rFonts w:ascii="Arial" w:hAnsi="Arial"/>
          <w:color w:val="000000"/>
          <w:sz w:val="18"/>
        </w:rPr>
        <w:t>perating data in actual units)</w:t>
      </w:r>
    </w:p>
    <w:p w:rsidR="00977B84" w:rsidP="00977B84">
      <w:pPr>
        <w:pStyle w:val="End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6030"/>
        <w:gridCol w:w="1980"/>
      </w:tblGrid>
      <w:tr w:rsidTr="00A576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17" w:type="dxa"/>
          </w:tcPr>
          <w:p w:rsidR="00977B84" w:rsidP="00A576FA">
            <w:pPr>
              <w:jc w:val="center"/>
              <w:rPr>
                <w:rFonts w:ascii="Arial" w:hAnsi="Arial"/>
                <w:sz w:val="20"/>
              </w:rPr>
            </w:pPr>
            <w:r>
              <w:rPr>
                <w:rFonts w:ascii="Arial" w:hAnsi="Arial"/>
                <w:sz w:val="20"/>
              </w:rPr>
              <w:t>Row</w:t>
            </w:r>
          </w:p>
          <w:p w:rsidR="00977B84" w:rsidP="00A576FA">
            <w:pPr>
              <w:jc w:val="center"/>
              <w:rPr>
                <w:rFonts w:ascii="Arial" w:hAnsi="Arial"/>
                <w:sz w:val="20"/>
              </w:rPr>
            </w:pPr>
          </w:p>
        </w:tc>
        <w:tc>
          <w:tcPr>
            <w:tcW w:w="6030" w:type="dxa"/>
          </w:tcPr>
          <w:p w:rsidR="00977B84" w:rsidP="00A576FA">
            <w:pPr>
              <w:jc w:val="center"/>
              <w:rPr>
                <w:rFonts w:ascii="Arial" w:hAnsi="Arial"/>
                <w:sz w:val="20"/>
              </w:rPr>
            </w:pPr>
            <w:r>
              <w:rPr>
                <w:rFonts w:ascii="Arial" w:hAnsi="Arial"/>
                <w:sz w:val="20"/>
              </w:rPr>
              <w:t>Row Title</w:t>
            </w:r>
          </w:p>
          <w:p w:rsidR="00977B84" w:rsidP="00A576FA">
            <w:pPr>
              <w:jc w:val="center"/>
              <w:rPr>
                <w:rFonts w:ascii="Arial" w:hAnsi="Arial"/>
                <w:sz w:val="20"/>
              </w:rPr>
            </w:pPr>
            <w:r>
              <w:rPr>
                <w:rFonts w:ascii="Arial" w:hAnsi="Arial"/>
                <w:sz w:val="20"/>
              </w:rPr>
              <w:t>(a)</w:t>
            </w:r>
          </w:p>
        </w:tc>
        <w:tc>
          <w:tcPr>
            <w:tcW w:w="1980" w:type="dxa"/>
          </w:tcPr>
          <w:p w:rsidR="00977B84" w:rsidP="00A576FA">
            <w:pPr>
              <w:jc w:val="center"/>
              <w:rPr>
                <w:rFonts w:ascii="Arial" w:hAnsi="Arial"/>
                <w:sz w:val="20"/>
              </w:rPr>
            </w:pPr>
            <w:r>
              <w:rPr>
                <w:rFonts w:ascii="Arial" w:hAnsi="Arial"/>
                <w:sz w:val="20"/>
              </w:rPr>
              <w:t>Amount</w:t>
            </w:r>
          </w:p>
          <w:p w:rsidR="00977B84" w:rsidP="00A576FA">
            <w:pPr>
              <w:jc w:val="center"/>
              <w:rPr>
                <w:rFonts w:ascii="Arial" w:hAnsi="Arial"/>
                <w:sz w:val="20"/>
              </w:rPr>
            </w:pPr>
            <w:r>
              <w:rPr>
                <w:rFonts w:ascii="Arial" w:hAnsi="Arial"/>
                <w:sz w:val="20"/>
              </w:rPr>
              <w:t>(b)</w:t>
            </w:r>
          </w:p>
        </w:tc>
      </w:tr>
    </w:tbl>
    <w:p w:rsidR="00977B84" w:rsidP="00977B84">
      <w:pPr>
        <w:pStyle w:val="Caption"/>
        <w:rPr>
          <w:rFonts w:ascii="Arial" w:hAnsi="Arial"/>
          <w:b/>
          <w:sz w:val="20"/>
        </w:rPr>
      </w:pPr>
      <w:r>
        <w:rPr>
          <w:rFonts w:ascii="Arial" w:hAnsi="Arial"/>
          <w:b/>
          <w:sz w:val="20"/>
        </w:rPr>
        <w:t xml:space="preserve">     Financial Information </w:t>
      </w:r>
      <w:r>
        <w:rPr>
          <w:rFonts w:ascii="Arial" w:hAnsi="Arial"/>
          <w:b/>
          <w:i/>
          <w:sz w:val="20"/>
        </w:rPr>
        <w:t>($000)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6021"/>
        <w:gridCol w:w="1980"/>
      </w:tblGrid>
      <w:tr w:rsidTr="00A576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100</w:t>
            </w:r>
          </w:p>
        </w:tc>
        <w:tc>
          <w:tcPr>
            <w:tcW w:w="6021" w:type="dxa"/>
          </w:tcPr>
          <w:p w:rsidR="00977B84" w:rsidP="00A576FA">
            <w:pPr>
              <w:rPr>
                <w:rFonts w:ascii="Arial" w:hAnsi="Arial"/>
                <w:sz w:val="20"/>
              </w:rPr>
            </w:pPr>
            <w:r>
              <w:rPr>
                <w:rFonts w:ascii="Arial" w:hAnsi="Arial"/>
                <w:sz w:val="20"/>
              </w:rPr>
              <w:t>Telecommunications Plant-in-Service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101</w:t>
            </w:r>
          </w:p>
        </w:tc>
        <w:tc>
          <w:tcPr>
            <w:tcW w:w="6021" w:type="dxa"/>
          </w:tcPr>
          <w:p w:rsidR="00977B84" w:rsidP="00A576FA">
            <w:pPr>
              <w:rPr>
                <w:rFonts w:ascii="Arial" w:hAnsi="Arial"/>
                <w:sz w:val="20"/>
              </w:rPr>
            </w:pPr>
            <w:r>
              <w:rPr>
                <w:rFonts w:ascii="Arial" w:hAnsi="Arial"/>
                <w:sz w:val="20"/>
              </w:rPr>
              <w:t>Gross Investment – Poles</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102</w:t>
            </w:r>
          </w:p>
        </w:tc>
        <w:tc>
          <w:tcPr>
            <w:tcW w:w="6021" w:type="dxa"/>
          </w:tcPr>
          <w:p w:rsidR="00977B84" w:rsidP="00A576FA">
            <w:pPr>
              <w:rPr>
                <w:rFonts w:ascii="Arial" w:hAnsi="Arial"/>
                <w:sz w:val="20"/>
              </w:rPr>
            </w:pPr>
            <w:r>
              <w:rPr>
                <w:rFonts w:ascii="Arial" w:hAnsi="Arial"/>
                <w:sz w:val="20"/>
              </w:rPr>
              <w:t>Gross Investment – Conduit</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200</w:t>
            </w:r>
          </w:p>
        </w:tc>
        <w:tc>
          <w:tcPr>
            <w:tcW w:w="6021" w:type="dxa"/>
          </w:tcPr>
          <w:p w:rsidR="00977B84" w:rsidP="00A576FA">
            <w:pPr>
              <w:rPr>
                <w:rFonts w:ascii="Arial" w:hAnsi="Arial"/>
                <w:sz w:val="20"/>
              </w:rPr>
            </w:pPr>
            <w:r>
              <w:rPr>
                <w:rFonts w:ascii="Arial" w:hAnsi="Arial"/>
                <w:sz w:val="20"/>
              </w:rPr>
              <w:t>Accumulated Depreciation – Total Plant-in-Service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201</w:t>
            </w:r>
          </w:p>
        </w:tc>
        <w:tc>
          <w:tcPr>
            <w:tcW w:w="6021" w:type="dxa"/>
          </w:tcPr>
          <w:p w:rsidR="00977B84" w:rsidP="00A576FA">
            <w:pPr>
              <w:rPr>
                <w:rFonts w:ascii="Arial" w:hAnsi="Arial"/>
                <w:sz w:val="20"/>
              </w:rPr>
            </w:pPr>
            <w:r>
              <w:rPr>
                <w:rFonts w:ascii="Arial" w:hAnsi="Arial"/>
                <w:sz w:val="20"/>
              </w:rPr>
              <w:t>Accumulated Depreciation – Poles</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202</w:t>
            </w:r>
          </w:p>
        </w:tc>
        <w:tc>
          <w:tcPr>
            <w:tcW w:w="6021" w:type="dxa"/>
          </w:tcPr>
          <w:p w:rsidR="00977B84" w:rsidP="00A576FA">
            <w:pPr>
              <w:rPr>
                <w:rFonts w:ascii="Arial" w:hAnsi="Arial"/>
                <w:sz w:val="20"/>
              </w:rPr>
            </w:pPr>
            <w:r>
              <w:rPr>
                <w:rFonts w:ascii="Arial" w:hAnsi="Arial"/>
                <w:sz w:val="20"/>
              </w:rPr>
              <w:t>Accumulated Depreciation – Conduit</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301</w:t>
            </w:r>
          </w:p>
        </w:tc>
        <w:tc>
          <w:tcPr>
            <w:tcW w:w="6021" w:type="dxa"/>
          </w:tcPr>
          <w:p w:rsidR="00977B84" w:rsidP="00A576FA">
            <w:pPr>
              <w:rPr>
                <w:rFonts w:ascii="Arial" w:hAnsi="Arial"/>
                <w:sz w:val="20"/>
              </w:rPr>
            </w:pPr>
            <w:r>
              <w:rPr>
                <w:rFonts w:ascii="Arial" w:hAnsi="Arial"/>
                <w:sz w:val="20"/>
              </w:rPr>
              <w:t>Depreciation Rate – Poles</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302</w:t>
            </w:r>
          </w:p>
        </w:tc>
        <w:tc>
          <w:tcPr>
            <w:tcW w:w="6021" w:type="dxa"/>
          </w:tcPr>
          <w:p w:rsidR="00977B84" w:rsidP="00A576FA">
            <w:pPr>
              <w:rPr>
                <w:rFonts w:ascii="Arial" w:hAnsi="Arial"/>
                <w:sz w:val="20"/>
              </w:rPr>
            </w:pPr>
            <w:r>
              <w:rPr>
                <w:rFonts w:ascii="Arial" w:hAnsi="Arial"/>
                <w:sz w:val="20"/>
              </w:rPr>
              <w:t>Depreciation Rate – Conduit</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401</w:t>
            </w:r>
          </w:p>
        </w:tc>
        <w:tc>
          <w:tcPr>
            <w:tcW w:w="6021" w:type="dxa"/>
          </w:tcPr>
          <w:p w:rsidR="00977B84" w:rsidRPr="00BD2BD2" w:rsidP="00A576FA">
            <w:pPr>
              <w:rPr>
                <w:rFonts w:ascii="Arial" w:hAnsi="Arial" w:cs="Arial"/>
                <w:sz w:val="20"/>
              </w:rPr>
            </w:pPr>
            <w:r w:rsidRPr="00BD2BD2">
              <w:rPr>
                <w:rFonts w:ascii="Arial" w:hAnsi="Arial" w:cs="Arial"/>
                <w:sz w:val="20"/>
              </w:rPr>
              <w:t>Net Current Deferred Operating Income Taxes – Poles</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402</w:t>
            </w:r>
          </w:p>
        </w:tc>
        <w:tc>
          <w:tcPr>
            <w:tcW w:w="6021" w:type="dxa"/>
          </w:tcPr>
          <w:p w:rsidR="00977B84" w:rsidRPr="00BD2BD2" w:rsidP="00A576FA">
            <w:pPr>
              <w:rPr>
                <w:rFonts w:ascii="Arial" w:hAnsi="Arial" w:cs="Arial"/>
                <w:sz w:val="20"/>
              </w:rPr>
            </w:pPr>
            <w:r w:rsidRPr="00BD2BD2">
              <w:rPr>
                <w:rFonts w:ascii="Arial" w:hAnsi="Arial" w:cs="Arial"/>
                <w:sz w:val="20"/>
              </w:rPr>
              <w:t>Net Current Deferred Operating Income Taxes – Conduit</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403</w:t>
            </w:r>
          </w:p>
        </w:tc>
        <w:tc>
          <w:tcPr>
            <w:tcW w:w="6021" w:type="dxa"/>
          </w:tcPr>
          <w:p w:rsidR="00977B84" w:rsidRPr="00BD2BD2" w:rsidP="00A576FA">
            <w:pPr>
              <w:rPr>
                <w:rFonts w:ascii="Arial" w:hAnsi="Arial" w:cs="Arial"/>
                <w:sz w:val="20"/>
              </w:rPr>
            </w:pPr>
            <w:r w:rsidRPr="00BD2BD2">
              <w:rPr>
                <w:rFonts w:ascii="Arial" w:hAnsi="Arial" w:cs="Arial"/>
                <w:sz w:val="20"/>
              </w:rPr>
              <w:t xml:space="preserve">Net Current Deferred Operating Income Taxes – Total </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404</w:t>
            </w:r>
          </w:p>
        </w:tc>
        <w:tc>
          <w:tcPr>
            <w:tcW w:w="6021" w:type="dxa"/>
          </w:tcPr>
          <w:p w:rsidR="00977B84" w:rsidRPr="00BD2BD2" w:rsidP="00A576FA">
            <w:pPr>
              <w:rPr>
                <w:rFonts w:ascii="Arial" w:hAnsi="Arial" w:cs="Arial"/>
                <w:sz w:val="20"/>
              </w:rPr>
            </w:pPr>
            <w:r w:rsidRPr="00BD2BD2">
              <w:rPr>
                <w:rFonts w:ascii="Arial" w:hAnsi="Arial" w:cs="Arial"/>
                <w:sz w:val="20"/>
              </w:rPr>
              <w:t>Net Non-current Deferred Operating Income Taxes – Poles</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405</w:t>
            </w:r>
          </w:p>
        </w:tc>
        <w:tc>
          <w:tcPr>
            <w:tcW w:w="6021" w:type="dxa"/>
          </w:tcPr>
          <w:p w:rsidR="00977B84" w:rsidRPr="00BD2BD2" w:rsidP="00A576FA">
            <w:pPr>
              <w:rPr>
                <w:rFonts w:ascii="Arial" w:hAnsi="Arial" w:cs="Arial"/>
                <w:sz w:val="20"/>
              </w:rPr>
            </w:pPr>
            <w:r w:rsidRPr="00BD2BD2">
              <w:rPr>
                <w:rFonts w:ascii="Arial" w:hAnsi="Arial" w:cs="Arial"/>
                <w:sz w:val="20"/>
              </w:rPr>
              <w:t>Net Non-current Deferred Operating Income Taxes – Conduit</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406</w:t>
            </w:r>
          </w:p>
        </w:tc>
        <w:tc>
          <w:tcPr>
            <w:tcW w:w="6021" w:type="dxa"/>
          </w:tcPr>
          <w:p w:rsidR="00977B84" w:rsidRPr="00BD2BD2" w:rsidP="00A576FA">
            <w:pPr>
              <w:rPr>
                <w:rFonts w:ascii="Arial" w:hAnsi="Arial" w:cs="Arial"/>
                <w:sz w:val="20"/>
              </w:rPr>
            </w:pPr>
            <w:r w:rsidRPr="00BD2BD2">
              <w:rPr>
                <w:rFonts w:ascii="Arial" w:hAnsi="Arial" w:cs="Arial"/>
                <w:sz w:val="20"/>
              </w:rPr>
              <w:t>Net Non-current Deferred Operating Income Taxes – Total</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501.1</w:t>
            </w:r>
          </w:p>
        </w:tc>
        <w:tc>
          <w:tcPr>
            <w:tcW w:w="6021" w:type="dxa"/>
          </w:tcPr>
          <w:p w:rsidR="00977B84" w:rsidP="00A576FA">
            <w:pPr>
              <w:rPr>
                <w:rFonts w:ascii="Arial" w:hAnsi="Arial"/>
                <w:sz w:val="20"/>
              </w:rPr>
            </w:pPr>
            <w:r>
              <w:rPr>
                <w:rFonts w:ascii="Arial" w:hAnsi="Arial"/>
                <w:sz w:val="20"/>
              </w:rPr>
              <w:t>Pole Maintenance Expense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501.2</w:t>
            </w:r>
          </w:p>
        </w:tc>
        <w:tc>
          <w:tcPr>
            <w:tcW w:w="6021" w:type="dxa"/>
          </w:tcPr>
          <w:p w:rsidR="00977B84" w:rsidP="00A576FA">
            <w:pPr>
              <w:rPr>
                <w:rFonts w:ascii="Arial" w:hAnsi="Arial"/>
                <w:sz w:val="20"/>
              </w:rPr>
            </w:pPr>
            <w:r>
              <w:rPr>
                <w:rFonts w:ascii="Arial" w:hAnsi="Arial"/>
                <w:sz w:val="20"/>
              </w:rPr>
              <w:t>Pole Rental Expense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501</w:t>
            </w:r>
          </w:p>
        </w:tc>
        <w:tc>
          <w:tcPr>
            <w:tcW w:w="6021" w:type="dxa"/>
          </w:tcPr>
          <w:p w:rsidR="00977B84" w:rsidP="00A576FA">
            <w:pPr>
              <w:rPr>
                <w:rFonts w:ascii="Arial" w:hAnsi="Arial"/>
                <w:sz w:val="20"/>
              </w:rPr>
            </w:pPr>
            <w:r>
              <w:rPr>
                <w:rFonts w:ascii="Arial" w:hAnsi="Arial"/>
                <w:sz w:val="20"/>
              </w:rPr>
              <w:t>Pole Expense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502.1</w:t>
            </w:r>
          </w:p>
        </w:tc>
        <w:tc>
          <w:tcPr>
            <w:tcW w:w="6021" w:type="dxa"/>
          </w:tcPr>
          <w:p w:rsidR="00977B84" w:rsidP="00A576FA">
            <w:pPr>
              <w:rPr>
                <w:rFonts w:ascii="Arial" w:hAnsi="Arial"/>
                <w:sz w:val="20"/>
              </w:rPr>
            </w:pPr>
            <w:r>
              <w:rPr>
                <w:rFonts w:ascii="Arial" w:hAnsi="Arial"/>
                <w:sz w:val="20"/>
              </w:rPr>
              <w:t>Conduit Maintenance Expense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502.2</w:t>
            </w:r>
          </w:p>
        </w:tc>
        <w:tc>
          <w:tcPr>
            <w:tcW w:w="6021" w:type="dxa"/>
          </w:tcPr>
          <w:p w:rsidR="00977B84" w:rsidP="00A576FA">
            <w:pPr>
              <w:rPr>
                <w:rFonts w:ascii="Arial" w:hAnsi="Arial"/>
                <w:sz w:val="20"/>
              </w:rPr>
            </w:pPr>
            <w:r>
              <w:rPr>
                <w:rFonts w:ascii="Arial" w:hAnsi="Arial"/>
                <w:sz w:val="20"/>
              </w:rPr>
              <w:t>Conduit Rental Expense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502</w:t>
            </w:r>
          </w:p>
        </w:tc>
        <w:tc>
          <w:tcPr>
            <w:tcW w:w="6021" w:type="dxa"/>
          </w:tcPr>
          <w:p w:rsidR="00977B84" w:rsidP="00A576FA">
            <w:pPr>
              <w:rPr>
                <w:rFonts w:ascii="Arial" w:hAnsi="Arial"/>
                <w:sz w:val="20"/>
              </w:rPr>
            </w:pPr>
            <w:r>
              <w:rPr>
                <w:rFonts w:ascii="Arial" w:hAnsi="Arial"/>
                <w:sz w:val="20"/>
              </w:rPr>
              <w:t>Conduit Expense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503</w:t>
            </w:r>
          </w:p>
        </w:tc>
        <w:tc>
          <w:tcPr>
            <w:tcW w:w="6021" w:type="dxa"/>
          </w:tcPr>
          <w:p w:rsidR="00977B84" w:rsidP="00A576FA">
            <w:pPr>
              <w:rPr>
                <w:rFonts w:ascii="Arial" w:hAnsi="Arial"/>
                <w:sz w:val="20"/>
              </w:rPr>
            </w:pPr>
            <w:r>
              <w:rPr>
                <w:rFonts w:ascii="Arial" w:hAnsi="Arial"/>
                <w:sz w:val="20"/>
              </w:rPr>
              <w:t>General &amp; Administrative Expense</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r>
              <w:rPr>
                <w:rFonts w:ascii="Arial" w:hAnsi="Arial"/>
                <w:sz w:val="20"/>
              </w:rPr>
              <w:t>504</w:t>
            </w:r>
          </w:p>
        </w:tc>
        <w:tc>
          <w:tcPr>
            <w:tcW w:w="6021" w:type="dxa"/>
          </w:tcPr>
          <w:p w:rsidR="00977B84" w:rsidP="00A576FA">
            <w:pPr>
              <w:rPr>
                <w:rFonts w:ascii="Arial" w:hAnsi="Arial"/>
                <w:sz w:val="20"/>
              </w:rPr>
            </w:pPr>
            <w:r>
              <w:rPr>
                <w:rFonts w:ascii="Arial" w:hAnsi="Arial"/>
                <w:sz w:val="20"/>
              </w:rPr>
              <w:t>Operating Taxes</w:t>
            </w:r>
          </w:p>
        </w:tc>
        <w:tc>
          <w:tcPr>
            <w:tcW w:w="1980"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09" w:type="dxa"/>
          </w:tcPr>
          <w:p w:rsidR="00977B84" w:rsidP="00A576FA">
            <w:pPr>
              <w:jc w:val="center"/>
              <w:rPr>
                <w:rFonts w:ascii="Arial" w:hAnsi="Arial"/>
                <w:sz w:val="20"/>
              </w:rPr>
            </w:pPr>
          </w:p>
        </w:tc>
        <w:tc>
          <w:tcPr>
            <w:tcW w:w="6021" w:type="dxa"/>
          </w:tcPr>
          <w:p w:rsidR="00977B84" w:rsidP="00A576FA">
            <w:pPr>
              <w:rPr>
                <w:rFonts w:ascii="Arial" w:hAnsi="Arial"/>
                <w:sz w:val="20"/>
              </w:rPr>
            </w:pPr>
          </w:p>
        </w:tc>
        <w:tc>
          <w:tcPr>
            <w:tcW w:w="1980" w:type="dxa"/>
          </w:tcPr>
          <w:p w:rsidR="00977B84" w:rsidP="00A576FA">
            <w:pPr>
              <w:rPr>
                <w:rFonts w:ascii="Arial" w:hAnsi="Arial"/>
                <w:sz w:val="20"/>
              </w:rPr>
            </w:pPr>
          </w:p>
        </w:tc>
      </w:tr>
    </w:tbl>
    <w:p w:rsidR="00977B84" w:rsidP="00977B84">
      <w:pPr>
        <w:pStyle w:val="Caption"/>
        <w:rPr>
          <w:rFonts w:ascii="Arial" w:hAnsi="Arial"/>
          <w:b/>
          <w:i/>
          <w:sz w:val="20"/>
        </w:rPr>
      </w:pPr>
      <w:r>
        <w:rPr>
          <w:rFonts w:ascii="Arial" w:hAnsi="Arial"/>
          <w:b/>
          <w:sz w:val="20"/>
        </w:rPr>
        <w:t xml:space="preserve">     Operational Data </w:t>
      </w:r>
      <w:r>
        <w:rPr>
          <w:rFonts w:ascii="Arial" w:hAnsi="Arial"/>
          <w:b/>
          <w:i/>
          <w:sz w:val="20"/>
        </w:rPr>
        <w:t>(Actual)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5940"/>
        <w:gridCol w:w="1998"/>
      </w:tblGrid>
      <w:tr w:rsidTr="00A576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18" w:type="dxa"/>
          </w:tcPr>
          <w:p w:rsidR="00977B84" w:rsidP="00A576FA">
            <w:pPr>
              <w:jc w:val="center"/>
              <w:rPr>
                <w:rFonts w:ascii="Arial" w:hAnsi="Arial"/>
                <w:sz w:val="20"/>
              </w:rPr>
            </w:pPr>
            <w:r>
              <w:rPr>
                <w:rFonts w:ascii="Arial" w:hAnsi="Arial"/>
                <w:sz w:val="20"/>
              </w:rPr>
              <w:t>601</w:t>
            </w:r>
          </w:p>
        </w:tc>
        <w:tc>
          <w:tcPr>
            <w:tcW w:w="5940" w:type="dxa"/>
          </w:tcPr>
          <w:p w:rsidR="00977B84" w:rsidP="00A576FA">
            <w:pPr>
              <w:rPr>
                <w:rFonts w:ascii="Arial" w:hAnsi="Arial"/>
                <w:sz w:val="20"/>
              </w:rPr>
            </w:pPr>
            <w:r>
              <w:rPr>
                <w:rFonts w:ascii="Arial" w:hAnsi="Arial"/>
                <w:sz w:val="20"/>
              </w:rPr>
              <w:t>Equivalent Number of Poles</w:t>
            </w:r>
          </w:p>
        </w:tc>
        <w:tc>
          <w:tcPr>
            <w:tcW w:w="1998"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18" w:type="dxa"/>
          </w:tcPr>
          <w:p w:rsidR="00977B84" w:rsidP="00A576FA">
            <w:pPr>
              <w:jc w:val="center"/>
              <w:rPr>
                <w:rFonts w:ascii="Arial" w:hAnsi="Arial"/>
                <w:sz w:val="20"/>
              </w:rPr>
            </w:pPr>
            <w:r>
              <w:rPr>
                <w:rFonts w:ascii="Arial" w:hAnsi="Arial"/>
                <w:sz w:val="20"/>
              </w:rPr>
              <w:t>602</w:t>
            </w:r>
          </w:p>
        </w:tc>
        <w:tc>
          <w:tcPr>
            <w:tcW w:w="5940" w:type="dxa"/>
          </w:tcPr>
          <w:p w:rsidR="00977B84" w:rsidP="00A576FA">
            <w:pPr>
              <w:rPr>
                <w:rFonts w:ascii="Arial" w:hAnsi="Arial"/>
                <w:sz w:val="20"/>
              </w:rPr>
            </w:pPr>
            <w:r>
              <w:rPr>
                <w:rFonts w:ascii="Arial" w:hAnsi="Arial"/>
                <w:sz w:val="20"/>
              </w:rPr>
              <w:t>Conduit System Trench Kilometers</w:t>
            </w:r>
          </w:p>
        </w:tc>
        <w:tc>
          <w:tcPr>
            <w:tcW w:w="1998"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18" w:type="dxa"/>
          </w:tcPr>
          <w:p w:rsidR="00977B84" w:rsidP="00A576FA">
            <w:pPr>
              <w:jc w:val="center"/>
              <w:rPr>
                <w:rFonts w:ascii="Arial" w:hAnsi="Arial"/>
                <w:sz w:val="20"/>
              </w:rPr>
            </w:pPr>
            <w:r>
              <w:rPr>
                <w:rFonts w:ascii="Arial" w:hAnsi="Arial"/>
                <w:sz w:val="20"/>
              </w:rPr>
              <w:t>603</w:t>
            </w:r>
          </w:p>
        </w:tc>
        <w:tc>
          <w:tcPr>
            <w:tcW w:w="5940" w:type="dxa"/>
          </w:tcPr>
          <w:p w:rsidR="00977B84" w:rsidP="00A576FA">
            <w:pPr>
              <w:rPr>
                <w:rFonts w:ascii="Arial" w:hAnsi="Arial"/>
                <w:sz w:val="20"/>
              </w:rPr>
            </w:pPr>
            <w:r>
              <w:rPr>
                <w:rFonts w:ascii="Arial" w:hAnsi="Arial"/>
                <w:sz w:val="20"/>
              </w:rPr>
              <w:t>Conduit System Duct Kilometers</w:t>
            </w:r>
          </w:p>
        </w:tc>
        <w:tc>
          <w:tcPr>
            <w:tcW w:w="1998" w:type="dxa"/>
          </w:tcPr>
          <w:p w:rsidR="00977B84" w:rsidP="00A576FA">
            <w:pPr>
              <w:rPr>
                <w:rFonts w:ascii="Arial" w:hAnsi="Arial"/>
                <w:sz w:val="20"/>
              </w:rPr>
            </w:pPr>
          </w:p>
        </w:tc>
      </w:tr>
      <w:tr w:rsidTr="00A576FA">
        <w:tblPrEx>
          <w:tblW w:w="0" w:type="auto"/>
          <w:jc w:val="center"/>
          <w:tblLayout w:type="fixed"/>
          <w:tblLook w:val="0000"/>
        </w:tblPrEx>
        <w:trPr>
          <w:jc w:val="center"/>
        </w:trPr>
        <w:tc>
          <w:tcPr>
            <w:tcW w:w="918" w:type="dxa"/>
          </w:tcPr>
          <w:p w:rsidR="00977B84" w:rsidP="00A576FA">
            <w:pPr>
              <w:jc w:val="center"/>
              <w:rPr>
                <w:rFonts w:ascii="Arial" w:hAnsi="Arial"/>
                <w:sz w:val="20"/>
              </w:rPr>
            </w:pPr>
          </w:p>
        </w:tc>
        <w:tc>
          <w:tcPr>
            <w:tcW w:w="5940" w:type="dxa"/>
          </w:tcPr>
          <w:p w:rsidR="00977B84" w:rsidP="00A576FA">
            <w:pPr>
              <w:rPr>
                <w:rFonts w:ascii="Arial" w:hAnsi="Arial"/>
                <w:sz w:val="20"/>
              </w:rPr>
            </w:pPr>
          </w:p>
        </w:tc>
        <w:tc>
          <w:tcPr>
            <w:tcW w:w="1998" w:type="dxa"/>
          </w:tcPr>
          <w:p w:rsidR="00977B84" w:rsidP="00A576FA">
            <w:pPr>
              <w:rPr>
                <w:rFonts w:ascii="Arial" w:hAnsi="Arial"/>
                <w:sz w:val="20"/>
              </w:rPr>
            </w:pPr>
          </w:p>
        </w:tc>
      </w:tr>
    </w:tbl>
    <w:p w:rsidR="00977B84" w:rsidP="00977B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5940"/>
        <w:gridCol w:w="1998"/>
      </w:tblGrid>
      <w:tr w:rsidTr="00A576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18" w:type="dxa"/>
          </w:tcPr>
          <w:p w:rsidR="00977B84" w:rsidP="00A576FA">
            <w:pPr>
              <w:jc w:val="center"/>
              <w:rPr>
                <w:rFonts w:ascii="Arial" w:hAnsi="Arial"/>
                <w:sz w:val="20"/>
              </w:rPr>
            </w:pPr>
            <w:r>
              <w:rPr>
                <w:rFonts w:ascii="Arial" w:hAnsi="Arial"/>
                <w:sz w:val="20"/>
              </w:rPr>
              <w:t>700</w:t>
            </w:r>
          </w:p>
        </w:tc>
        <w:tc>
          <w:tcPr>
            <w:tcW w:w="5940" w:type="dxa"/>
          </w:tcPr>
          <w:p w:rsidR="00977B84" w:rsidRPr="00BD2BD2" w:rsidP="00A576FA">
            <w:pPr>
              <w:rPr>
                <w:rFonts w:ascii="Arial" w:hAnsi="Arial" w:cs="Arial"/>
                <w:sz w:val="20"/>
              </w:rPr>
            </w:pPr>
            <w:r w:rsidRPr="00BD2BD2">
              <w:rPr>
                <w:rFonts w:ascii="Arial" w:hAnsi="Arial" w:cs="Arial"/>
                <w:sz w:val="20"/>
              </w:rPr>
              <w:t>Additional Rental Calculation Information</w:t>
            </w:r>
          </w:p>
        </w:tc>
        <w:tc>
          <w:tcPr>
            <w:tcW w:w="1998" w:type="dxa"/>
          </w:tcPr>
          <w:p w:rsidR="00977B84" w:rsidP="00A576FA">
            <w:pPr>
              <w:rPr>
                <w:rFonts w:ascii="Arial" w:hAnsi="Arial"/>
                <w:sz w:val="20"/>
              </w:rPr>
            </w:pPr>
          </w:p>
        </w:tc>
      </w:tr>
    </w:tbl>
    <w:p w:rsidR="00977B84" w:rsidP="00977B84">
      <w:pPr>
        <w:tabs>
          <w:tab w:val="left" w:pos="-1080"/>
          <w:tab w:val="left" w:pos="-720"/>
          <w:tab w:val="left" w:pos="0"/>
          <w:tab w:val="left" w:pos="360"/>
          <w:tab w:val="left" w:pos="720"/>
          <w:tab w:val="left" w:pos="1080"/>
          <w:tab w:val="left" w:pos="1440"/>
          <w:tab w:val="left" w:pos="1800"/>
          <w:tab w:val="left" w:pos="2160"/>
        </w:tabs>
        <w:suppressAutoHyphens/>
        <w:rPr>
          <w:rFonts w:ascii="Arial" w:hAnsi="Arial"/>
          <w:sz w:val="20"/>
        </w:rPr>
      </w:pPr>
    </w:p>
    <w:p w:rsidR="003F6950" w:rsidRPr="00BB2765" w:rsidP="005B4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jc w:val="both"/>
        <w:rPr>
          <w:rFonts w:ascii="Arial" w:hAnsi="Arial" w:cs="Arial"/>
          <w:sz w:val="18"/>
          <w:szCs w:val="18"/>
        </w:rPr>
      </w:pPr>
      <w:r w:rsidRPr="00BB2765">
        <w:rPr>
          <w:rFonts w:ascii="Arial" w:hAnsi="Arial" w:cs="Arial"/>
          <w:b/>
          <w:sz w:val="18"/>
          <w:szCs w:val="18"/>
          <w:u w:val="single"/>
        </w:rPr>
        <w:t>Footnotes</w:t>
      </w:r>
      <w:r w:rsidRPr="00B9317E">
        <w:rPr>
          <w:rFonts w:ascii="Arial" w:hAnsi="Arial" w:cs="Arial"/>
          <w:sz w:val="18"/>
          <w:szCs w:val="18"/>
        </w:rPr>
        <w:t xml:space="preserve">: </w:t>
      </w:r>
      <w:r w:rsidR="000F32E0">
        <w:rPr>
          <w:rFonts w:ascii="Arial" w:hAnsi="Arial" w:cs="Arial"/>
          <w:sz w:val="18"/>
          <w:szCs w:val="18"/>
        </w:rPr>
        <w:t xml:space="preserve"> </w:t>
      </w:r>
      <w:r w:rsidRPr="00B9317E">
        <w:rPr>
          <w:rFonts w:ascii="Arial" w:hAnsi="Arial" w:cs="Arial"/>
          <w:spacing w:val="-3"/>
          <w:sz w:val="18"/>
          <w:szCs w:val="18"/>
        </w:rPr>
        <w:t xml:space="preserve">Footnotes should appear at the </w:t>
      </w:r>
      <w:r>
        <w:rPr>
          <w:rFonts w:ascii="Arial" w:hAnsi="Arial" w:cs="Arial"/>
          <w:spacing w:val="-3"/>
          <w:sz w:val="18"/>
          <w:szCs w:val="18"/>
        </w:rPr>
        <w:t>bottom</w:t>
      </w:r>
      <w:r w:rsidRPr="00B9317E">
        <w:rPr>
          <w:rFonts w:ascii="Arial" w:hAnsi="Arial" w:cs="Arial"/>
          <w:spacing w:val="-3"/>
          <w:sz w:val="18"/>
          <w:szCs w:val="18"/>
        </w:rPr>
        <w:t xml:space="preserve"> of a table.  Use numerical superscripts to indicate a footnote.  If the footnote applies to a single data entry, place the superscript on the entry. If it applies to an entire row and or column, footnote the row or column header.  </w:t>
      </w:r>
      <w:r>
        <w:rPr>
          <w:rFonts w:ascii="Arial" w:hAnsi="Arial" w:cs="Arial"/>
          <w:spacing w:val="-3"/>
          <w:sz w:val="18"/>
          <w:szCs w:val="18"/>
        </w:rPr>
        <w:t>See the reporting procedures document for the use of footnotes when an erratum is required.</w:t>
      </w:r>
    </w:p>
    <w:p w:rsidR="00D10DF1" w:rsidP="005B4282">
      <w:pPr>
        <w:suppressAutoHyphens/>
        <w:jc w:val="both"/>
        <w:outlineLvl w:val="0"/>
        <w:sectPr w:rsidSect="00B41A63">
          <w:headerReference w:type="default" r:id="rId8"/>
          <w:endnotePr>
            <w:numFmt w:val="decimal"/>
          </w:endnotePr>
          <w:pgSz w:w="12240" w:h="15840"/>
          <w:pgMar w:top="1152" w:right="1440" w:bottom="900" w:left="1440" w:header="720" w:footer="720" w:gutter="0"/>
          <w:cols w:space="720"/>
          <w:noEndnote/>
        </w:sectPr>
      </w:pPr>
    </w:p>
    <w:p w:rsidR="00133457">
      <w:pPr>
        <w:suppressAutoHyphens/>
        <w:jc w:val="center"/>
        <w:outlineLvl w:val="0"/>
      </w:pPr>
      <w:r>
        <w:t>TABLE I - COST AND REVENUE TABLE</w:t>
      </w:r>
    </w:p>
    <w:p w:rsidR="00133457">
      <w:pPr>
        <w:suppressAutoHyphens/>
      </w:pPr>
      <w:r>
        <w:fldChar w:fldCharType="begin"/>
      </w:r>
      <w:r>
        <w:instrText xml:space="preserve">PRIVATE </w:instrText>
      </w:r>
      <w:r>
        <w:fldChar w:fldCharType="end"/>
      </w:r>
    </w:p>
    <w:p w:rsidR="00133457">
      <w:pPr>
        <w:suppressAutoHyphens/>
        <w:jc w:val="center"/>
        <w:outlineLvl w:val="0"/>
      </w:pPr>
      <w:r>
        <w:t>GENERAL INSTRUCTIONS</w:t>
      </w:r>
    </w:p>
    <w:p w:rsidR="00133457">
      <w:pPr>
        <w:suppressAutoHyphens/>
        <w:jc w:val="center"/>
      </w:pPr>
    </w:p>
    <w:p w:rsidR="00133457">
      <w:pPr>
        <w:suppressAutoHyphens/>
        <w:jc w:val="both"/>
        <w:rPr>
          <w:spacing w:val="-3"/>
        </w:rPr>
      </w:pPr>
      <w:r>
        <w:rPr>
          <w:spacing w:val="-3"/>
        </w:rPr>
        <w:t>Table I requires annual reporting, on an end-of-the-year basis, of revenue, expense, reserve and investment data for all aspects of the carriers' operations.</w:t>
      </w:r>
    </w:p>
    <w:p w:rsidR="00B03971">
      <w:pPr>
        <w:suppressAutoHyphens/>
        <w:jc w:val="both"/>
        <w:rPr>
          <w:b/>
        </w:rPr>
      </w:pPr>
    </w:p>
    <w:p w:rsidR="0006316A">
      <w:pPr>
        <w:suppressAutoHyphens/>
        <w:jc w:val="both"/>
        <w:rPr>
          <w:b/>
        </w:rPr>
      </w:pPr>
    </w:p>
    <w:p w:rsidR="00133457">
      <w:pPr>
        <w:tabs>
          <w:tab w:val="center" w:pos="4752"/>
        </w:tabs>
        <w:suppressAutoHyphens/>
        <w:jc w:val="both"/>
        <w:outlineLvl w:val="0"/>
        <w:rPr>
          <w:spacing w:val="-3"/>
        </w:rPr>
      </w:pPr>
      <w:r>
        <w:rPr>
          <w:spacing w:val="-3"/>
        </w:rPr>
        <w:tab/>
        <w:t xml:space="preserve">ROW </w:t>
      </w:r>
      <w:r w:rsidR="00CB015C">
        <w:rPr>
          <w:spacing w:val="-3"/>
        </w:rPr>
        <w:t>DEFINITIONS</w:t>
      </w:r>
    </w:p>
    <w:p w:rsidR="00133457">
      <w:pPr>
        <w:tabs>
          <w:tab w:val="left" w:pos="-720"/>
        </w:tabs>
        <w:suppressAutoHyphens/>
        <w:jc w:val="both"/>
        <w:rPr>
          <w:spacing w:val="-3"/>
        </w:rPr>
      </w:pPr>
    </w:p>
    <w:p w:rsidR="005B4282">
      <w:pPr>
        <w:tabs>
          <w:tab w:val="left" w:pos="-720"/>
        </w:tabs>
        <w:suppressAutoHyphens/>
        <w:jc w:val="both"/>
        <w:rPr>
          <w:spacing w:val="-3"/>
        </w:rPr>
      </w:pPr>
    </w:p>
    <w:p w:rsidR="00133457">
      <w:pPr>
        <w:tabs>
          <w:tab w:val="left" w:pos="-720"/>
        </w:tabs>
        <w:suppressAutoHyphens/>
        <w:jc w:val="both"/>
        <w:outlineLvl w:val="0"/>
        <w:rPr>
          <w:spacing w:val="-3"/>
        </w:rPr>
      </w:pPr>
      <w:r>
        <w:rPr>
          <w:spacing w:val="-3"/>
        </w:rPr>
        <w:t>Each row is an element related to a study area's revenue or revenue requirement.</w:t>
      </w:r>
    </w:p>
    <w:p w:rsidR="00133457">
      <w:pPr>
        <w:tabs>
          <w:tab w:val="left" w:pos="-720"/>
        </w:tabs>
        <w:suppressAutoHyphens/>
        <w:jc w:val="both"/>
        <w:rPr>
          <w:spacing w:val="-3"/>
        </w:rPr>
      </w:pPr>
    </w:p>
    <w:p w:rsidR="00133457">
      <w:pPr>
        <w:tabs>
          <w:tab w:val="left" w:pos="-720"/>
        </w:tabs>
        <w:suppressAutoHyphens/>
        <w:jc w:val="both"/>
        <w:rPr>
          <w:spacing w:val="-3"/>
        </w:rPr>
      </w:pPr>
      <w:r>
        <w:rPr>
          <w:spacing w:val="-3"/>
          <w:u w:val="single"/>
        </w:rPr>
        <w:t>Row</w:t>
      </w:r>
      <w:r>
        <w:rPr>
          <w:spacing w:val="-3"/>
        </w:rPr>
        <w:tab/>
      </w:r>
      <w:r w:rsidRPr="00FD717E" w:rsidR="00D3683D">
        <w:rPr>
          <w:spacing w:val="-3"/>
          <w:u w:val="single"/>
        </w:rPr>
        <w:t xml:space="preserve">Item </w:t>
      </w:r>
      <w:r>
        <w:rPr>
          <w:spacing w:val="-3"/>
          <w:u w:val="single"/>
        </w:rPr>
        <w:t>Description</w:t>
      </w:r>
    </w:p>
    <w:p w:rsidR="00133457">
      <w:pPr>
        <w:tabs>
          <w:tab w:val="left" w:pos="-720"/>
        </w:tabs>
        <w:suppressAutoHyphens/>
        <w:jc w:val="both"/>
        <w:rPr>
          <w:spacing w:val="-3"/>
        </w:rPr>
      </w:pPr>
    </w:p>
    <w:p w:rsidR="00133457">
      <w:pPr>
        <w:tabs>
          <w:tab w:val="left" w:pos="-720"/>
        </w:tabs>
        <w:suppressAutoHyphens/>
        <w:jc w:val="both"/>
        <w:rPr>
          <w:spacing w:val="-3"/>
        </w:rPr>
      </w:pPr>
      <w:r>
        <w:rPr>
          <w:spacing w:val="-3"/>
        </w:rPr>
        <w:tab/>
      </w:r>
      <w:r>
        <w:rPr>
          <w:b/>
          <w:spacing w:val="-3"/>
          <w:u w:val="single"/>
        </w:rPr>
        <w:t>Revenues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1010.</w:t>
      </w:r>
      <w:r>
        <w:rPr>
          <w:spacing w:val="-3"/>
        </w:rPr>
        <w:tab/>
      </w:r>
      <w:r>
        <w:rPr>
          <w:spacing w:val="-3"/>
          <w:u w:val="single"/>
        </w:rPr>
        <w:t>Basic Local Services</w:t>
      </w:r>
      <w:r>
        <w:rPr>
          <w:spacing w:val="-3"/>
        </w:rPr>
        <w:t xml:space="preserve"> - </w:t>
      </w:r>
      <w:r w:rsidR="00DE5691">
        <w:rPr>
          <w:spacing w:val="-3"/>
        </w:rPr>
        <w:t>T</w:t>
      </w:r>
      <w:r w:rsidR="00DE5691">
        <w:t>he total of Account 5000</w:t>
      </w:r>
      <w:r>
        <w:rPr>
          <w:spacing w:val="-3"/>
        </w:rPr>
        <w:t xml:space="preserve">. </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1020</w:t>
      </w:r>
      <w:r>
        <w:rPr>
          <w:spacing w:val="-3"/>
        </w:rPr>
        <w:tab/>
      </w:r>
      <w:r>
        <w:rPr>
          <w:spacing w:val="-3"/>
          <w:u w:val="single"/>
        </w:rPr>
        <w:t>Network Access Services</w:t>
      </w:r>
      <w:r>
        <w:rPr>
          <w:spacing w:val="-3"/>
        </w:rPr>
        <w:t xml:space="preserve"> - The total of Accounts 5081 through 508</w:t>
      </w:r>
      <w:r w:rsidR="007D47ED">
        <w:rPr>
          <w:spacing w:val="-3"/>
        </w:rPr>
        <w:t>3</w:t>
      </w:r>
      <w:r>
        <w:rPr>
          <w:spacing w:val="-3"/>
        </w:rPr>
        <w:t xml:space="preserve">. </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1030</w:t>
      </w:r>
      <w:r>
        <w:rPr>
          <w:spacing w:val="-3"/>
        </w:rPr>
        <w:tab/>
      </w:r>
      <w:r>
        <w:rPr>
          <w:spacing w:val="-3"/>
          <w:u w:val="single"/>
        </w:rPr>
        <w:t>Toll Network Services</w:t>
      </w:r>
      <w:r>
        <w:rPr>
          <w:spacing w:val="-3"/>
        </w:rPr>
        <w:t xml:space="preserve"> - The total of Account </w:t>
      </w:r>
      <w:r w:rsidR="007D47ED">
        <w:rPr>
          <w:spacing w:val="-3"/>
        </w:rPr>
        <w:t>5100.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1040</w:t>
      </w:r>
      <w:r>
        <w:rPr>
          <w:spacing w:val="-3"/>
        </w:rPr>
        <w:tab/>
      </w:r>
      <w:r>
        <w:rPr>
          <w:spacing w:val="-3"/>
          <w:u w:val="single"/>
        </w:rPr>
        <w:t>Miscellaneous</w:t>
      </w:r>
      <w:r>
        <w:rPr>
          <w:spacing w:val="-3"/>
        </w:rPr>
        <w:t xml:space="preserve"> - The total of </w:t>
      </w:r>
      <w:r w:rsidR="00DE5691">
        <w:t>Account 5200</w:t>
      </w:r>
      <w:r>
        <w:t>.</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1045</w:t>
      </w:r>
      <w:r>
        <w:rPr>
          <w:spacing w:val="-3"/>
        </w:rPr>
        <w:tab/>
      </w:r>
      <w:r>
        <w:rPr>
          <w:spacing w:val="-3"/>
          <w:u w:val="single"/>
        </w:rPr>
        <w:t>Nonregulated</w:t>
      </w:r>
      <w:r>
        <w:rPr>
          <w:spacing w:val="-3"/>
        </w:rPr>
        <w:t xml:space="preserve"> - The balance of Account 5280.  </w:t>
      </w:r>
      <w:r>
        <w:rPr>
          <w:b/>
          <w:spacing w:val="-3"/>
        </w:rPr>
        <w:t>Note:</w:t>
      </w:r>
      <w:r>
        <w:rPr>
          <w:spacing w:val="-3"/>
        </w:rPr>
        <w:t xml:space="preserve"> Do not include </w:t>
      </w:r>
      <w:r>
        <w:rPr>
          <w:spacing w:val="-3"/>
        </w:rPr>
        <w:t>uncollectibles</w:t>
      </w:r>
      <w:r>
        <w:rPr>
          <w:spacing w:val="-3"/>
        </w:rPr>
        <w:t xml:space="preserve"> in this row, see Row 1060.</w:t>
      </w:r>
      <w:r w:rsidR="00B03971">
        <w:rPr>
          <w:spacing w:val="-3"/>
        </w:rPr>
        <w:t xml:space="preserve">  </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1060</w:t>
      </w:r>
      <w:r>
        <w:rPr>
          <w:spacing w:val="-3"/>
        </w:rPr>
        <w:tab/>
      </w:r>
      <w:r>
        <w:rPr>
          <w:spacing w:val="-3"/>
          <w:u w:val="single"/>
        </w:rPr>
        <w:t>Uncollectible</w:t>
      </w:r>
      <w:r w:rsidR="00E21547">
        <w:rPr>
          <w:spacing w:val="-3"/>
          <w:u w:val="single"/>
        </w:rPr>
        <w:t>s</w:t>
      </w:r>
      <w:r>
        <w:rPr>
          <w:spacing w:val="-3"/>
        </w:rPr>
        <w:t xml:space="preserve"> - The total of Account 5300, which includes uncollectible regulated and nonregulated revenues.</w:t>
      </w:r>
      <w:r>
        <w:rPr>
          <w:b/>
          <w:spacing w:val="-3"/>
        </w:rPr>
        <w:t xml:space="preserve"> </w:t>
      </w:r>
      <w:r>
        <w:t xml:space="preserve"> </w:t>
      </w:r>
      <w:r>
        <w:rPr>
          <w:spacing w:val="-3"/>
        </w:rPr>
        <w:t>This amount is normally a positive amount to be subtracted from revenues in the calculation of Row 1090.</w:t>
      </w:r>
    </w:p>
    <w:p w:rsidR="00133457">
      <w:pPr>
        <w:tabs>
          <w:tab w:val="left" w:pos="-720"/>
        </w:tabs>
        <w:suppressAutoHyphens/>
        <w:jc w:val="both"/>
        <w:rPr>
          <w:spacing w:val="-3"/>
        </w:rPr>
      </w:pPr>
    </w:p>
    <w:p w:rsidR="00133457" w:rsidP="007D47ED">
      <w:pPr>
        <w:tabs>
          <w:tab w:val="left" w:pos="-720"/>
          <w:tab w:val="left" w:pos="0"/>
        </w:tabs>
        <w:suppressAutoHyphens/>
        <w:ind w:left="720" w:hanging="720"/>
        <w:jc w:val="both"/>
        <w:rPr>
          <w:spacing w:val="-3"/>
        </w:rPr>
      </w:pPr>
      <w:r>
        <w:rPr>
          <w:spacing w:val="-3"/>
        </w:rPr>
        <w:t>1090</w:t>
      </w:r>
      <w:r>
        <w:rPr>
          <w:spacing w:val="-3"/>
        </w:rPr>
        <w:tab/>
      </w:r>
      <w:r>
        <w:rPr>
          <w:spacing w:val="-3"/>
          <w:u w:val="single"/>
        </w:rPr>
        <w:t>Total Operating Revenues</w:t>
      </w:r>
      <w:r>
        <w:rPr>
          <w:spacing w:val="-3"/>
        </w:rPr>
        <w:t xml:space="preserve"> - The total of Rows 1010 through 10</w:t>
      </w:r>
      <w:r w:rsidR="007D47ED">
        <w:rPr>
          <w:spacing w:val="-3"/>
        </w:rPr>
        <w:t>45</w:t>
      </w:r>
      <w:r>
        <w:rPr>
          <w:spacing w:val="-3"/>
        </w:rPr>
        <w:t xml:space="preserve"> less Row 1060. </w:t>
      </w:r>
    </w:p>
    <w:p w:rsidR="007D47ED" w:rsidP="007D47ED">
      <w:pPr>
        <w:tabs>
          <w:tab w:val="left" w:pos="-720"/>
          <w:tab w:val="left" w:pos="0"/>
        </w:tabs>
        <w:suppressAutoHyphens/>
        <w:ind w:left="720" w:hanging="720"/>
        <w:jc w:val="both"/>
        <w:rPr>
          <w:spacing w:val="-3"/>
        </w:rPr>
      </w:pPr>
    </w:p>
    <w:p w:rsidR="00133457">
      <w:pPr>
        <w:tabs>
          <w:tab w:val="left" w:pos="-720"/>
        </w:tabs>
        <w:suppressAutoHyphens/>
        <w:jc w:val="both"/>
        <w:rPr>
          <w:b/>
          <w:spacing w:val="-3"/>
        </w:rPr>
      </w:pPr>
      <w:r>
        <w:rPr>
          <w:spacing w:val="-3"/>
        </w:rPr>
        <w:tab/>
      </w:r>
      <w:r>
        <w:rPr>
          <w:b/>
          <w:spacing w:val="-3"/>
          <w:u w:val="single"/>
        </w:rPr>
        <w:t>Expenses</w:t>
      </w:r>
    </w:p>
    <w:p w:rsidR="00133457">
      <w:pPr>
        <w:tabs>
          <w:tab w:val="left" w:pos="-720"/>
        </w:tabs>
        <w:suppressAutoHyphens/>
        <w:jc w:val="both"/>
        <w:rPr>
          <w:b/>
          <w:spacing w:val="-3"/>
        </w:rPr>
      </w:pPr>
    </w:p>
    <w:p w:rsidR="00133457" w:rsidP="005B4282">
      <w:pPr>
        <w:tabs>
          <w:tab w:val="left" w:pos="-720"/>
          <w:tab w:val="left" w:pos="0"/>
        </w:tabs>
        <w:suppressAutoHyphens/>
        <w:ind w:left="720" w:hanging="720"/>
        <w:jc w:val="both"/>
        <w:rPr>
          <w:spacing w:val="-3"/>
        </w:rPr>
      </w:pPr>
      <w:r>
        <w:rPr>
          <w:spacing w:val="-3"/>
        </w:rPr>
        <w:t>1120</w:t>
      </w:r>
      <w:r>
        <w:rPr>
          <w:spacing w:val="-3"/>
        </w:rPr>
        <w:tab/>
      </w:r>
      <w:r>
        <w:rPr>
          <w:spacing w:val="-3"/>
          <w:u w:val="single"/>
        </w:rPr>
        <w:t>Plant Specific</w:t>
      </w:r>
      <w:r>
        <w:rPr>
          <w:spacing w:val="-3"/>
        </w:rPr>
        <w:t xml:space="preserve"> - The total of Accounts </w:t>
      </w:r>
      <w:r w:rsidR="00DE5691">
        <w:t>6110, 6120, 6210, 6220, 6230, 6310 and 6410.</w:t>
      </w:r>
    </w:p>
    <w:p w:rsidR="00133457" w:rsidP="005B4282">
      <w:pPr>
        <w:tabs>
          <w:tab w:val="left" w:pos="-720"/>
        </w:tabs>
        <w:suppressAutoHyphens/>
        <w:jc w:val="both"/>
        <w:rPr>
          <w:spacing w:val="-3"/>
        </w:rPr>
      </w:pPr>
    </w:p>
    <w:p w:rsidR="00A71F00" w:rsidP="005B4282">
      <w:pPr>
        <w:tabs>
          <w:tab w:val="left" w:pos="-720"/>
          <w:tab w:val="left" w:pos="0"/>
        </w:tabs>
        <w:suppressAutoHyphens/>
        <w:ind w:left="720" w:hanging="720"/>
        <w:jc w:val="both"/>
      </w:pPr>
      <w:r>
        <w:rPr>
          <w:spacing w:val="-3"/>
        </w:rPr>
        <w:t>11</w:t>
      </w:r>
      <w:r w:rsidR="008D3367">
        <w:rPr>
          <w:spacing w:val="-3"/>
        </w:rPr>
        <w:t>30</w:t>
      </w:r>
      <w:r>
        <w:rPr>
          <w:spacing w:val="-3"/>
        </w:rPr>
        <w:tab/>
      </w:r>
      <w:r>
        <w:rPr>
          <w:spacing w:val="-3"/>
          <w:u w:val="single"/>
        </w:rPr>
        <w:t>Plant Non-Specific</w:t>
      </w:r>
      <w:r>
        <w:rPr>
          <w:spacing w:val="-3"/>
        </w:rPr>
        <w:t xml:space="preserve"> - The total of Accounts </w:t>
      </w:r>
      <w:r w:rsidR="00DE5691">
        <w:t>6510 and 6530.</w:t>
      </w:r>
    </w:p>
    <w:p w:rsidR="00133457" w:rsidP="005B4282">
      <w:pPr>
        <w:tabs>
          <w:tab w:val="left" w:pos="-720"/>
          <w:tab w:val="left" w:pos="0"/>
        </w:tabs>
        <w:suppressAutoHyphens/>
        <w:ind w:left="720" w:hanging="720"/>
        <w:jc w:val="both"/>
        <w:rPr>
          <w:spacing w:val="-3"/>
        </w:rPr>
      </w:pPr>
    </w:p>
    <w:p w:rsidR="00133457" w:rsidP="005B4282">
      <w:pPr>
        <w:tabs>
          <w:tab w:val="left" w:pos="-720"/>
          <w:tab w:val="left" w:pos="0"/>
        </w:tabs>
        <w:suppressAutoHyphens/>
        <w:ind w:left="720" w:hanging="720"/>
        <w:jc w:val="both"/>
        <w:rPr>
          <w:spacing w:val="-3"/>
        </w:rPr>
      </w:pPr>
      <w:r>
        <w:rPr>
          <w:spacing w:val="-3"/>
        </w:rPr>
        <w:t>1140</w:t>
      </w:r>
      <w:r>
        <w:rPr>
          <w:spacing w:val="-3"/>
        </w:rPr>
        <w:tab/>
      </w:r>
      <w:r>
        <w:rPr>
          <w:spacing w:val="-3"/>
          <w:u w:val="single"/>
        </w:rPr>
        <w:t>Customer Operations Marketing</w:t>
      </w:r>
      <w:r>
        <w:rPr>
          <w:spacing w:val="-3"/>
        </w:rPr>
        <w:t xml:space="preserve"> - The total of </w:t>
      </w:r>
      <w:r w:rsidR="00DE5691">
        <w:t>Account 6610.</w:t>
      </w:r>
    </w:p>
    <w:p w:rsidR="00133457" w:rsidP="005B4282">
      <w:pPr>
        <w:tabs>
          <w:tab w:val="left" w:pos="-720"/>
        </w:tabs>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1150</w:t>
      </w:r>
      <w:r>
        <w:rPr>
          <w:spacing w:val="-3"/>
        </w:rPr>
        <w:tab/>
      </w:r>
      <w:r>
        <w:rPr>
          <w:spacing w:val="-3"/>
          <w:u w:val="single"/>
        </w:rPr>
        <w:t>Customer Operations Services</w:t>
      </w:r>
      <w:r>
        <w:rPr>
          <w:spacing w:val="-3"/>
        </w:rPr>
        <w:t xml:space="preserve"> - The total of </w:t>
      </w:r>
      <w:r w:rsidR="00DE5691">
        <w:t>Account 6620.</w:t>
      </w:r>
    </w:p>
    <w:p w:rsidR="00133457" w:rsidP="005B4282">
      <w:pPr>
        <w:tabs>
          <w:tab w:val="left" w:pos="-720"/>
        </w:tabs>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1160</w:t>
      </w:r>
      <w:r>
        <w:rPr>
          <w:spacing w:val="-3"/>
        </w:rPr>
        <w:tab/>
      </w:r>
      <w:r w:rsidRPr="007D47ED" w:rsidR="007D47ED">
        <w:rPr>
          <w:spacing w:val="-3"/>
          <w:u w:val="single"/>
        </w:rPr>
        <w:t>General &amp; Administrative</w:t>
      </w:r>
      <w:r w:rsidR="007D47ED">
        <w:rPr>
          <w:spacing w:val="-3"/>
        </w:rPr>
        <w:t xml:space="preserve"> </w:t>
      </w:r>
      <w:r>
        <w:rPr>
          <w:spacing w:val="-3"/>
        </w:rPr>
        <w:t xml:space="preserve">- The total of Accounts </w:t>
      </w:r>
      <w:r>
        <w:t>6720 and 6790.</w:t>
      </w:r>
    </w:p>
    <w:p w:rsidR="00133457" w:rsidP="005B4282">
      <w:pPr>
        <w:tabs>
          <w:tab w:val="left" w:pos="-720"/>
        </w:tabs>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1170</w:t>
      </w:r>
      <w:r>
        <w:rPr>
          <w:spacing w:val="-3"/>
        </w:rPr>
        <w:tab/>
      </w:r>
      <w:r>
        <w:rPr>
          <w:spacing w:val="-3"/>
          <w:u w:val="single"/>
        </w:rPr>
        <w:t>Access</w:t>
      </w:r>
      <w:r>
        <w:rPr>
          <w:spacing w:val="-3"/>
        </w:rPr>
        <w:t xml:space="preserve"> - The balance of Account 6540.</w:t>
      </w:r>
    </w:p>
    <w:p w:rsidR="00133457" w:rsidP="005B4282">
      <w:pPr>
        <w:tabs>
          <w:tab w:val="left" w:pos="-720"/>
        </w:tabs>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1180</w:t>
      </w:r>
      <w:r>
        <w:rPr>
          <w:spacing w:val="-3"/>
        </w:rPr>
        <w:tab/>
      </w:r>
      <w:r>
        <w:rPr>
          <w:spacing w:val="-3"/>
          <w:u w:val="single"/>
        </w:rPr>
        <w:t>Depreciation/Amortization</w:t>
      </w:r>
      <w:r>
        <w:rPr>
          <w:spacing w:val="-3"/>
        </w:rPr>
        <w:t xml:space="preserve"> - The total of </w:t>
      </w:r>
      <w:r w:rsidR="00DE5691">
        <w:t>Account 6560.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1185</w:t>
      </w:r>
      <w:r>
        <w:rPr>
          <w:spacing w:val="-3"/>
        </w:rPr>
        <w:tab/>
      </w:r>
      <w:r>
        <w:rPr>
          <w:spacing w:val="-3"/>
          <w:u w:val="single"/>
        </w:rPr>
        <w:t>FCC Expense Adjustment</w:t>
      </w:r>
      <w:r>
        <w:rPr>
          <w:spacing w:val="-3"/>
        </w:rPr>
        <w:t xml:space="preserve"> - This amount shall contain the net of: (1) expense and other tax items not included above which the Commission has expressly allowed for ratemaking purposes; and (2) expense and other tax items included above which the Commission has expressly excluded for ratemaking purposes.  A positive value represents a net allowance and a negative value represents a net disallowance.</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1190</w:t>
      </w:r>
      <w:r>
        <w:rPr>
          <w:spacing w:val="-3"/>
        </w:rPr>
        <w:tab/>
      </w:r>
      <w:r>
        <w:rPr>
          <w:spacing w:val="-3"/>
          <w:u w:val="single"/>
        </w:rPr>
        <w:t>Total Operating Expenses</w:t>
      </w:r>
      <w:r>
        <w:rPr>
          <w:spacing w:val="-3"/>
        </w:rPr>
        <w:t xml:space="preserve"> - The total of Rows 1120 through 1185.</w:t>
      </w:r>
    </w:p>
    <w:p w:rsidR="00133457">
      <w:pPr>
        <w:tabs>
          <w:tab w:val="left" w:pos="-720"/>
        </w:tabs>
        <w:suppressAutoHyphens/>
        <w:jc w:val="both"/>
        <w:rPr>
          <w:spacing w:val="-3"/>
        </w:rPr>
      </w:pPr>
    </w:p>
    <w:p w:rsidR="00133457">
      <w:pPr>
        <w:tabs>
          <w:tab w:val="left" w:pos="-720"/>
        </w:tabs>
        <w:suppressAutoHyphens/>
        <w:jc w:val="both"/>
        <w:rPr>
          <w:spacing w:val="-3"/>
        </w:rPr>
      </w:pPr>
      <w:r>
        <w:rPr>
          <w:b/>
          <w:spacing w:val="-3"/>
        </w:rPr>
        <w:tab/>
      </w:r>
      <w:r>
        <w:rPr>
          <w:b/>
          <w:spacing w:val="-3"/>
          <w:u w:val="single"/>
        </w:rPr>
        <w:t>Other Operating Items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1290</w:t>
      </w:r>
      <w:r>
        <w:rPr>
          <w:spacing w:val="-3"/>
        </w:rPr>
        <w:tab/>
      </w:r>
      <w:r>
        <w:rPr>
          <w:spacing w:val="-3"/>
          <w:u w:val="single"/>
        </w:rPr>
        <w:t>Other Operating Income/Losses</w:t>
      </w:r>
      <w:r>
        <w:rPr>
          <w:spacing w:val="-3"/>
        </w:rPr>
        <w:t xml:space="preserve"> - This amount shall contain the net of Accounts 71</w:t>
      </w:r>
      <w:r w:rsidR="007D47ED">
        <w:rPr>
          <w:spacing w:val="-3"/>
        </w:rPr>
        <w:t>0</w:t>
      </w:r>
      <w:r>
        <w:rPr>
          <w:spacing w:val="-3"/>
        </w:rPr>
        <w:t xml:space="preserve">0 and 7990.  </w:t>
      </w:r>
    </w:p>
    <w:p w:rsidR="00133457">
      <w:pPr>
        <w:tabs>
          <w:tab w:val="left" w:pos="-720"/>
        </w:tabs>
        <w:suppressAutoHyphens/>
        <w:jc w:val="both"/>
        <w:rPr>
          <w:b/>
          <w:spacing w:val="-3"/>
          <w:u w:val="single"/>
        </w:rPr>
      </w:pPr>
    </w:p>
    <w:p w:rsidR="00133457">
      <w:pPr>
        <w:tabs>
          <w:tab w:val="left" w:pos="-720"/>
        </w:tabs>
        <w:suppressAutoHyphens/>
        <w:jc w:val="both"/>
        <w:rPr>
          <w:spacing w:val="-3"/>
        </w:rPr>
      </w:pPr>
      <w:r>
        <w:rPr>
          <w:b/>
          <w:spacing w:val="-3"/>
        </w:rPr>
        <w:tab/>
      </w:r>
      <w:r>
        <w:rPr>
          <w:b/>
          <w:spacing w:val="-3"/>
          <w:u w:val="single"/>
        </w:rPr>
        <w:t>Non-operating Items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1320</w:t>
      </w:r>
      <w:r>
        <w:rPr>
          <w:spacing w:val="-3"/>
        </w:rPr>
        <w:tab/>
      </w:r>
      <w:r>
        <w:rPr>
          <w:spacing w:val="-3"/>
          <w:u w:val="single"/>
        </w:rPr>
        <w:t>Income Effects of Jurisdictional Ratemaking Differences (Net) (Revenue)</w:t>
      </w:r>
      <w:r>
        <w:rPr>
          <w:spacing w:val="-3"/>
        </w:rPr>
        <w:t xml:space="preserve"> - </w:t>
      </w:r>
      <w:r>
        <w:rPr>
          <w:spacing w:val="-3"/>
        </w:rPr>
        <w:softHyphen/>
        <w:t>The balance of Account 7910.  A positive value represents income and a negative value represents a loss.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1330</w:t>
      </w:r>
      <w:r>
        <w:rPr>
          <w:spacing w:val="-3"/>
        </w:rPr>
        <w:tab/>
      </w:r>
      <w:r>
        <w:rPr>
          <w:spacing w:val="-3"/>
          <w:u w:val="single"/>
        </w:rPr>
        <w:t>Extraordinary Items (Revenue)</w:t>
      </w:r>
      <w:r>
        <w:rPr>
          <w:spacing w:val="-3"/>
        </w:rPr>
        <w:t xml:space="preserve"> - The total of Account 76</w:t>
      </w:r>
      <w:r w:rsidR="007D47ED">
        <w:rPr>
          <w:spacing w:val="-3"/>
        </w:rPr>
        <w:t>0</w:t>
      </w:r>
      <w:r>
        <w:rPr>
          <w:spacing w:val="-3"/>
        </w:rPr>
        <w:t xml:space="preserve">0.  Amounts excluded from ratemaking are removed in Row 1370. </w:t>
      </w:r>
      <w:r w:rsidR="007D47ED">
        <w:rPr>
          <w:spacing w:val="-3"/>
        </w:rPr>
        <w:t xml:space="preserve"> </w:t>
      </w:r>
      <w:r>
        <w:rPr>
          <w:spacing w:val="-3"/>
        </w:rPr>
        <w:t>A positive value represents an income and a negative value represents a loss.</w:t>
      </w:r>
    </w:p>
    <w:p w:rsidR="00133457">
      <w:pPr>
        <w:tabs>
          <w:tab w:val="left" w:pos="-720"/>
        </w:tabs>
        <w:suppressAutoHyphens/>
        <w:jc w:val="both"/>
        <w:rPr>
          <w:spacing w:val="-3"/>
        </w:rPr>
      </w:pPr>
    </w:p>
    <w:p w:rsidR="00133457" w:rsidRPr="00377BFA" w:rsidP="00377BFA">
      <w:pPr>
        <w:tabs>
          <w:tab w:val="left" w:pos="-720"/>
        </w:tabs>
        <w:suppressAutoHyphens/>
        <w:ind w:left="720" w:hanging="720"/>
        <w:jc w:val="both"/>
        <w:rPr>
          <w:spacing w:val="-3"/>
        </w:rPr>
      </w:pPr>
      <w:r>
        <w:rPr>
          <w:spacing w:val="-3"/>
        </w:rPr>
        <w:t>1365</w:t>
      </w:r>
      <w:r w:rsidR="00377BFA">
        <w:rPr>
          <w:spacing w:val="-3"/>
        </w:rPr>
        <w:tab/>
      </w:r>
      <w:r w:rsidRPr="00377BFA" w:rsidR="00377BFA">
        <w:rPr>
          <w:u w:val="single"/>
        </w:rPr>
        <w:t>Non-operating Income and Expenses</w:t>
      </w:r>
      <w:r w:rsidRPr="00377BFA" w:rsidR="00377BFA">
        <w:t xml:space="preserve"> </w:t>
      </w:r>
      <w:r w:rsidRPr="00377BFA" w:rsidR="00377BFA">
        <w:rPr>
          <w:spacing w:val="-3"/>
        </w:rPr>
        <w:t xml:space="preserve">- </w:t>
      </w:r>
      <w:r w:rsidRPr="00377BFA" w:rsidR="00377BFA">
        <w:t xml:space="preserve">The total of Account 7300.  </w:t>
      </w:r>
      <w:r w:rsidRPr="00377BFA" w:rsidR="00377BFA">
        <w:rPr>
          <w:spacing w:val="-3"/>
        </w:rPr>
        <w:t>A positive value represents an income and a negative value represents a loss.</w:t>
      </w:r>
    </w:p>
    <w:p w:rsidR="007D47ED">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1370</w:t>
      </w:r>
      <w:r>
        <w:rPr>
          <w:spacing w:val="-3"/>
        </w:rPr>
        <w:tab/>
      </w:r>
      <w:r>
        <w:rPr>
          <w:spacing w:val="-3"/>
          <w:u w:val="single"/>
        </w:rPr>
        <w:t>FCC Non-operating Adjustment (Expense)</w:t>
      </w:r>
      <w:r>
        <w:rPr>
          <w:spacing w:val="-3"/>
        </w:rPr>
        <w:t xml:space="preserve"> - This amount shall contain the net of: (1) non-operating items not included above which the Commission has expressly allowed for ratemaking purposes; and (2) non-operating items included above which the Commission has expressly excluded for ratemaking purposes.  A positive value represents an expense and a negative value represents income.  This row will NOT include any AFUDC as a Part 65 Adjustment.</w:t>
      </w:r>
    </w:p>
    <w:p w:rsidR="00133457">
      <w:pPr>
        <w:tabs>
          <w:tab w:val="left" w:pos="-720"/>
        </w:tabs>
        <w:suppressAutoHyphens/>
        <w:jc w:val="both"/>
        <w:rPr>
          <w:spacing w:val="-3"/>
        </w:rPr>
      </w:pPr>
    </w:p>
    <w:p w:rsidR="00A71F00">
      <w:pPr>
        <w:tabs>
          <w:tab w:val="left" w:pos="-720"/>
          <w:tab w:val="left" w:pos="0"/>
        </w:tabs>
        <w:suppressAutoHyphens/>
        <w:ind w:left="720" w:hanging="720"/>
        <w:jc w:val="both"/>
      </w:pPr>
      <w:r>
        <w:rPr>
          <w:spacing w:val="-3"/>
        </w:rPr>
        <w:t>1390</w:t>
      </w:r>
      <w:r w:rsidR="00133457">
        <w:rPr>
          <w:spacing w:val="-3"/>
        </w:rPr>
        <w:tab/>
      </w:r>
      <w:r w:rsidR="00133457">
        <w:rPr>
          <w:spacing w:val="-3"/>
          <w:u w:val="single"/>
        </w:rPr>
        <w:t>Total Non-operating Items (Expense)</w:t>
      </w:r>
      <w:r w:rsidR="00133457">
        <w:rPr>
          <w:spacing w:val="-3"/>
        </w:rPr>
        <w:t xml:space="preserve"> - The total of Row 1370 less Rows 1320, 1330, </w:t>
      </w:r>
      <w:r w:rsidR="00377BFA">
        <w:rPr>
          <w:spacing w:val="-3"/>
        </w:rPr>
        <w:t>and 1365</w:t>
      </w:r>
      <w:r w:rsidR="00133457">
        <w:t>.  A positive amount represents an expense and a negative value represents income.</w:t>
      </w:r>
    </w:p>
    <w:p w:rsidR="00133457">
      <w:pPr>
        <w:tabs>
          <w:tab w:val="left" w:pos="-720"/>
          <w:tab w:val="left" w:pos="0"/>
        </w:tabs>
        <w:suppressAutoHyphens/>
        <w:jc w:val="both"/>
        <w:rPr>
          <w:b/>
          <w:spacing w:val="-3"/>
          <w:u w:val="single"/>
        </w:rPr>
      </w:pPr>
    </w:p>
    <w:p w:rsidR="00133457">
      <w:pPr>
        <w:tabs>
          <w:tab w:val="left" w:pos="-720"/>
        </w:tabs>
        <w:suppressAutoHyphens/>
        <w:jc w:val="both"/>
        <w:rPr>
          <w:spacing w:val="-3"/>
        </w:rPr>
      </w:pPr>
      <w:r>
        <w:rPr>
          <w:b/>
          <w:spacing w:val="-3"/>
        </w:rPr>
        <w:tab/>
      </w:r>
      <w:r>
        <w:rPr>
          <w:b/>
          <w:spacing w:val="-3"/>
          <w:u w:val="single"/>
        </w:rPr>
        <w:t>Federal Income Taxes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1510</w:t>
      </w:r>
      <w:r>
        <w:rPr>
          <w:spacing w:val="-3"/>
        </w:rPr>
        <w:tab/>
      </w:r>
      <w:r>
        <w:rPr>
          <w:spacing w:val="-3"/>
          <w:u w:val="single"/>
        </w:rPr>
        <w:t>Fixed Charges</w:t>
      </w:r>
      <w:r>
        <w:rPr>
          <w:spacing w:val="-3"/>
        </w:rPr>
        <w:t xml:space="preserve"> - Enter on this row only those amounts from </w:t>
      </w:r>
      <w:r>
        <w:t xml:space="preserve">Account 7500 </w:t>
      </w:r>
      <w:r>
        <w:rPr>
          <w:spacing w:val="-3"/>
        </w:rPr>
        <w:t xml:space="preserve">that are attributable to operating fixed charges. The amount of operating fixed charges are obtained from total fixed charges less fixed charges attributable to non-operating net investment.  Non-operating fixed charges are calculated by taking the ratio of non-operating net investment to the total net investment times total fixed charges. </w:t>
      </w:r>
    </w:p>
    <w:p w:rsidR="00133457">
      <w:pPr>
        <w:tabs>
          <w:tab w:val="left" w:pos="-720"/>
        </w:tabs>
        <w:suppressAutoHyphens/>
        <w:jc w:val="both"/>
        <w:rPr>
          <w:spacing w:val="-3"/>
        </w:rPr>
      </w:pPr>
    </w:p>
    <w:p w:rsidR="0006316A">
      <w:pPr>
        <w:tabs>
          <w:tab w:val="left" w:pos="-720"/>
          <w:tab w:val="left" w:pos="0"/>
        </w:tabs>
        <w:suppressAutoHyphens/>
        <w:ind w:left="720" w:hanging="720"/>
        <w:jc w:val="both"/>
        <w:rPr>
          <w:spacing w:val="-3"/>
        </w:rPr>
      </w:pPr>
      <w:r>
        <w:rPr>
          <w:spacing w:val="-3"/>
        </w:rPr>
        <w:t>1520</w:t>
      </w:r>
      <w:r w:rsidR="00133457">
        <w:rPr>
          <w:spacing w:val="-3"/>
        </w:rPr>
        <w:tab/>
      </w:r>
      <w:r w:rsidR="00133457">
        <w:rPr>
          <w:spacing w:val="-3"/>
          <w:u w:val="single"/>
        </w:rPr>
        <w:t>IRS Income Adjustment</w:t>
      </w:r>
      <w:r w:rsidR="00133457">
        <w:rPr>
          <w:spacing w:val="-3"/>
        </w:rPr>
        <w:t xml:space="preserve"> - This amount is the difference between taxable income reported for IRS purposes and the taxable income shown in accordance with Part 32. A positive value represents a net increase to taxable income and a negative value represents a net decrease to taxable income.</w:t>
      </w:r>
    </w:p>
    <w:p w:rsidR="0006316A">
      <w:pPr>
        <w:widowControl/>
        <w:rPr>
          <w:spacing w:val="-3"/>
        </w:rPr>
      </w:pPr>
      <w:r>
        <w:rPr>
          <w:spacing w:val="-3"/>
        </w:rPr>
        <w:br w:type="page"/>
      </w:r>
    </w:p>
    <w:p w:rsidR="00133457">
      <w:pPr>
        <w:tabs>
          <w:tab w:val="left" w:pos="-720"/>
          <w:tab w:val="left" w:pos="0"/>
        </w:tabs>
        <w:suppressAutoHyphens/>
        <w:ind w:left="720" w:hanging="720"/>
        <w:jc w:val="both"/>
        <w:rPr>
          <w:spacing w:val="-3"/>
        </w:rPr>
      </w:pPr>
      <w:r>
        <w:rPr>
          <w:spacing w:val="-3"/>
        </w:rPr>
        <w:t>153</w:t>
      </w:r>
      <w:r w:rsidR="008D3367">
        <w:rPr>
          <w:spacing w:val="-3"/>
        </w:rPr>
        <w:t>0</w:t>
      </w:r>
      <w:r>
        <w:rPr>
          <w:spacing w:val="-3"/>
        </w:rPr>
        <w:tab/>
      </w:r>
      <w:r>
        <w:rPr>
          <w:spacing w:val="-3"/>
          <w:u w:val="single"/>
        </w:rPr>
        <w:t>FCC Taxable Income Adjustment</w:t>
      </w:r>
      <w:r>
        <w:rPr>
          <w:spacing w:val="-3"/>
        </w:rPr>
        <w:t xml:space="preserve"> - This row shall contain the net of: (1) taxable income not included above which the Commission has expressly allowed for ratemaking purposes; and (2) taxable income included above which the Commission has expressly excluded for ratemaking purposes. A positive value represents a taxable income allowance and a negative value represents a taxable income disallowance.  </w:t>
      </w:r>
      <w:r>
        <w:rPr>
          <w:b/>
        </w:rPr>
        <w:t xml:space="preserve"> </w:t>
      </w:r>
    </w:p>
    <w:p w:rsidR="00133457">
      <w:pPr>
        <w:tabs>
          <w:tab w:val="left" w:pos="-720"/>
          <w:tab w:val="left" w:pos="0"/>
        </w:tabs>
        <w:suppressAutoHyphens/>
        <w:ind w:left="720" w:hanging="720"/>
        <w:jc w:val="both"/>
        <w:rPr>
          <w:spacing w:val="-3"/>
        </w:rPr>
      </w:pPr>
    </w:p>
    <w:p w:rsidR="00A71F00">
      <w:pPr>
        <w:tabs>
          <w:tab w:val="left" w:pos="-720"/>
          <w:tab w:val="left" w:pos="0"/>
        </w:tabs>
        <w:suppressAutoHyphens/>
        <w:ind w:left="720" w:hanging="720"/>
        <w:jc w:val="both"/>
        <w:rPr>
          <w:spacing w:val="-3"/>
        </w:rPr>
      </w:pPr>
      <w:r>
        <w:rPr>
          <w:spacing w:val="-3"/>
        </w:rPr>
        <w:t>1550</w:t>
      </w:r>
      <w:r w:rsidR="00133457">
        <w:rPr>
          <w:spacing w:val="-3"/>
        </w:rPr>
        <w:tab/>
      </w:r>
      <w:r w:rsidR="00133457">
        <w:rPr>
          <w:spacing w:val="-3"/>
          <w:u w:val="single"/>
        </w:rPr>
        <w:t>FCC Investment Tax Credit Adjustment</w:t>
      </w:r>
      <w:r w:rsidR="00133457">
        <w:rPr>
          <w:spacing w:val="-3"/>
        </w:rPr>
        <w:t xml:space="preserve"> - This row shall contain the net of: (1) ITC not include above which the Commission has expressly allowed for ratemaking purposes; and (2) the ITC included above which the Commission has expressly excluded for ratemaking purposes.  A positive value represents a net allowance to amortized investment tax credit and a negative value represents a net disallowance.</w:t>
      </w:r>
    </w:p>
    <w:p w:rsidR="00133457">
      <w:pPr>
        <w:tabs>
          <w:tab w:val="left" w:pos="-720"/>
          <w:tab w:val="left" w:pos="0"/>
        </w:tabs>
        <w:suppressAutoHyphens/>
        <w:jc w:val="both"/>
        <w:rPr>
          <w:spacing w:val="-3"/>
        </w:rPr>
      </w:pPr>
    </w:p>
    <w:p w:rsidR="00133457" w:rsidP="00DE5691">
      <w:pPr>
        <w:numPr>
          <w:ilvl w:val="0"/>
          <w:numId w:val="4"/>
        </w:numPr>
        <w:tabs>
          <w:tab w:val="left" w:pos="-720"/>
          <w:tab w:val="left" w:pos="0"/>
          <w:tab w:val="clear" w:pos="840"/>
        </w:tabs>
        <w:suppressAutoHyphens/>
        <w:ind w:left="720" w:hanging="720"/>
        <w:jc w:val="both"/>
        <w:rPr>
          <w:b/>
          <w:spacing w:val="-3"/>
        </w:rPr>
      </w:pPr>
      <w:r>
        <w:rPr>
          <w:spacing w:val="-3"/>
          <w:u w:val="single"/>
        </w:rPr>
        <w:t>Tax</w:t>
      </w:r>
      <w:r>
        <w:rPr>
          <w:spacing w:val="-3"/>
          <w:u w:val="single"/>
        </w:rPr>
        <w:t>es – Federal, State, &amp; Other</w:t>
      </w:r>
      <w:r>
        <w:rPr>
          <w:spacing w:val="-3"/>
        </w:rPr>
        <w:t xml:space="preserve"> -</w:t>
      </w:r>
      <w:r>
        <w:t xml:space="preserve"> </w:t>
      </w:r>
      <w:r>
        <w:rPr>
          <w:spacing w:val="-3"/>
        </w:rPr>
        <w:t xml:space="preserve">For Column (b), enter the total of Account 7200.  For Column (c), enter the amount calculated pursuant to the reporting carrier's Cost Allocation Manual.  For Columns (d) and (e), enter the amount applicable to SNFA, Intra-Company, and Other Adjustment.  For columns (f) through (v), enter the amount between the state and interstate jurisdictions pursuant to Section 36.412, and allocate the interstate amount among the access elements pursuant to Section 69.402(a). This should also include Net Federal Income Taxes as follows: Total Operating Revenues (Row 1090), Other Operating Income/Losses (Row 1290), IRS Income Adjustment (Row 1520), and FCC Taxable Income Adjustment (Row 1530) less Total Operating Expenses (Row 1190), Total Non-operating Items (Row 1390), Operating State Taxes, Operating Local Taxes, Operating Other Taxes, and Fixed Charges (Row 1510) times the applicable statutory federal income tax rate, less Investment Tax Credit Amortization and FCC Investment Tax Credit Adjustment (Row 1550).  </w:t>
      </w:r>
      <w:r>
        <w:rPr>
          <w:b/>
          <w:spacing w:val="-3"/>
        </w:rPr>
        <w:t>Note: This amount represents what was reported on Rows 1490 and 1590 in prior years (1990 – 1998).</w:t>
      </w:r>
    </w:p>
    <w:p w:rsidR="00133457">
      <w:pPr>
        <w:tabs>
          <w:tab w:val="left" w:pos="-720"/>
          <w:tab w:val="left" w:pos="0"/>
        </w:tabs>
        <w:suppressAutoHyphens/>
        <w:jc w:val="both"/>
        <w:rPr>
          <w:b/>
          <w:spacing w:val="-3"/>
        </w:rPr>
      </w:pPr>
    </w:p>
    <w:p w:rsidR="00133457">
      <w:pPr>
        <w:tabs>
          <w:tab w:val="left" w:pos="-720"/>
          <w:tab w:val="left" w:pos="0"/>
        </w:tabs>
        <w:suppressAutoHyphens/>
        <w:jc w:val="both"/>
        <w:rPr>
          <w:spacing w:val="-3"/>
        </w:rPr>
      </w:pPr>
      <w:r>
        <w:rPr>
          <w:b/>
          <w:spacing w:val="-3"/>
        </w:rPr>
        <w:tab/>
      </w:r>
      <w:r>
        <w:rPr>
          <w:b/>
          <w:spacing w:val="-3"/>
          <w:u w:val="single"/>
        </w:rPr>
        <w:t>Plant-In-Service</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ab/>
      </w:r>
      <w:r>
        <w:rPr>
          <w:u w:val="single"/>
        </w:rPr>
        <w:t>Plant-In-Service</w:t>
      </w:r>
      <w:r>
        <w:t xml:space="preserve"> - All investment data reported in Columns (f) through (v) must be average investment calculated by one of two methods: (1) divide the sum of the average monthly investments by the number of months in the reporting period; (2) divide the sum of (a) one half of the investment balance at the end of the previous year, (b) one half of the investment balance at the end of the current reporting period, and (c) the end of the month investment balances for each month in the current reporting period, excluding the final month, by the number of months in the reporting period.  Investment data reported in Columns (b), (c) and (d) are reported as booked at the end of the current reporting period.</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1620</w:t>
      </w:r>
      <w:r>
        <w:rPr>
          <w:spacing w:val="-3"/>
        </w:rPr>
        <w:tab/>
      </w:r>
      <w:r>
        <w:rPr>
          <w:spacing w:val="-3"/>
          <w:u w:val="single"/>
        </w:rPr>
        <w:t>Support Plant</w:t>
      </w:r>
      <w:r>
        <w:rPr>
          <w:spacing w:val="-3"/>
        </w:rPr>
        <w:t xml:space="preserve">- The total of </w:t>
      </w:r>
      <w:r w:rsidR="00DE5691">
        <w:t>Account 2110.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1630</w:t>
      </w:r>
      <w:r>
        <w:rPr>
          <w:spacing w:val="-3"/>
        </w:rPr>
        <w:tab/>
      </w:r>
      <w:r>
        <w:rPr>
          <w:spacing w:val="-3"/>
          <w:u w:val="single"/>
        </w:rPr>
        <w:t>Operator Systems Equipment</w:t>
      </w:r>
      <w:r>
        <w:rPr>
          <w:spacing w:val="-3"/>
        </w:rPr>
        <w:t xml:space="preserve"> - The balance of Account 2220.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1640</w:t>
      </w:r>
      <w:r>
        <w:rPr>
          <w:spacing w:val="-3"/>
        </w:rPr>
        <w:tab/>
      </w:r>
      <w:r>
        <w:rPr>
          <w:spacing w:val="-3"/>
          <w:u w:val="single"/>
        </w:rPr>
        <w:t>Central Office Equipment-Switching</w:t>
      </w:r>
      <w:r>
        <w:rPr>
          <w:spacing w:val="-3"/>
        </w:rPr>
        <w:t xml:space="preserve"> - The total of Accounts 2211</w:t>
      </w:r>
      <w:r w:rsidR="00377BFA">
        <w:rPr>
          <w:spacing w:val="-3"/>
        </w:rPr>
        <w:t xml:space="preserve"> and</w:t>
      </w:r>
      <w:r>
        <w:rPr>
          <w:spacing w:val="-3"/>
        </w:rPr>
        <w:t xml:space="preserve"> 221</w:t>
      </w:r>
      <w:r w:rsidR="00377BFA">
        <w:rPr>
          <w:spacing w:val="-3"/>
        </w:rPr>
        <w:t>2</w:t>
      </w:r>
      <w:r>
        <w:rPr>
          <w:spacing w:val="-3"/>
        </w:rPr>
        <w:t xml:space="preserve">. </w:t>
      </w:r>
      <w:r>
        <w:rPr>
          <w:b/>
        </w:rPr>
        <w:t xml:space="preserve"> </w:t>
      </w:r>
    </w:p>
    <w:p w:rsidR="00133457">
      <w:pPr>
        <w:tabs>
          <w:tab w:val="left" w:pos="-720"/>
        </w:tabs>
        <w:suppressAutoHyphens/>
        <w:jc w:val="both"/>
        <w:rPr>
          <w:spacing w:val="-3"/>
        </w:rPr>
      </w:pPr>
    </w:p>
    <w:p w:rsidR="00A71F00">
      <w:pPr>
        <w:tabs>
          <w:tab w:val="left" w:pos="-720"/>
          <w:tab w:val="left" w:pos="0"/>
        </w:tabs>
        <w:suppressAutoHyphens/>
        <w:ind w:left="720" w:hanging="720"/>
        <w:jc w:val="both"/>
      </w:pPr>
      <w:r>
        <w:rPr>
          <w:spacing w:val="-3"/>
        </w:rPr>
        <w:t>1650</w:t>
      </w:r>
      <w:r w:rsidR="00133457">
        <w:rPr>
          <w:spacing w:val="-3"/>
        </w:rPr>
        <w:tab/>
      </w:r>
      <w:r w:rsidR="00133457">
        <w:rPr>
          <w:spacing w:val="-3"/>
          <w:u w:val="single"/>
        </w:rPr>
        <w:t>Central Office Equipment-Transmission</w:t>
      </w:r>
      <w:r w:rsidR="00133457">
        <w:rPr>
          <w:spacing w:val="-3"/>
        </w:rPr>
        <w:t xml:space="preserve"> - The total of </w:t>
      </w:r>
      <w:r w:rsidR="00DE5691">
        <w:t>Account 2230.</w:t>
      </w:r>
    </w:p>
    <w:p w:rsidR="00133457" w:rsidP="00A71F00">
      <w:pPr>
        <w:tabs>
          <w:tab w:val="left" w:pos="-720"/>
          <w:tab w:val="left" w:pos="0"/>
        </w:tabs>
        <w:suppressAutoHyphens/>
        <w:ind w:left="720" w:hanging="720"/>
        <w:jc w:val="both"/>
        <w:rPr>
          <w:spacing w:val="-3"/>
        </w:rPr>
      </w:pPr>
    </w:p>
    <w:p w:rsidR="00133457">
      <w:pPr>
        <w:tabs>
          <w:tab w:val="left" w:pos="-720"/>
          <w:tab w:val="left" w:pos="0"/>
        </w:tabs>
        <w:suppressAutoHyphens/>
        <w:ind w:left="720" w:hanging="720"/>
        <w:jc w:val="both"/>
        <w:rPr>
          <w:spacing w:val="-3"/>
        </w:rPr>
      </w:pPr>
      <w:r>
        <w:rPr>
          <w:spacing w:val="-3"/>
        </w:rPr>
        <w:t>1660</w:t>
      </w:r>
      <w:r>
        <w:rPr>
          <w:spacing w:val="-3"/>
        </w:rPr>
        <w:tab/>
      </w:r>
      <w:r>
        <w:rPr>
          <w:spacing w:val="-3"/>
          <w:u w:val="single"/>
        </w:rPr>
        <w:t>Cable and Wire Facilities</w:t>
      </w:r>
      <w:r>
        <w:rPr>
          <w:spacing w:val="-3"/>
        </w:rPr>
        <w:t xml:space="preserve"> - </w:t>
      </w:r>
      <w:r w:rsidR="00DE5691">
        <w:t>Account 2410.</w:t>
      </w:r>
    </w:p>
    <w:p w:rsidR="00133457">
      <w:pPr>
        <w:tabs>
          <w:tab w:val="left" w:pos="-720"/>
        </w:tabs>
        <w:suppressAutoHyphens/>
        <w:jc w:val="both"/>
        <w:rPr>
          <w:spacing w:val="-3"/>
        </w:rPr>
      </w:pPr>
    </w:p>
    <w:p w:rsidR="00DE5691" w:rsidP="00DE5691">
      <w:pPr>
        <w:tabs>
          <w:tab w:val="left" w:pos="-720"/>
          <w:tab w:val="left" w:pos="0"/>
        </w:tabs>
        <w:suppressAutoHyphens/>
        <w:ind w:left="720" w:hanging="720"/>
        <w:jc w:val="both"/>
        <w:rPr>
          <w:spacing w:val="-3"/>
        </w:rPr>
      </w:pPr>
      <w:r>
        <w:rPr>
          <w:spacing w:val="-3"/>
        </w:rPr>
        <w:t>1670</w:t>
      </w:r>
      <w:r>
        <w:rPr>
          <w:spacing w:val="-3"/>
        </w:rPr>
        <w:tab/>
      </w:r>
      <w:r>
        <w:rPr>
          <w:spacing w:val="-3"/>
          <w:u w:val="single"/>
        </w:rPr>
        <w:t>Information Origination/Termination Equipment</w:t>
      </w:r>
      <w:r>
        <w:rPr>
          <w:spacing w:val="-3"/>
        </w:rPr>
        <w:t xml:space="preserve"> - The total of </w:t>
      </w:r>
      <w:r>
        <w:t>Account 2310.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1680</w:t>
      </w:r>
      <w:r>
        <w:rPr>
          <w:spacing w:val="-3"/>
        </w:rPr>
        <w:tab/>
      </w:r>
      <w:r>
        <w:rPr>
          <w:spacing w:val="-3"/>
          <w:u w:val="single"/>
        </w:rPr>
        <w:t>Amortizable Assets</w:t>
      </w:r>
      <w:r>
        <w:rPr>
          <w:spacing w:val="-3"/>
        </w:rPr>
        <w:t xml:space="preserve"> - </w:t>
      </w:r>
      <w:r w:rsidR="00DE5691">
        <w:t>Accounts 2680 and 2690.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1690</w:t>
      </w:r>
      <w:r>
        <w:rPr>
          <w:spacing w:val="-3"/>
        </w:rPr>
        <w:tab/>
      </w:r>
      <w:r>
        <w:rPr>
          <w:spacing w:val="-3"/>
          <w:u w:val="single"/>
        </w:rPr>
        <w:t>Total Plant-In-Service</w:t>
      </w:r>
      <w:r>
        <w:rPr>
          <w:spacing w:val="-3"/>
        </w:rPr>
        <w:t xml:space="preserve"> - The total of Rows 1620, 1630, 1640, 1650, 1660, 1670 and 1680. </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b/>
          <w:spacing w:val="-3"/>
        </w:rPr>
        <w:tab/>
      </w:r>
      <w:r>
        <w:rPr>
          <w:b/>
          <w:spacing w:val="-3"/>
          <w:u w:val="single"/>
        </w:rPr>
        <w:t>Other Investments</w:t>
      </w:r>
    </w:p>
    <w:p w:rsidR="00133457">
      <w:pPr>
        <w:tabs>
          <w:tab w:val="left" w:pos="-720"/>
        </w:tabs>
        <w:suppressAutoHyphens/>
        <w:jc w:val="both"/>
        <w:rPr>
          <w:spacing w:val="-3"/>
        </w:rPr>
      </w:pPr>
    </w:p>
    <w:p w:rsidR="008B2EBB" w:rsidP="008B2EBB">
      <w:pPr>
        <w:tabs>
          <w:tab w:val="left" w:pos="-720"/>
          <w:tab w:val="left" w:pos="0"/>
          <w:tab w:val="num" w:pos="720"/>
        </w:tabs>
        <w:suppressAutoHyphens/>
        <w:ind w:left="720" w:hanging="720"/>
        <w:jc w:val="both"/>
        <w:rPr>
          <w:spacing w:val="-3"/>
        </w:rPr>
      </w:pPr>
      <w:r>
        <w:rPr>
          <w:spacing w:val="-3"/>
        </w:rPr>
        <w:t>1705</w:t>
      </w:r>
      <w:r>
        <w:rPr>
          <w:spacing w:val="-3"/>
        </w:rPr>
        <w:tab/>
      </w:r>
      <w:r>
        <w:rPr>
          <w:spacing w:val="-3"/>
          <w:u w:val="single"/>
        </w:rPr>
        <w:t>Other Jurisdictional Assets-Net</w:t>
      </w:r>
      <w:r>
        <w:rPr>
          <w:spacing w:val="-3"/>
        </w:rPr>
        <w:t xml:space="preserve"> - The balance of Account 1500.  A positive value represents an increase to assets and a negative value represents a decrease to assets.</w:t>
      </w:r>
    </w:p>
    <w:p w:rsidR="008B2EBB" w:rsidP="008B2EBB">
      <w:pPr>
        <w:tabs>
          <w:tab w:val="left" w:pos="-720"/>
          <w:tab w:val="left" w:pos="0"/>
          <w:tab w:val="num" w:pos="720"/>
        </w:tabs>
        <w:suppressAutoHyphens/>
        <w:ind w:left="720" w:hanging="720"/>
        <w:jc w:val="both"/>
        <w:rPr>
          <w:spacing w:val="-3"/>
        </w:rPr>
      </w:pPr>
    </w:p>
    <w:p w:rsidR="00133457" w:rsidP="008B2EBB">
      <w:pPr>
        <w:tabs>
          <w:tab w:val="left" w:pos="-720"/>
          <w:tab w:val="left" w:pos="0"/>
          <w:tab w:val="num" w:pos="720"/>
        </w:tabs>
        <w:suppressAutoHyphens/>
        <w:ind w:left="720" w:hanging="720"/>
        <w:jc w:val="both"/>
        <w:rPr>
          <w:spacing w:val="-3"/>
        </w:rPr>
      </w:pPr>
      <w:r>
        <w:rPr>
          <w:spacing w:val="-3"/>
        </w:rPr>
        <w:t>1710</w:t>
      </w:r>
      <w:r>
        <w:rPr>
          <w:spacing w:val="-3"/>
        </w:rPr>
        <w:tab/>
      </w:r>
      <w:r w:rsidR="00CB23D6">
        <w:rPr>
          <w:u w:val="single"/>
        </w:rPr>
        <w:t>Pro</w:t>
      </w:r>
      <w:r>
        <w:rPr>
          <w:u w:val="single"/>
        </w:rPr>
        <w:t>perty Held for Future Telecommunications Use</w:t>
      </w:r>
      <w:r>
        <w:t xml:space="preserve"> – The balance of Account 2002.  </w:t>
      </w:r>
      <w:r>
        <w:rPr>
          <w:b/>
        </w:rPr>
        <w:t>Note:</w:t>
      </w:r>
      <w:r>
        <w:t xml:space="preserve"> Property owned and held for longer than two years must be excluded from the </w:t>
      </w:r>
      <w:r>
        <w:t>ratebase</w:t>
      </w:r>
      <w:r>
        <w:t xml:space="preserve"> and ratemaking considerations by inclusion of the original costs and associated accumulated depreciation in Column (</w:t>
      </w:r>
      <w:r>
        <w:t>d</w:t>
      </w:r>
      <w:r>
        <w:t>) – Adjustments.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1720</w:t>
      </w:r>
      <w:r>
        <w:rPr>
          <w:spacing w:val="-3"/>
        </w:rPr>
        <w:tab/>
      </w:r>
      <w:r>
        <w:rPr>
          <w:spacing w:val="-3"/>
          <w:u w:val="single"/>
        </w:rPr>
        <w:t>Telecommunications Plant Under Construction</w:t>
      </w:r>
      <w:r>
        <w:rPr>
          <w:spacing w:val="-3"/>
        </w:rPr>
        <w:t xml:space="preserve"> - The balance of Account 2003. </w:t>
      </w:r>
      <w:r>
        <w:rPr>
          <w:b/>
        </w:rPr>
        <w:t>Note:</w:t>
      </w:r>
      <w:r>
        <w:t xml:space="preserve"> Construction projects that have been suspended for six months or more must be excluded from the </w:t>
      </w:r>
      <w:r>
        <w:t>ratebase</w:t>
      </w:r>
      <w:r>
        <w:t xml:space="preserve"> and ratemaking considerations by inclusion of all direct and indirect costs in Column (</w:t>
      </w:r>
      <w:r w:rsidR="008B2EBB">
        <w:t>d</w:t>
      </w:r>
      <w:r>
        <w:t>) – Adjustments.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1730</w:t>
      </w:r>
      <w:r>
        <w:rPr>
          <w:spacing w:val="-3"/>
        </w:rPr>
        <w:tab/>
      </w:r>
      <w:r>
        <w:rPr>
          <w:spacing w:val="-3"/>
          <w:u w:val="single"/>
        </w:rPr>
        <w:t>Plant Acquisition Adjustment</w:t>
      </w:r>
      <w:r>
        <w:rPr>
          <w:spacing w:val="-3"/>
        </w:rPr>
        <w:t xml:space="preserve"> - The balance of Account 2005. Amounts excluded from ratemaking are removed in Row 1780.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1740</w:t>
      </w:r>
      <w:r>
        <w:rPr>
          <w:spacing w:val="-3"/>
        </w:rPr>
        <w:tab/>
      </w:r>
      <w:r>
        <w:rPr>
          <w:spacing w:val="-3"/>
          <w:u w:val="single"/>
        </w:rPr>
        <w:t>Investment in Nonaffiliated Companies</w:t>
      </w:r>
      <w:r>
        <w:rPr>
          <w:spacing w:val="-3"/>
        </w:rPr>
        <w:t xml:space="preserve"> - </w:t>
      </w:r>
      <w:r w:rsidRPr="00377BFA" w:rsidR="00377BFA">
        <w:rPr>
          <w:spacing w:val="-3"/>
        </w:rPr>
        <w:t>Enter the amounts from Account 1410 that are attributable to the acquisition cost of the Company’s investment in securities issued or assumed by nonaffiliated companies and individuals, and also its investment advances to such parties and special deposits of cash for more than one year from date of deposit.</w:t>
      </w:r>
      <w:r w:rsidRPr="00AE4426" w:rsidR="00377BFA">
        <w:rPr>
          <w:rFonts w:ascii="Arial" w:hAnsi="Arial" w:cs="Arial"/>
          <w:spacing w:val="-3"/>
        </w:rPr>
        <w:t xml:space="preserve"> </w:t>
      </w:r>
      <w:r>
        <w:rPr>
          <w:spacing w:val="-3"/>
        </w:rPr>
        <w:t xml:space="preserve">  The amount directly related to Class B Rural Telephone Bank Stock shall be included in the rate base.  Amounts excluded from ratemaking are removed in Row 1780.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1750</w:t>
      </w:r>
      <w:r>
        <w:rPr>
          <w:spacing w:val="-3"/>
        </w:rPr>
        <w:tab/>
      </w:r>
      <w:r>
        <w:rPr>
          <w:spacing w:val="-3"/>
          <w:u w:val="single"/>
        </w:rPr>
        <w:t>Other Deferred Charges</w:t>
      </w:r>
      <w:r>
        <w:rPr>
          <w:spacing w:val="-3"/>
        </w:rPr>
        <w:t xml:space="preserve"> - The balance of Account 143</w:t>
      </w:r>
      <w:r w:rsidR="00377BFA">
        <w:rPr>
          <w:spacing w:val="-3"/>
        </w:rPr>
        <w:t>8</w:t>
      </w:r>
      <w:r>
        <w:rPr>
          <w:spacing w:val="-3"/>
        </w:rPr>
        <w:t>. Amounts excluded from ratemaking are removed in Row 1780.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1760</w:t>
      </w:r>
      <w:r>
        <w:rPr>
          <w:spacing w:val="-3"/>
        </w:rPr>
        <w:tab/>
      </w:r>
      <w:r>
        <w:rPr>
          <w:spacing w:val="-3"/>
          <w:u w:val="single"/>
        </w:rPr>
        <w:t>Inventories</w:t>
      </w:r>
      <w:r>
        <w:rPr>
          <w:spacing w:val="-3"/>
        </w:rPr>
        <w:t xml:space="preserve"> - The balance of Account 1220.</w:t>
      </w:r>
    </w:p>
    <w:p w:rsidR="00133457">
      <w:pPr>
        <w:tabs>
          <w:tab w:val="left" w:pos="-720"/>
        </w:tabs>
        <w:suppressAutoHyphens/>
        <w:jc w:val="both"/>
        <w:rPr>
          <w:spacing w:val="-3"/>
        </w:rPr>
      </w:pPr>
    </w:p>
    <w:p w:rsidR="00A71F00">
      <w:pPr>
        <w:tabs>
          <w:tab w:val="left" w:pos="-720"/>
          <w:tab w:val="left" w:pos="0"/>
        </w:tabs>
        <w:suppressAutoHyphens/>
        <w:ind w:left="720" w:hanging="720"/>
        <w:jc w:val="both"/>
        <w:rPr>
          <w:spacing w:val="-3"/>
        </w:rPr>
      </w:pPr>
      <w:r>
        <w:rPr>
          <w:spacing w:val="-3"/>
        </w:rPr>
        <w:t>1770</w:t>
      </w:r>
      <w:r>
        <w:rPr>
          <w:spacing w:val="-3"/>
        </w:rPr>
        <w:tab/>
      </w:r>
      <w:r>
        <w:rPr>
          <w:spacing w:val="-3"/>
          <w:u w:val="single"/>
        </w:rPr>
        <w:t>Cash Working Capital</w:t>
      </w:r>
      <w:r>
        <w:rPr>
          <w:spacing w:val="-3"/>
        </w:rPr>
        <w:t xml:space="preserve"> - This amount equals that portion of investment required to meet current expenses. The calculation of this amount shall take into account revenue and expense items, which are received or paid for before the service is rendered and expense items received or disbursed after the service is rendered. This amount must be developed pursuant to CC Docket 86-497.</w:t>
      </w:r>
    </w:p>
    <w:p w:rsidR="00133457" w:rsidP="00A71F00">
      <w:pPr>
        <w:tabs>
          <w:tab w:val="left" w:pos="-720"/>
          <w:tab w:val="left" w:pos="0"/>
        </w:tabs>
        <w:suppressAutoHyphens/>
        <w:ind w:left="720" w:hanging="720"/>
        <w:jc w:val="both"/>
        <w:rPr>
          <w:spacing w:val="-3"/>
        </w:rPr>
      </w:pPr>
    </w:p>
    <w:p w:rsidR="00133457">
      <w:pPr>
        <w:tabs>
          <w:tab w:val="left" w:pos="-720"/>
          <w:tab w:val="left" w:pos="0"/>
        </w:tabs>
        <w:suppressAutoHyphens/>
        <w:ind w:left="720" w:hanging="720"/>
        <w:jc w:val="both"/>
        <w:rPr>
          <w:spacing w:val="-3"/>
        </w:rPr>
      </w:pPr>
      <w:r>
        <w:rPr>
          <w:spacing w:val="-3"/>
        </w:rPr>
        <w:t>1780</w:t>
      </w:r>
      <w:r>
        <w:rPr>
          <w:spacing w:val="-3"/>
        </w:rPr>
        <w:tab/>
      </w:r>
      <w:r>
        <w:rPr>
          <w:spacing w:val="-3"/>
          <w:u w:val="single"/>
        </w:rPr>
        <w:t>FCC Investment Adjustment</w:t>
      </w:r>
      <w:r>
        <w:rPr>
          <w:spacing w:val="-3"/>
        </w:rPr>
        <w:t xml:space="preserve"> - This amount shall contain the net of: (1) non-operating items not included above which the Commission has expressly allowed for ratemaking purposes; and (2) non-operating items included above which the Commission has expressly excluded for ratemaking purposes.  A positive value represents a net allowance and a negative value represents a net disallowance. This row will NOT include any Telecommunications Plant Under Construction as a Part 65 Adjustment.</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1790</w:t>
      </w:r>
      <w:r>
        <w:rPr>
          <w:spacing w:val="-3"/>
        </w:rPr>
        <w:tab/>
      </w:r>
      <w:r>
        <w:rPr>
          <w:spacing w:val="-3"/>
          <w:u w:val="single"/>
        </w:rPr>
        <w:t>Total Other Investments</w:t>
      </w:r>
      <w:r>
        <w:rPr>
          <w:spacing w:val="-3"/>
        </w:rPr>
        <w:t xml:space="preserve"> - The total of Rows 1705 through 1780.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b/>
          <w:spacing w:val="-3"/>
        </w:rPr>
        <w:tab/>
      </w:r>
      <w:r>
        <w:rPr>
          <w:b/>
          <w:spacing w:val="-3"/>
          <w:u w:val="single"/>
        </w:rPr>
        <w:t>Reserves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182</w:t>
      </w:r>
      <w:r w:rsidR="00CB23D6">
        <w:rPr>
          <w:spacing w:val="-3"/>
        </w:rPr>
        <w:t>0</w:t>
      </w:r>
      <w:r>
        <w:rPr>
          <w:spacing w:val="-3"/>
        </w:rPr>
        <w:tab/>
      </w:r>
      <w:r>
        <w:rPr>
          <w:spacing w:val="-3"/>
          <w:u w:val="single"/>
        </w:rPr>
        <w:t>Accumulated Depreciation</w:t>
      </w:r>
      <w:r>
        <w:rPr>
          <w:spacing w:val="-3"/>
        </w:rPr>
        <w:t xml:space="preserve"> - The total of Accounts 3100 and 3200.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1830</w:t>
      </w:r>
      <w:r>
        <w:rPr>
          <w:spacing w:val="-3"/>
        </w:rPr>
        <w:tab/>
      </w:r>
      <w:r>
        <w:rPr>
          <w:spacing w:val="-3"/>
          <w:u w:val="single"/>
        </w:rPr>
        <w:t>Accumulated Amortization</w:t>
      </w:r>
      <w:r>
        <w:rPr>
          <w:spacing w:val="-3"/>
        </w:rPr>
        <w:t xml:space="preserve"> - The total of </w:t>
      </w:r>
      <w:r w:rsidR="00DE5691">
        <w:t>Account 3400.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1840</w:t>
      </w:r>
      <w:r>
        <w:rPr>
          <w:spacing w:val="-3"/>
        </w:rPr>
        <w:tab/>
      </w:r>
      <w:r>
        <w:rPr>
          <w:spacing w:val="-3"/>
          <w:u w:val="single"/>
        </w:rPr>
        <w:t>Deferred Operating Income Taxes</w:t>
      </w:r>
      <w:r>
        <w:rPr>
          <w:spacing w:val="-3"/>
        </w:rPr>
        <w:t xml:space="preserve"> - The total of Accounts 4100 and 4340.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1850</w:t>
      </w:r>
      <w:r>
        <w:rPr>
          <w:spacing w:val="-3"/>
        </w:rPr>
        <w:tab/>
      </w:r>
      <w:r>
        <w:rPr>
          <w:spacing w:val="-3"/>
          <w:u w:val="single"/>
        </w:rPr>
        <w:t>Customer Deposits</w:t>
      </w:r>
      <w:r>
        <w:rPr>
          <w:spacing w:val="-3"/>
        </w:rPr>
        <w:t xml:space="preserve"> - The balance of Account 4040. This amount is separated between state and interstate by application of the interstate plant factor or special study. The interstate plant factor is calculated by dividing interstate plant-in-service by total plant-in-service.</w:t>
      </w:r>
      <w:r>
        <w:rPr>
          <w:rStyle w:val="FootnoteReference"/>
          <w:spacing w:val="-3"/>
        </w:rPr>
        <w:footnoteReference w:id="2"/>
      </w:r>
    </w:p>
    <w:p w:rsidR="00133457">
      <w:pPr>
        <w:tabs>
          <w:tab w:val="left" w:pos="-720"/>
        </w:tabs>
        <w:suppressAutoHyphens/>
        <w:jc w:val="both"/>
        <w:rPr>
          <w:spacing w:val="-3"/>
        </w:rPr>
      </w:pPr>
    </w:p>
    <w:p w:rsidR="00133457" w:rsidRPr="00377BFA">
      <w:pPr>
        <w:tabs>
          <w:tab w:val="left" w:pos="-720"/>
          <w:tab w:val="left" w:pos="0"/>
        </w:tabs>
        <w:suppressAutoHyphens/>
        <w:ind w:left="720" w:hanging="720"/>
        <w:jc w:val="both"/>
        <w:rPr>
          <w:spacing w:val="-3"/>
        </w:rPr>
      </w:pPr>
      <w:r>
        <w:rPr>
          <w:spacing w:val="-3"/>
        </w:rPr>
        <w:t>18</w:t>
      </w:r>
      <w:r w:rsidR="007D47ED">
        <w:rPr>
          <w:spacing w:val="-3"/>
        </w:rPr>
        <w:t>65</w:t>
      </w:r>
      <w:r>
        <w:rPr>
          <w:spacing w:val="-3"/>
        </w:rPr>
        <w:tab/>
      </w:r>
      <w:r w:rsidRPr="00377BFA" w:rsidR="00377BFA">
        <w:rPr>
          <w:u w:val="single"/>
        </w:rPr>
        <w:t>Other Long-term Liabilities and Deferred Credits</w:t>
      </w:r>
      <w:r w:rsidRPr="00377BFA" w:rsidR="00377BFA">
        <w:t xml:space="preserve"> </w:t>
      </w:r>
      <w:r w:rsidR="00377BFA">
        <w:rPr>
          <w:spacing w:val="-3"/>
        </w:rPr>
        <w:t>-</w:t>
      </w:r>
      <w:r w:rsidRPr="00377BFA" w:rsidR="00377BFA">
        <w:rPr>
          <w:spacing w:val="-3"/>
        </w:rPr>
        <w:t xml:space="preserve"> The balance of Account 4300.  Amounts excluded from ratemaking are removed </w:t>
      </w:r>
      <w:r w:rsidR="004C07F0">
        <w:rPr>
          <w:spacing w:val="-3"/>
        </w:rPr>
        <w:t>from</w:t>
      </w:r>
      <w:r w:rsidRPr="00377BFA" w:rsidR="00377BFA">
        <w:rPr>
          <w:spacing w:val="-3"/>
        </w:rPr>
        <w:t xml:space="preserve"> Row 1</w:t>
      </w:r>
      <w:r w:rsidR="00E27788">
        <w:rPr>
          <w:spacing w:val="-3"/>
        </w:rPr>
        <w:t>885</w:t>
      </w:r>
      <w:r w:rsidRPr="00377BFA" w:rsidR="00377BFA">
        <w:rPr>
          <w:spacing w:val="-3"/>
        </w:rPr>
        <w:t>.</w:t>
      </w:r>
    </w:p>
    <w:p w:rsidR="00133457">
      <w:pPr>
        <w:tabs>
          <w:tab w:val="left" w:pos="-720"/>
        </w:tabs>
        <w:suppressAutoHyphens/>
        <w:jc w:val="both"/>
        <w:rPr>
          <w:spacing w:val="-3"/>
        </w:rPr>
      </w:pPr>
    </w:p>
    <w:p w:rsidR="00133457" w:rsidP="00895E1B">
      <w:pPr>
        <w:numPr>
          <w:ilvl w:val="0"/>
          <w:numId w:val="15"/>
        </w:numPr>
        <w:tabs>
          <w:tab w:val="left" w:pos="-720"/>
          <w:tab w:val="left" w:pos="90"/>
          <w:tab w:val="num" w:pos="720"/>
          <w:tab w:val="clear" w:pos="840"/>
        </w:tabs>
        <w:suppressAutoHyphens/>
        <w:ind w:left="720" w:hanging="720"/>
        <w:jc w:val="both"/>
        <w:rPr>
          <w:spacing w:val="-3"/>
        </w:rPr>
      </w:pPr>
      <w:r>
        <w:rPr>
          <w:spacing w:val="-3"/>
          <w:u w:val="single"/>
        </w:rPr>
        <w:t>Def</w:t>
      </w:r>
      <w:r>
        <w:rPr>
          <w:spacing w:val="-3"/>
          <w:u w:val="single"/>
        </w:rPr>
        <w:t>erred Tax Liabilities</w:t>
      </w:r>
      <w:r>
        <w:rPr>
          <w:spacing w:val="-3"/>
        </w:rPr>
        <w:t xml:space="preserve"> – The balance of Accounts 4341 and 4361.</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1883</w:t>
      </w:r>
      <w:r>
        <w:rPr>
          <w:spacing w:val="-3"/>
        </w:rPr>
        <w:tab/>
      </w:r>
      <w:r>
        <w:rPr>
          <w:spacing w:val="-3"/>
          <w:u w:val="single"/>
        </w:rPr>
        <w:t>Other Jurisdictional Liabilities and Deferred Credits</w:t>
      </w:r>
      <w:r>
        <w:rPr>
          <w:spacing w:val="-3"/>
        </w:rPr>
        <w:t xml:space="preserve"> - The balance of Account 4370.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1885</w:t>
      </w:r>
      <w:r>
        <w:rPr>
          <w:spacing w:val="-3"/>
        </w:rPr>
        <w:tab/>
      </w:r>
      <w:r>
        <w:rPr>
          <w:spacing w:val="-3"/>
          <w:u w:val="single"/>
        </w:rPr>
        <w:t>FCC Reserve Adjustment</w:t>
      </w:r>
      <w:r>
        <w:rPr>
          <w:spacing w:val="-3"/>
        </w:rPr>
        <w:t xml:space="preserve"> - This amount shall contain the net of:  (1) reserve items not included above which the Commission has expressly included for ratemaking purposes; and (2) reserve items included above which the Commission has expressly excluded for ratemaking purposes. A positive value represents a net reserve allowance and a negative value represents a net reserve disallowance.</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1890</w:t>
      </w:r>
      <w:r>
        <w:rPr>
          <w:spacing w:val="-3"/>
        </w:rPr>
        <w:tab/>
      </w:r>
      <w:r>
        <w:rPr>
          <w:spacing w:val="-3"/>
          <w:u w:val="single"/>
        </w:rPr>
        <w:t>Total Reserves</w:t>
      </w:r>
      <w:r>
        <w:rPr>
          <w:spacing w:val="-3"/>
        </w:rPr>
        <w:t xml:space="preserve"> - The total of Rows 1820 through 1885.</w:t>
      </w:r>
    </w:p>
    <w:p w:rsidR="00133457">
      <w:pPr>
        <w:tabs>
          <w:tab w:val="left" w:pos="-720"/>
        </w:tabs>
        <w:suppressAutoHyphens/>
        <w:jc w:val="both"/>
        <w:rPr>
          <w:b/>
          <w:spacing w:val="-3"/>
          <w:u w:val="single"/>
        </w:rPr>
      </w:pPr>
    </w:p>
    <w:p w:rsidR="00133457">
      <w:pPr>
        <w:tabs>
          <w:tab w:val="left" w:pos="-720"/>
          <w:tab w:val="left" w:pos="0"/>
        </w:tabs>
        <w:suppressAutoHyphens/>
        <w:ind w:left="720" w:hanging="720"/>
        <w:jc w:val="both"/>
        <w:rPr>
          <w:spacing w:val="-3"/>
        </w:rPr>
      </w:pPr>
      <w:r>
        <w:rPr>
          <w:b/>
          <w:spacing w:val="-3"/>
        </w:rPr>
        <w:tab/>
      </w:r>
      <w:r>
        <w:rPr>
          <w:b/>
          <w:spacing w:val="-3"/>
          <w:u w:val="single"/>
        </w:rPr>
        <w:t>Return Data</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1910</w:t>
      </w:r>
      <w:r>
        <w:rPr>
          <w:spacing w:val="-3"/>
        </w:rPr>
        <w:tab/>
      </w:r>
      <w:r>
        <w:rPr>
          <w:spacing w:val="-3"/>
          <w:u w:val="single"/>
        </w:rPr>
        <w:t>Average Net Investment</w:t>
      </w:r>
      <w:r>
        <w:rPr>
          <w:spacing w:val="-3"/>
        </w:rPr>
        <w:t xml:space="preserve"> - The total of Rows 1690 and 1790 less Row 1890.</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1915</w:t>
      </w:r>
      <w:r>
        <w:rPr>
          <w:spacing w:val="-3"/>
        </w:rPr>
        <w:tab/>
      </w:r>
      <w:r>
        <w:rPr>
          <w:spacing w:val="-3"/>
          <w:u w:val="single"/>
        </w:rPr>
        <w:t>Net Return</w:t>
      </w:r>
      <w:r>
        <w:rPr>
          <w:spacing w:val="-3"/>
        </w:rPr>
        <w:t xml:space="preserve"> - The total of </w:t>
      </w:r>
      <w:r w:rsidR="00DE5691">
        <w:t>Rows 1090 and 1290 less 1190, 1390 and 1595.</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1920</w:t>
      </w:r>
      <w:r>
        <w:rPr>
          <w:spacing w:val="-3"/>
        </w:rPr>
        <w:tab/>
      </w:r>
      <w:r>
        <w:rPr>
          <w:spacing w:val="-3"/>
          <w:u w:val="single"/>
        </w:rPr>
        <w:t>Rate of Return</w:t>
      </w:r>
      <w:r>
        <w:rPr>
          <w:spacing w:val="-3"/>
        </w:rPr>
        <w:t xml:space="preserve"> - Row 1915 divided by Row 1910, multiplied by 100.  Round to 2 decimal</w:t>
      </w:r>
      <w:r w:rsidR="00C66243">
        <w:rPr>
          <w:spacing w:val="-3"/>
        </w:rPr>
        <w:t xml:space="preserve"> </w:t>
      </w:r>
      <w:r>
        <w:rPr>
          <w:spacing w:val="-3"/>
        </w:rPr>
        <w:t>places.  All price cap companies should insert zeros in Columns (m), (n), (p), (r) and (s).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ab/>
      </w:r>
      <w:r>
        <w:rPr>
          <w:b/>
          <w:spacing w:val="-3"/>
          <w:u w:val="single"/>
        </w:rPr>
        <w:t>Miscellaneous Data</w:t>
      </w:r>
      <w:r>
        <w:rPr>
          <w:spacing w:val="-3"/>
        </w:rPr>
        <w:t xml:space="preserve"> </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1950</w:t>
      </w:r>
      <w:r>
        <w:rPr>
          <w:spacing w:val="-3"/>
        </w:rPr>
        <w:tab/>
      </w:r>
      <w:r>
        <w:rPr>
          <w:spacing w:val="-3"/>
          <w:u w:val="single"/>
        </w:rPr>
        <w:t>Lifeline Adjustment</w:t>
      </w:r>
      <w:r>
        <w:rPr>
          <w:spacing w:val="-3"/>
        </w:rPr>
        <w:t xml:space="preserve"> - Enter this amount pursuant to Section 54.411.</w:t>
      </w:r>
    </w:p>
    <w:p w:rsidR="00133457">
      <w:pPr>
        <w:tabs>
          <w:tab w:val="left" w:pos="-720"/>
        </w:tabs>
        <w:suppressAutoHyphens/>
        <w:jc w:val="both"/>
        <w:rPr>
          <w:spacing w:val="-3"/>
        </w:rPr>
      </w:pPr>
    </w:p>
    <w:p w:rsidR="00133457" w:rsidP="00CB23D6">
      <w:pPr>
        <w:tabs>
          <w:tab w:val="left" w:pos="-720"/>
          <w:tab w:val="left" w:pos="-180"/>
        </w:tabs>
        <w:suppressAutoHyphens/>
        <w:ind w:left="720" w:hanging="720"/>
        <w:jc w:val="both"/>
        <w:rPr>
          <w:spacing w:val="-3"/>
        </w:rPr>
      </w:pPr>
      <w:r w:rsidRPr="00CB23D6">
        <w:rPr>
          <w:spacing w:val="-3"/>
        </w:rPr>
        <w:t>1960</w:t>
      </w:r>
      <w:r w:rsidRPr="00CB23D6">
        <w:rPr>
          <w:spacing w:val="-3"/>
        </w:rPr>
        <w:tab/>
      </w:r>
      <w:r>
        <w:rPr>
          <w:spacing w:val="-3"/>
          <w:u w:val="single"/>
        </w:rPr>
        <w:t>Universal Service Fund – High Loop Cost</w:t>
      </w:r>
      <w:r>
        <w:rPr>
          <w:spacing w:val="-3"/>
        </w:rPr>
        <w:t xml:space="preserve"> - Universal service fund high loop cost support </w:t>
      </w:r>
      <w:r>
        <w:rPr>
          <w:spacing w:val="-3"/>
        </w:rPr>
        <w:t>received for the reporting period as calculated by the universal service fund administrator pursuant to Sections 36.601 – 641 (rural carriers) or Section 54.309 (non-rural carriers).</w:t>
      </w:r>
    </w:p>
    <w:p w:rsidR="00133457">
      <w:pPr>
        <w:tabs>
          <w:tab w:val="left" w:pos="-720"/>
          <w:tab w:val="left" w:pos="0"/>
        </w:tabs>
        <w:suppressAutoHyphens/>
        <w:jc w:val="both"/>
        <w:rPr>
          <w:spacing w:val="-3"/>
        </w:rPr>
      </w:pPr>
    </w:p>
    <w:p w:rsidR="00133457" w:rsidP="00F812A8">
      <w:pPr>
        <w:tabs>
          <w:tab w:val="left" w:pos="-720"/>
        </w:tabs>
        <w:suppressAutoHyphens/>
        <w:jc w:val="center"/>
      </w:pPr>
      <w:r>
        <w:br w:type="page"/>
      </w:r>
      <w:r>
        <w:t xml:space="preserve">TABLE I - COLUMN </w:t>
      </w:r>
      <w:r w:rsidR="00CB015C">
        <w:t>DEFINITIONS</w:t>
      </w:r>
    </w:p>
    <w:p w:rsidR="00133457">
      <w:pPr>
        <w:tabs>
          <w:tab w:val="left" w:pos="-720"/>
        </w:tabs>
        <w:suppressAutoHyphens/>
        <w:jc w:val="center"/>
      </w:pPr>
    </w:p>
    <w:p w:rsidR="000748C5" w:rsidRPr="00E01ACA">
      <w:pPr>
        <w:tabs>
          <w:tab w:val="left" w:pos="-720"/>
        </w:tabs>
        <w:suppressAutoHyphens/>
        <w:jc w:val="both"/>
        <w:rPr>
          <w:spacing w:val="-3"/>
        </w:rPr>
      </w:pPr>
      <w:r w:rsidRPr="00E01ACA">
        <w:rPr>
          <w:spacing w:val="-3"/>
        </w:rPr>
        <w:t>Each column is a cost category, access element, or summary thereof, specified in the Commission's Rules.  Columns (b) and (c) shall be reported as booked.  Column (d) shall contain booked and the off-book adjustments necessary to arrive at the amount subject to separations.  The remaining columns shall be reported as adjusted.</w:t>
      </w:r>
    </w:p>
    <w:p w:rsidR="00133457" w:rsidRPr="00E01ACA">
      <w:pPr>
        <w:tabs>
          <w:tab w:val="left" w:pos="-720"/>
        </w:tabs>
        <w:suppressAutoHyphens/>
        <w:jc w:val="both"/>
        <w:rPr>
          <w:spacing w:val="-3"/>
        </w:rPr>
      </w:pPr>
    </w:p>
    <w:p w:rsidR="00133457">
      <w:pPr>
        <w:tabs>
          <w:tab w:val="center" w:pos="4752"/>
        </w:tabs>
        <w:suppressAutoHyphens/>
      </w:pPr>
      <w:r>
        <w:rPr>
          <w:u w:val="single"/>
        </w:rPr>
        <w:t>Column</w:t>
      </w:r>
      <w:r>
        <w:tab/>
      </w:r>
      <w:r w:rsidR="00FB6C52">
        <w:rPr>
          <w:u w:val="single"/>
        </w:rPr>
        <w:t>Definition</w:t>
      </w:r>
    </w:p>
    <w:p w:rsidR="00133457">
      <w:pPr>
        <w:tabs>
          <w:tab w:val="left" w:pos="-720"/>
        </w:tabs>
        <w:suppressAutoHyphens/>
      </w:pPr>
    </w:p>
    <w:p w:rsidR="00133457">
      <w:pPr>
        <w:tabs>
          <w:tab w:val="left" w:pos="-720"/>
          <w:tab w:val="left" w:pos="0"/>
        </w:tabs>
        <w:suppressAutoHyphens/>
        <w:ind w:left="720" w:hanging="720"/>
        <w:jc w:val="both"/>
        <w:rPr>
          <w:spacing w:val="-3"/>
        </w:rPr>
      </w:pPr>
      <w:r>
        <w:rPr>
          <w:spacing w:val="-3"/>
        </w:rPr>
        <w:t>b.</w:t>
      </w:r>
      <w:r>
        <w:rPr>
          <w:spacing w:val="-3"/>
        </w:rPr>
        <w:tab/>
      </w:r>
      <w:r>
        <w:rPr>
          <w:spacing w:val="-3"/>
          <w:u w:val="single"/>
        </w:rPr>
        <w:t>Total</w:t>
      </w:r>
      <w:r>
        <w:rPr>
          <w:spacing w:val="-3"/>
        </w:rPr>
        <w:t xml:space="preserve"> - This column reflects the operating results for each of the rows itemized in this report, and includes all regulated and nonregulated company operations for each row. These amounts are represented prior to separation between state and interstate jurisdictions and are reported as booked.</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c.</w:t>
      </w:r>
      <w:r>
        <w:rPr>
          <w:spacing w:val="-3"/>
        </w:rPr>
        <w:tab/>
      </w:r>
      <w:r>
        <w:rPr>
          <w:spacing w:val="-3"/>
          <w:u w:val="single"/>
        </w:rPr>
        <w:t>Nonregulated</w:t>
      </w:r>
      <w:r>
        <w:rPr>
          <w:spacing w:val="-3"/>
        </w:rPr>
        <w:t xml:space="preserve"> - This column reflects the amount of each row pertaining to nonregulated activities in compliance with Docket 86-111. These amounts are reported as booked.</w:t>
      </w:r>
      <w:r w:rsidR="00DF2974">
        <w:rPr>
          <w:spacing w:val="-3"/>
        </w:rPr>
        <w:t xml:space="preserve">  </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d.</w:t>
      </w:r>
      <w:r>
        <w:rPr>
          <w:spacing w:val="-3"/>
        </w:rPr>
        <w:tab/>
      </w:r>
      <w:r>
        <w:rPr>
          <w:spacing w:val="-3"/>
          <w:u w:val="single"/>
        </w:rPr>
        <w:t>Adjustments</w:t>
      </w:r>
      <w:r>
        <w:rPr>
          <w:spacing w:val="-3"/>
        </w:rPr>
        <w:t xml:space="preserve"> - This column reflects adjustments made to each row for costs related to shared network facility arrangements and intra-company subsidiary contracts. </w:t>
      </w:r>
      <w:r w:rsidR="00720E0B">
        <w:rPr>
          <w:spacing w:val="-3"/>
        </w:rPr>
        <w:t xml:space="preserve"> </w:t>
      </w:r>
      <w:r w:rsidR="00FE3B05">
        <w:rPr>
          <w:spacing w:val="-3"/>
        </w:rPr>
        <w:t>This column also i</w:t>
      </w:r>
      <w:r w:rsidR="00720E0B">
        <w:rPr>
          <w:spacing w:val="-3"/>
        </w:rPr>
        <w:t>nclud</w:t>
      </w:r>
      <w:r w:rsidR="00FE3B05">
        <w:rPr>
          <w:spacing w:val="-3"/>
        </w:rPr>
        <w:t>es</w:t>
      </w:r>
      <w:r w:rsidR="00720E0B">
        <w:rPr>
          <w:spacing w:val="-3"/>
        </w:rPr>
        <w:t xml:space="preserve"> </w:t>
      </w:r>
      <w:r w:rsidR="00720E0B">
        <w:t>all remaining adjustments such as prior period adjustments and adjustments necessary to arrive at the amount subject to separations.  In addition, Part 36 study adjustments to reflect the reallocation of common power and common other costs between the COE accounts in Part 32 should be entered in this column.  The affected rows are 1630, 1640 and 1650.</w:t>
      </w:r>
      <w:r>
        <w:rPr>
          <w:spacing w:val="-3"/>
        </w:rPr>
        <w:t xml:space="preserve"> These amounts are reported as booked.</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f.</w:t>
      </w:r>
      <w:r>
        <w:rPr>
          <w:spacing w:val="-3"/>
        </w:rPr>
        <w:tab/>
      </w:r>
      <w:r>
        <w:rPr>
          <w:spacing w:val="-3"/>
          <w:u w:val="single"/>
        </w:rPr>
        <w:t>Subject to Separations</w:t>
      </w:r>
      <w:r>
        <w:rPr>
          <w:spacing w:val="-3"/>
        </w:rPr>
        <w:t xml:space="preserve"> - This column reflects that portion of each row that must be allocated between state and interstate jurisdictions pursuant to Part 36 of the Commission's Rules.  Column (b) less Columns (c)</w:t>
      </w:r>
      <w:r w:rsidR="00FE3B05">
        <w:rPr>
          <w:spacing w:val="-3"/>
        </w:rPr>
        <w:t xml:space="preserve"> and</w:t>
      </w:r>
      <w:r>
        <w:rPr>
          <w:spacing w:val="-3"/>
        </w:rPr>
        <w:t xml:space="preserve"> (d).  This amount also equals the total of Columns (g) and (h) except for those rows where a N/A appears in Column (g).</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 xml:space="preserve">g. </w:t>
      </w:r>
      <w:r>
        <w:rPr>
          <w:spacing w:val="-3"/>
        </w:rPr>
        <w:tab/>
      </w:r>
      <w:r>
        <w:rPr>
          <w:spacing w:val="-3"/>
          <w:u w:val="single"/>
        </w:rPr>
        <w:t>State</w:t>
      </w:r>
      <w:r>
        <w:rPr>
          <w:spacing w:val="-3"/>
        </w:rPr>
        <w:t xml:space="preserve"> - This column reflects that portion of each row that is allocated to the state jurisdiction for which this schedule is being filed, pursuant to Part 36 of the Commission's Rules. The cost of </w:t>
      </w:r>
      <w:r>
        <w:rPr>
          <w:spacing w:val="-3"/>
        </w:rPr>
        <w:t>detariffed</w:t>
      </w:r>
      <w:r>
        <w:rPr>
          <w:spacing w:val="-3"/>
        </w:rPr>
        <w:t xml:space="preserve"> CPE shall be entered in this column pursuant to Section 36.142.</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h.</w:t>
      </w:r>
      <w:r>
        <w:rPr>
          <w:spacing w:val="-3"/>
        </w:rPr>
        <w:tab/>
      </w:r>
      <w:r>
        <w:rPr>
          <w:spacing w:val="-3"/>
          <w:u w:val="single"/>
        </w:rPr>
        <w:t>Interstate</w:t>
      </w:r>
      <w:r>
        <w:rPr>
          <w:spacing w:val="-3"/>
        </w:rPr>
        <w:t xml:space="preserve"> - This column reflects that portion of each row that is allocated to the interstate jurisdiction for which this schedule is being filed, pursuant to Part 36 of the Commission's Rules.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m.</w:t>
      </w:r>
      <w:r>
        <w:rPr>
          <w:spacing w:val="-3"/>
        </w:rPr>
        <w:tab/>
      </w:r>
      <w:r>
        <w:rPr>
          <w:spacing w:val="-3"/>
          <w:u w:val="single"/>
        </w:rPr>
        <w:t>Common Line</w:t>
      </w:r>
      <w:r>
        <w:rPr>
          <w:spacing w:val="-3"/>
        </w:rPr>
        <w:t xml:space="preserve"> - This column reflects those amounts that are assigned to the common line access elements pursuant to Part 69 of the Commission's Rules.  </w:t>
      </w:r>
    </w:p>
    <w:p w:rsidR="00133457">
      <w:pPr>
        <w:tabs>
          <w:tab w:val="left" w:pos="-720"/>
        </w:tabs>
        <w:suppressAutoHyphens/>
        <w:jc w:val="both"/>
        <w:rPr>
          <w:spacing w:val="-3"/>
        </w:rPr>
      </w:pPr>
    </w:p>
    <w:p w:rsidR="00133457" w:rsidP="001B6857">
      <w:pPr>
        <w:tabs>
          <w:tab w:val="left" w:pos="-720"/>
          <w:tab w:val="left" w:pos="-180"/>
        </w:tabs>
        <w:suppressAutoHyphens/>
        <w:jc w:val="both"/>
        <w:rPr>
          <w:spacing w:val="-3"/>
        </w:rPr>
      </w:pPr>
      <w:r>
        <w:rPr>
          <w:spacing w:val="-3"/>
          <w:u w:val="single"/>
        </w:rPr>
        <w:t>Traffic Sensitive</w:t>
      </w:r>
      <w:r>
        <w:rPr>
          <w:spacing w:val="-3"/>
        </w:rPr>
        <w:t xml:space="preserve"> - Th</w:t>
      </w:r>
      <w:r w:rsidR="00FE3B05">
        <w:rPr>
          <w:spacing w:val="-3"/>
        </w:rPr>
        <w:t>ese</w:t>
      </w:r>
      <w:r>
        <w:rPr>
          <w:spacing w:val="-3"/>
        </w:rPr>
        <w:t xml:space="preserve"> column</w:t>
      </w:r>
      <w:r w:rsidR="00FE3B05">
        <w:rPr>
          <w:spacing w:val="-3"/>
        </w:rPr>
        <w:t>s</w:t>
      </w:r>
      <w:r>
        <w:rPr>
          <w:spacing w:val="-3"/>
        </w:rPr>
        <w:t xml:space="preserve"> reflect those amounts that are assigned to the Traffic Sensitive Access elements and sub-elements pursuant to Part 69 of the Commission’s Rules.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n.</w:t>
      </w:r>
      <w:r>
        <w:rPr>
          <w:spacing w:val="-3"/>
        </w:rPr>
        <w:tab/>
      </w:r>
      <w:r>
        <w:rPr>
          <w:spacing w:val="-3"/>
          <w:u w:val="single"/>
        </w:rPr>
        <w:t>Switching</w:t>
      </w:r>
      <w:r>
        <w:rPr>
          <w:spacing w:val="-3"/>
        </w:rPr>
        <w:t xml:space="preserve"> - This column reflects that portion of each row associated with connection of toll lines to toll lines, or toll lines to local central offices, exclusive of equal access costs if the exchange carrier has a separate equal access rate element. The amounts entered in this column are applicable to the Local Switching Access element pursuant to Part 69 of the Commission's Rules.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 xml:space="preserve"> p.</w:t>
      </w:r>
      <w:r>
        <w:rPr>
          <w:spacing w:val="-3"/>
        </w:rPr>
        <w:tab/>
      </w:r>
      <w:r>
        <w:rPr>
          <w:spacing w:val="-3"/>
          <w:u w:val="single"/>
        </w:rPr>
        <w:t>Transport</w:t>
      </w:r>
      <w:r>
        <w:rPr>
          <w:spacing w:val="-3"/>
        </w:rPr>
        <w:t xml:space="preserve"> - This column reflects that portion of each line item applicable to charges assessed upon all interexchange carriers who use switching or transport facilities that are apportioned to the transport element or elements for purposes of apportioning net investment. The amounts entered in this column are assigned to the Transport Access elements pursuant to Part 69 of the Commission's Rules.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r.</w:t>
      </w:r>
      <w:r>
        <w:rPr>
          <w:spacing w:val="-3"/>
        </w:rPr>
        <w:tab/>
      </w:r>
      <w:r>
        <w:rPr>
          <w:spacing w:val="-3"/>
          <w:u w:val="single"/>
        </w:rPr>
        <w:t>Total Traffic Sensitive</w:t>
      </w:r>
      <w:r>
        <w:rPr>
          <w:spacing w:val="-3"/>
        </w:rPr>
        <w:t xml:space="preserve"> - This column reflects those amounts that are assigned to the Traffic Sensitive Access elements and sub-elements pursuant to Part 69 of the Commission’s Rules.  </w:t>
      </w:r>
      <w:r>
        <w:rPr>
          <w:b/>
          <w:spacing w:val="-3"/>
        </w:rPr>
        <w:t>Note:</w:t>
      </w:r>
      <w:r>
        <w:rPr>
          <w:spacing w:val="-3"/>
        </w:rPr>
        <w:t xml:space="preserve"> This column is the total of Columns (n) and (p), plus Traffic Sensitive - Information (charges assessed upon all interexchange carriers who are connected to assistance boards through interexchange directory assistance trunks).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s.</w:t>
      </w:r>
      <w:r>
        <w:rPr>
          <w:spacing w:val="-3"/>
        </w:rPr>
        <w:tab/>
      </w:r>
      <w:r>
        <w:rPr>
          <w:spacing w:val="-3"/>
          <w:u w:val="single"/>
        </w:rPr>
        <w:t xml:space="preserve">Special Access </w:t>
      </w:r>
      <w:r>
        <w:rPr>
          <w:spacing w:val="-3"/>
        </w:rPr>
        <w:t>- This column reflects that portion of each row applicable to the total of all sub-elements that have been established for the use of equipment or facilities assigned to the Special Access element for purposes of apportioning net investment.  The amounts entered in this column are assigned to the Special Access element pursuant to Part 69 of the Commission's Rules.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u.</w:t>
      </w:r>
      <w:r>
        <w:rPr>
          <w:spacing w:val="-3"/>
        </w:rPr>
        <w:tab/>
      </w:r>
      <w:r>
        <w:rPr>
          <w:spacing w:val="-3"/>
          <w:u w:val="single"/>
        </w:rPr>
        <w:t>Billing and Collection</w:t>
      </w:r>
      <w:r>
        <w:rPr>
          <w:spacing w:val="-3"/>
        </w:rPr>
        <w:t xml:space="preserve"> - This column reflects that portion of each row applicable to Billing and Collection services pursuant to Part 69 of the Commission's Rules.</w:t>
      </w:r>
    </w:p>
    <w:p w:rsidR="00133457">
      <w:pPr>
        <w:tabs>
          <w:tab w:val="left" w:pos="-720"/>
        </w:tabs>
        <w:suppressAutoHyphens/>
        <w:jc w:val="both"/>
        <w:rPr>
          <w:spacing w:val="-3"/>
        </w:rPr>
      </w:pPr>
    </w:p>
    <w:p w:rsidR="00133457">
      <w:pPr>
        <w:tabs>
          <w:tab w:val="left" w:pos="-720"/>
          <w:tab w:val="left" w:pos="0"/>
        </w:tabs>
        <w:suppressAutoHyphens/>
        <w:ind w:left="720" w:hanging="720"/>
        <w:jc w:val="both"/>
        <w:rPr>
          <w:spacing w:val="-3"/>
        </w:rPr>
      </w:pPr>
      <w:r>
        <w:rPr>
          <w:spacing w:val="-3"/>
        </w:rPr>
        <w:t>v.</w:t>
      </w:r>
      <w:r>
        <w:rPr>
          <w:spacing w:val="-3"/>
        </w:rPr>
        <w:tab/>
      </w:r>
      <w:r>
        <w:rPr>
          <w:spacing w:val="-3"/>
          <w:u w:val="single"/>
        </w:rPr>
        <w:t>Interexchange (IX)</w:t>
      </w:r>
      <w:r>
        <w:rPr>
          <w:spacing w:val="-3"/>
        </w:rPr>
        <w:t xml:space="preserve"> - This column reflects that portion of each row applicable to Interexchange services pursuant to Part 69 of the Commission's Rules.</w:t>
      </w:r>
    </w:p>
    <w:p w:rsidR="00DE0AAC">
      <w:pPr>
        <w:tabs>
          <w:tab w:val="left" w:pos="-720"/>
        </w:tabs>
        <w:suppressAutoHyphens/>
        <w:jc w:val="center"/>
        <w:sectPr w:rsidSect="00B41A63">
          <w:headerReference w:type="default" r:id="rId9"/>
          <w:endnotePr>
            <w:numFmt w:val="decimal"/>
          </w:endnotePr>
          <w:pgSz w:w="12240" w:h="15840"/>
          <w:pgMar w:top="1152" w:right="1440" w:bottom="900" w:left="1440" w:header="720" w:footer="720" w:gutter="0"/>
          <w:cols w:space="720"/>
          <w:noEndnote/>
        </w:sectPr>
      </w:pPr>
    </w:p>
    <w:p w:rsidR="00133457" w:rsidP="00E01ACA">
      <w:pPr>
        <w:tabs>
          <w:tab w:val="left" w:pos="-720"/>
        </w:tabs>
        <w:suppressAutoHyphens/>
        <w:jc w:val="center"/>
      </w:pPr>
    </w:p>
    <w:p w:rsidR="00133457">
      <w:pPr>
        <w:suppressAutoHyphens/>
        <w:jc w:val="center"/>
        <w:outlineLvl w:val="0"/>
      </w:pPr>
      <w:r>
        <w:t>TABLE II - DEMAND ANALYSIS TABLE</w:t>
      </w:r>
      <w:r>
        <w:fldChar w:fldCharType="begin"/>
      </w:r>
      <w:r>
        <w:instrText xml:space="preserve">PRIVATE </w:instrText>
      </w:r>
      <w:r>
        <w:fldChar w:fldCharType="end"/>
      </w:r>
    </w:p>
    <w:p w:rsidR="00133457">
      <w:pPr>
        <w:suppressAutoHyphens/>
        <w:jc w:val="center"/>
      </w:pPr>
    </w:p>
    <w:p w:rsidR="00133457">
      <w:pPr>
        <w:suppressAutoHyphens/>
        <w:jc w:val="center"/>
        <w:outlineLvl w:val="0"/>
        <w:rPr>
          <w:u w:val="single"/>
        </w:rPr>
      </w:pPr>
      <w:r>
        <w:t>ANNUAL DATA - END OF YEAR VIEW</w:t>
      </w:r>
    </w:p>
    <w:p w:rsidR="00133457">
      <w:pPr>
        <w:suppressAutoHyphens/>
        <w:jc w:val="center"/>
        <w:rPr>
          <w:u w:val="single"/>
        </w:rPr>
      </w:pPr>
    </w:p>
    <w:p w:rsidR="00133457">
      <w:pPr>
        <w:suppressAutoHyphens/>
        <w:jc w:val="center"/>
        <w:outlineLvl w:val="0"/>
      </w:pPr>
      <w:r>
        <w:t>GENERAL INSTRUCTIONS</w:t>
      </w:r>
    </w:p>
    <w:p w:rsidR="00133457">
      <w:pPr>
        <w:suppressAutoHyphens/>
      </w:pPr>
    </w:p>
    <w:p w:rsidR="00133457" w:rsidP="005B4282">
      <w:pPr>
        <w:suppressAutoHyphens/>
        <w:jc w:val="both"/>
        <w:rPr>
          <w:spacing w:val="-3"/>
        </w:rPr>
      </w:pPr>
      <w:r>
        <w:rPr>
          <w:spacing w:val="-3"/>
        </w:rPr>
        <w:t>Rows 20</w:t>
      </w:r>
      <w:r w:rsidR="00FE3B05">
        <w:rPr>
          <w:spacing w:val="-3"/>
        </w:rPr>
        <w:t>5</w:t>
      </w:r>
      <w:r>
        <w:rPr>
          <w:spacing w:val="-3"/>
        </w:rPr>
        <w:t xml:space="preserve">0 </w:t>
      </w:r>
      <w:r w:rsidR="00FE3B05">
        <w:rPr>
          <w:spacing w:val="-3"/>
        </w:rPr>
        <w:t xml:space="preserve">and </w:t>
      </w:r>
      <w:r>
        <w:rPr>
          <w:spacing w:val="-3"/>
        </w:rPr>
        <w:t>2060 of this table should contain annual data reported in thousands. Rows 2090 through 2150 should also be reported as end of the year data and reported in whole numbers.</w:t>
      </w:r>
    </w:p>
    <w:p w:rsidR="000748C5" w:rsidP="005B4282">
      <w:pPr>
        <w:suppressAutoHyphens/>
        <w:jc w:val="both"/>
        <w:rPr>
          <w:spacing w:val="-3"/>
        </w:rPr>
      </w:pPr>
    </w:p>
    <w:p w:rsidR="000748C5" w:rsidP="005B4282">
      <w:pPr>
        <w:suppressAutoHyphens/>
        <w:jc w:val="both"/>
        <w:rPr>
          <w:spacing w:val="-3"/>
        </w:rPr>
      </w:pPr>
      <w:r w:rsidRPr="00E61C54">
        <w:rPr>
          <w:szCs w:val="24"/>
        </w:rPr>
        <w:t>Any row/column data entry which contains UNE data must be accompanied by an explanatory footnote identifying the types of UNEs (e.g., “UNE-P”) that are included.</w:t>
      </w:r>
    </w:p>
    <w:p w:rsidR="00133457">
      <w:pPr>
        <w:suppressAutoHyphens/>
        <w:jc w:val="center"/>
      </w:pPr>
    </w:p>
    <w:p w:rsidR="000748C5">
      <w:pPr>
        <w:suppressAutoHyphens/>
        <w:jc w:val="center"/>
      </w:pPr>
    </w:p>
    <w:p w:rsidR="00133457">
      <w:pPr>
        <w:suppressAutoHyphens/>
        <w:jc w:val="center"/>
        <w:outlineLvl w:val="0"/>
      </w:pPr>
      <w:r>
        <w:t xml:space="preserve">ROW </w:t>
      </w:r>
      <w:r w:rsidR="00CB015C">
        <w:t>DEFINITIONS</w:t>
      </w:r>
    </w:p>
    <w:p w:rsidR="00133457">
      <w:pPr>
        <w:suppressAutoHyphens/>
        <w:jc w:val="center"/>
      </w:pPr>
    </w:p>
    <w:p w:rsidR="00AB384A">
      <w:pPr>
        <w:suppressAutoHyphens/>
        <w:jc w:val="center"/>
      </w:pPr>
    </w:p>
    <w:p w:rsidR="00133457">
      <w:pPr>
        <w:suppressAutoHyphens/>
        <w:jc w:val="both"/>
        <w:outlineLvl w:val="0"/>
        <w:rPr>
          <w:spacing w:val="-3"/>
        </w:rPr>
      </w:pPr>
      <w:r>
        <w:rPr>
          <w:spacing w:val="-3"/>
          <w:u w:val="single"/>
        </w:rPr>
        <w:t>Row</w:t>
      </w:r>
      <w:r w:rsidRPr="00133457">
        <w:rPr>
          <w:spacing w:val="-3"/>
        </w:rPr>
        <w:tab/>
      </w:r>
      <w:r>
        <w:rPr>
          <w:spacing w:val="-3"/>
          <w:u w:val="single"/>
        </w:rPr>
        <w:t>Item Description</w:t>
      </w:r>
    </w:p>
    <w:p w:rsidR="00133457">
      <w:pPr>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2050.</w:t>
      </w:r>
      <w:r>
        <w:rPr>
          <w:spacing w:val="-3"/>
        </w:rPr>
        <w:tab/>
      </w:r>
      <w:r>
        <w:rPr>
          <w:spacing w:val="-3"/>
          <w:u w:val="single"/>
        </w:rPr>
        <w:t>Total Premium</w:t>
      </w:r>
      <w:r>
        <w:rPr>
          <w:spacing w:val="-3"/>
        </w:rPr>
        <w:t xml:space="preserve"> traffic sensitive MOU are calculated using premium local switching revenues and the appropriate rates. </w:t>
      </w:r>
      <w:r>
        <w:rPr>
          <w:b/>
        </w:rPr>
        <w:t xml:space="preserve">Note: </w:t>
      </w:r>
      <w:r>
        <w:t>All reseller’s minutes should be added to the calculated minutes for this row.</w:t>
      </w:r>
    </w:p>
    <w:p w:rsidR="00133457" w:rsidP="005B4282">
      <w:pPr>
        <w:tabs>
          <w:tab w:val="left" w:pos="-720"/>
        </w:tabs>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2060.</w:t>
      </w:r>
      <w:r>
        <w:rPr>
          <w:spacing w:val="-3"/>
        </w:rPr>
        <w:tab/>
      </w:r>
      <w:r>
        <w:rPr>
          <w:spacing w:val="-3"/>
          <w:u w:val="single"/>
        </w:rPr>
        <w:t>Total Non-Premium</w:t>
      </w:r>
      <w:r>
        <w:rPr>
          <w:spacing w:val="-3"/>
        </w:rPr>
        <w:t xml:space="preserve"> traffic sensitive MOU are calculated using non-</w:t>
      </w:r>
      <w:r>
        <w:rPr>
          <w:spacing w:val="-3"/>
        </w:rPr>
        <w:softHyphen/>
        <w:t xml:space="preserve">premium local switching revenues and the appropriate rates.  </w:t>
      </w:r>
      <w:r>
        <w:rPr>
          <w:b/>
        </w:rPr>
        <w:t xml:space="preserve">Note: </w:t>
      </w:r>
      <w:r>
        <w:t>All reseller’s minutes should be added to the calculated minutes for this row.</w:t>
      </w:r>
    </w:p>
    <w:p w:rsidR="00133457" w:rsidP="005B4282">
      <w:pPr>
        <w:tabs>
          <w:tab w:val="left" w:pos="-720"/>
        </w:tabs>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2090.</w:t>
      </w:r>
      <w:r>
        <w:rPr>
          <w:spacing w:val="-3"/>
        </w:rPr>
        <w:tab/>
      </w:r>
      <w:r>
        <w:rPr>
          <w:spacing w:val="-3"/>
          <w:u w:val="single"/>
        </w:rPr>
        <w:t>Single Line Business Access Lines</w:t>
      </w:r>
      <w:r>
        <w:rPr>
          <w:spacing w:val="-3"/>
        </w:rPr>
        <w:t xml:space="preserve"> subject to the single line business interstate end user common line charge, pursuant to Section</w:t>
      </w:r>
      <w:r w:rsidR="004C07F0">
        <w:rPr>
          <w:spacing w:val="-3"/>
        </w:rPr>
        <w:t>s</w:t>
      </w:r>
      <w:r>
        <w:rPr>
          <w:spacing w:val="-3"/>
        </w:rPr>
        <w:t xml:space="preserve"> 69.104(h)</w:t>
      </w:r>
      <w:r w:rsidR="00303B56">
        <w:rPr>
          <w:spacing w:val="-3"/>
        </w:rPr>
        <w:t xml:space="preserve"> </w:t>
      </w:r>
      <w:r w:rsidRPr="00E01ACA" w:rsidR="00E01ACA">
        <w:rPr>
          <w:spacing w:val="-3"/>
        </w:rPr>
        <w:t>and (</w:t>
      </w:r>
      <w:r w:rsidR="00303B56">
        <w:rPr>
          <w:spacing w:val="-3"/>
        </w:rPr>
        <w:t>n</w:t>
      </w:r>
      <w:r w:rsidRPr="00E01ACA" w:rsidR="00E01ACA">
        <w:rPr>
          <w:spacing w:val="-3"/>
        </w:rPr>
        <w:t>)</w:t>
      </w:r>
      <w:r w:rsidR="004C07F0">
        <w:rPr>
          <w:spacing w:val="-3"/>
        </w:rPr>
        <w:t>,</w:t>
      </w:r>
      <w:r w:rsidRPr="00912F7A" w:rsidR="00E01ACA">
        <w:rPr>
          <w:spacing w:val="-3"/>
        </w:rPr>
        <w:t xml:space="preserve"> excluding company official, off-premises extensions, and special access.  Enter end-of-year, in-service amounts.  </w:t>
      </w:r>
      <w:r w:rsidRPr="00E01ACA" w:rsidR="00E01ACA">
        <w:rPr>
          <w:spacing w:val="-3"/>
        </w:rPr>
        <w:t>Include resold lines, pursuant to Section 51.617(a).</w:t>
      </w:r>
    </w:p>
    <w:p w:rsidR="00133457" w:rsidP="005B4282">
      <w:pPr>
        <w:tabs>
          <w:tab w:val="left" w:pos="-720"/>
        </w:tabs>
        <w:suppressAutoHyphens/>
        <w:jc w:val="both"/>
        <w:rPr>
          <w:spacing w:val="-3"/>
        </w:rPr>
      </w:pPr>
    </w:p>
    <w:p w:rsidR="00133457" w:rsidRPr="00E01ACA" w:rsidP="005B4282">
      <w:pPr>
        <w:tabs>
          <w:tab w:val="left" w:pos="-720"/>
          <w:tab w:val="left" w:pos="0"/>
        </w:tabs>
        <w:suppressAutoHyphens/>
        <w:ind w:left="720" w:hanging="720"/>
        <w:jc w:val="both"/>
        <w:rPr>
          <w:spacing w:val="-3"/>
        </w:rPr>
      </w:pPr>
      <w:r>
        <w:rPr>
          <w:spacing w:val="-3"/>
        </w:rPr>
        <w:t>2100.</w:t>
      </w:r>
      <w:r>
        <w:rPr>
          <w:spacing w:val="-3"/>
        </w:rPr>
        <w:tab/>
      </w:r>
      <w:r>
        <w:rPr>
          <w:spacing w:val="-3"/>
          <w:u w:val="single"/>
        </w:rPr>
        <w:t>Residence Lifeline Access Lines</w:t>
      </w:r>
      <w:r>
        <w:rPr>
          <w:spacing w:val="-3"/>
        </w:rPr>
        <w:t xml:space="preserve"> </w:t>
      </w:r>
      <w:r w:rsidRPr="00912F7A" w:rsidR="00E01ACA">
        <w:rPr>
          <w:spacing w:val="-3"/>
        </w:rPr>
        <w:t>for which the interstate end user common line charge</w:t>
      </w:r>
      <w:r w:rsidRPr="00912F7A" w:rsidR="00E01ACA">
        <w:rPr>
          <w:b/>
          <w:spacing w:val="-3"/>
        </w:rPr>
        <w:t xml:space="preserve">, </w:t>
      </w:r>
      <w:r w:rsidRPr="00E01ACA" w:rsidR="00E01ACA">
        <w:rPr>
          <w:spacing w:val="-3"/>
        </w:rPr>
        <w:t>pursuant to Section 54.</w:t>
      </w:r>
      <w:r w:rsidR="00303B56">
        <w:rPr>
          <w:spacing w:val="-3"/>
        </w:rPr>
        <w:t>4</w:t>
      </w:r>
      <w:r w:rsidRPr="00E01ACA" w:rsidR="00E01ACA">
        <w:rPr>
          <w:spacing w:val="-3"/>
        </w:rPr>
        <w:t>0</w:t>
      </w:r>
      <w:r w:rsidR="00E27788">
        <w:rPr>
          <w:spacing w:val="-3"/>
        </w:rPr>
        <w:t>3</w:t>
      </w:r>
      <w:r w:rsidRPr="00912F7A" w:rsidR="00E01ACA">
        <w:rPr>
          <w:spacing w:val="-3"/>
        </w:rPr>
        <w:t xml:space="preserve"> is reduced or waived. The decision to implement a lifeline plan is left to the individual state commission.  Enter end-of-year, in-service amounts.  </w:t>
      </w:r>
      <w:r w:rsidRPr="00E01ACA" w:rsidR="00E01ACA">
        <w:rPr>
          <w:spacing w:val="-3"/>
        </w:rPr>
        <w:t>Include resold lines, pursuant to Section 51.617(a).</w:t>
      </w:r>
    </w:p>
    <w:p w:rsidR="00133457" w:rsidP="005B4282">
      <w:pPr>
        <w:tabs>
          <w:tab w:val="left" w:pos="-720"/>
        </w:tabs>
        <w:suppressAutoHyphens/>
        <w:jc w:val="both"/>
        <w:rPr>
          <w:spacing w:val="-3"/>
        </w:rPr>
      </w:pPr>
    </w:p>
    <w:p w:rsidR="00133457" w:rsidRPr="00E01ACA" w:rsidP="005B4282">
      <w:pPr>
        <w:tabs>
          <w:tab w:val="left" w:pos="-720"/>
          <w:tab w:val="left" w:pos="0"/>
        </w:tabs>
        <w:suppressAutoHyphens/>
        <w:ind w:left="720" w:hanging="720"/>
        <w:jc w:val="both"/>
        <w:rPr>
          <w:spacing w:val="-3"/>
        </w:rPr>
      </w:pPr>
      <w:r>
        <w:rPr>
          <w:spacing w:val="-3"/>
        </w:rPr>
        <w:t>2110.</w:t>
      </w:r>
      <w:r>
        <w:rPr>
          <w:spacing w:val="-3"/>
        </w:rPr>
        <w:tab/>
      </w:r>
      <w:r>
        <w:rPr>
          <w:spacing w:val="-3"/>
          <w:u w:val="single"/>
        </w:rPr>
        <w:t>Residence Non-Lifeline Access Lines</w:t>
      </w:r>
      <w:r>
        <w:rPr>
          <w:spacing w:val="-3"/>
        </w:rPr>
        <w:t xml:space="preserve"> </w:t>
      </w:r>
      <w:r w:rsidRPr="00912F7A" w:rsidR="00E01ACA">
        <w:rPr>
          <w:spacing w:val="-3"/>
        </w:rPr>
        <w:t>subject to the residence interstate end user common line charge</w:t>
      </w:r>
      <w:r w:rsidRPr="00912F7A" w:rsidR="00E01ACA">
        <w:rPr>
          <w:b/>
          <w:spacing w:val="-3"/>
        </w:rPr>
        <w:t xml:space="preserve">, </w:t>
      </w:r>
      <w:r w:rsidRPr="00E01ACA" w:rsidR="00E01ACA">
        <w:rPr>
          <w:spacing w:val="-3"/>
        </w:rPr>
        <w:t>pursuant to Sections 69.104</w:t>
      </w:r>
      <w:r w:rsidR="00303B56">
        <w:rPr>
          <w:spacing w:val="-3"/>
        </w:rPr>
        <w:t xml:space="preserve">(f), </w:t>
      </w:r>
      <w:r w:rsidRPr="00E01ACA" w:rsidR="00E01ACA">
        <w:rPr>
          <w:spacing w:val="-3"/>
        </w:rPr>
        <w:t>(g)</w:t>
      </w:r>
      <w:r w:rsidR="00303B56">
        <w:rPr>
          <w:spacing w:val="-3"/>
        </w:rPr>
        <w:t>, and (n)</w:t>
      </w:r>
      <w:r w:rsidRPr="00E01ACA" w:rsidR="00E01ACA">
        <w:rPr>
          <w:spacing w:val="-3"/>
        </w:rPr>
        <w:t>.</w:t>
      </w:r>
      <w:r w:rsidRPr="00912F7A" w:rsidR="00E01ACA">
        <w:rPr>
          <w:spacing w:val="-3"/>
        </w:rPr>
        <w:t xml:space="preserve">  This count will include employee concession lines.  Enter end-of-year, in-service amounts.  </w:t>
      </w:r>
      <w:r w:rsidRPr="00E01ACA" w:rsidR="00E01ACA">
        <w:rPr>
          <w:spacing w:val="-3"/>
        </w:rPr>
        <w:t>Include resold lines, pursuant to Section 51.617(a).</w:t>
      </w:r>
    </w:p>
    <w:p w:rsidR="00133457" w:rsidP="005B4282">
      <w:pPr>
        <w:tabs>
          <w:tab w:val="left" w:pos="-720"/>
        </w:tabs>
        <w:suppressAutoHyphens/>
        <w:jc w:val="both"/>
        <w:rPr>
          <w:spacing w:val="-3"/>
        </w:rPr>
      </w:pPr>
    </w:p>
    <w:p w:rsidR="00133457" w:rsidP="005B4282">
      <w:pPr>
        <w:tabs>
          <w:tab w:val="left" w:pos="-720"/>
          <w:tab w:val="left" w:pos="0"/>
        </w:tabs>
        <w:suppressAutoHyphens/>
        <w:ind w:left="720" w:hanging="720"/>
        <w:jc w:val="both"/>
        <w:rPr>
          <w:spacing w:val="-3"/>
        </w:rPr>
      </w:pPr>
      <w:r>
        <w:rPr>
          <w:spacing w:val="-3"/>
        </w:rPr>
        <w:t>2120.</w:t>
      </w:r>
      <w:r>
        <w:rPr>
          <w:spacing w:val="-3"/>
        </w:rPr>
        <w:tab/>
      </w:r>
      <w:r>
        <w:rPr>
          <w:spacing w:val="-3"/>
          <w:u w:val="single"/>
        </w:rPr>
        <w:t>Multi</w:t>
      </w:r>
      <w:r w:rsidR="00AD1A42">
        <w:rPr>
          <w:spacing w:val="-3"/>
          <w:u w:val="single"/>
        </w:rPr>
        <w:t>-</w:t>
      </w:r>
      <w:r>
        <w:rPr>
          <w:spacing w:val="-3"/>
          <w:u w:val="single"/>
        </w:rPr>
        <w:t>line Business Access Lines</w:t>
      </w:r>
      <w:r>
        <w:rPr>
          <w:spacing w:val="-3"/>
        </w:rPr>
        <w:t xml:space="preserve"> </w:t>
      </w:r>
      <w:r w:rsidRPr="00912F7A" w:rsidR="00E01ACA">
        <w:rPr>
          <w:spacing w:val="-3"/>
        </w:rPr>
        <w:t>subject to the multiline business interstate end user common line charge</w:t>
      </w:r>
      <w:r w:rsidRPr="00E01ACA" w:rsidR="00E01ACA">
        <w:rPr>
          <w:spacing w:val="-3"/>
        </w:rPr>
        <w:t>, pursuant to Sections 69.104(b) and (</w:t>
      </w:r>
      <w:r w:rsidR="00303B56">
        <w:rPr>
          <w:spacing w:val="-3"/>
        </w:rPr>
        <w:t>o</w:t>
      </w:r>
      <w:r w:rsidRPr="00E01ACA" w:rsidR="00E01ACA">
        <w:rPr>
          <w:spacing w:val="-3"/>
        </w:rPr>
        <w:t>) including</w:t>
      </w:r>
      <w:r w:rsidRPr="00912F7A" w:rsidR="00E01ACA">
        <w:rPr>
          <w:spacing w:val="-3"/>
        </w:rPr>
        <w:t xml:space="preserve"> payphone lines, PBX trunks, Centrex CU trunks, hotel/motel LD trunks and Centrex CO lines.  Enter end-of-year, in-service amounts.  </w:t>
      </w:r>
      <w:r w:rsidRPr="00E01ACA" w:rsidR="00E01ACA">
        <w:rPr>
          <w:spacing w:val="-3"/>
        </w:rPr>
        <w:t>Include resold lines, pursuant to Section 51.617(a).</w:t>
      </w:r>
    </w:p>
    <w:p w:rsidR="00133457" w:rsidP="005B4282">
      <w:pPr>
        <w:tabs>
          <w:tab w:val="left" w:pos="-720"/>
        </w:tabs>
        <w:suppressAutoHyphens/>
        <w:jc w:val="both"/>
        <w:rPr>
          <w:spacing w:val="-3"/>
        </w:rPr>
      </w:pPr>
      <w:r>
        <w:rPr>
          <w:spacing w:val="-3"/>
        </w:rPr>
        <w:br w:type="page"/>
      </w:r>
    </w:p>
    <w:p w:rsidR="00133457" w:rsidP="005B4282">
      <w:pPr>
        <w:tabs>
          <w:tab w:val="left" w:pos="-720"/>
          <w:tab w:val="left" w:pos="0"/>
        </w:tabs>
        <w:suppressAutoHyphens/>
        <w:ind w:left="720" w:hanging="720"/>
        <w:jc w:val="both"/>
        <w:rPr>
          <w:spacing w:val="-3"/>
        </w:rPr>
      </w:pPr>
      <w:r>
        <w:rPr>
          <w:spacing w:val="-3"/>
        </w:rPr>
        <w:t>2140.</w:t>
      </w:r>
      <w:r>
        <w:rPr>
          <w:spacing w:val="-3"/>
        </w:rPr>
        <w:tab/>
      </w:r>
      <w:r>
        <w:rPr>
          <w:spacing w:val="-3"/>
          <w:u w:val="single"/>
        </w:rPr>
        <w:t>Access Lines Subject To A Special Access Surcharge</w:t>
      </w:r>
      <w:r>
        <w:rPr>
          <w:spacing w:val="-3"/>
        </w:rPr>
        <w:t xml:space="preserve"> are the number of lines subject to the special access surcharge pursuant to Sections 69.5(c) and 69.115.  Enter end-of-year, in-service amounts.</w:t>
      </w:r>
    </w:p>
    <w:p w:rsidR="00F019F4" w:rsidP="005B4282">
      <w:pPr>
        <w:tabs>
          <w:tab w:val="left" w:pos="-720"/>
          <w:tab w:val="left" w:pos="0"/>
        </w:tabs>
        <w:suppressAutoHyphens/>
        <w:ind w:left="360"/>
        <w:jc w:val="both"/>
        <w:rPr>
          <w:spacing w:val="-3"/>
          <w:u w:val="single"/>
        </w:rPr>
      </w:pPr>
    </w:p>
    <w:p w:rsidR="00052733" w:rsidP="005B4282">
      <w:pPr>
        <w:tabs>
          <w:tab w:val="left" w:pos="-720"/>
          <w:tab w:val="left" w:pos="0"/>
        </w:tabs>
        <w:suppressAutoHyphens/>
        <w:ind w:left="720" w:hanging="720"/>
        <w:jc w:val="both"/>
        <w:rPr>
          <w:spacing w:val="-3"/>
        </w:rPr>
      </w:pPr>
      <w:r>
        <w:rPr>
          <w:spacing w:val="-3"/>
        </w:rPr>
        <w:t>2150.</w:t>
      </w:r>
      <w:r>
        <w:rPr>
          <w:spacing w:val="-3"/>
        </w:rPr>
        <w:tab/>
      </w:r>
      <w:r w:rsidR="00133457">
        <w:rPr>
          <w:spacing w:val="-3"/>
          <w:u w:val="single"/>
        </w:rPr>
        <w:t>Total Billable Access Lines</w:t>
      </w:r>
      <w:r w:rsidR="00133457">
        <w:rPr>
          <w:spacing w:val="-3"/>
        </w:rPr>
        <w:t xml:space="preserve"> are lines billed the end user common line charge or the special access surcharge.  Enter the sum of Rows 2090 through 2140.  </w:t>
      </w:r>
    </w:p>
    <w:p w:rsidR="00B075A2" w:rsidP="00052733">
      <w:pPr>
        <w:tabs>
          <w:tab w:val="left" w:pos="-720"/>
          <w:tab w:val="left" w:pos="0"/>
        </w:tabs>
        <w:suppressAutoHyphens/>
        <w:ind w:left="720" w:hanging="720"/>
        <w:rPr>
          <w:spacing w:val="-3"/>
        </w:rPr>
      </w:pPr>
    </w:p>
    <w:p w:rsidR="00016DED" w:rsidP="00016DED">
      <w:pPr>
        <w:ind w:left="720" w:hanging="720"/>
      </w:pPr>
    </w:p>
    <w:p w:rsidR="00B63315" w:rsidP="00016DED">
      <w:pPr>
        <w:ind w:left="720" w:hanging="720"/>
      </w:pPr>
    </w:p>
    <w:p w:rsidR="00B63315" w:rsidRPr="00912F7A" w:rsidP="00016DED">
      <w:pPr>
        <w:ind w:left="720" w:hanging="720"/>
      </w:pPr>
    </w:p>
    <w:p w:rsidR="00016DED" w:rsidRPr="00912F7A" w:rsidP="00016DED">
      <w:pPr>
        <w:jc w:val="center"/>
        <w:rPr>
          <w:szCs w:val="24"/>
        </w:rPr>
      </w:pPr>
      <w:r w:rsidRPr="00912F7A">
        <w:rPr>
          <w:szCs w:val="24"/>
        </w:rPr>
        <w:t xml:space="preserve">COLUMN </w:t>
      </w:r>
      <w:r w:rsidR="00FB6C52">
        <w:rPr>
          <w:szCs w:val="24"/>
        </w:rPr>
        <w:t xml:space="preserve">DEFINITON </w:t>
      </w:r>
    </w:p>
    <w:p w:rsidR="00016DED" w:rsidRPr="00912F7A" w:rsidP="00016DED">
      <w:pPr>
        <w:ind w:left="720" w:hanging="720"/>
        <w:rPr>
          <w:u w:val="single"/>
        </w:rPr>
      </w:pPr>
      <w:r w:rsidRPr="00912F7A">
        <w:rPr>
          <w:u w:val="single"/>
        </w:rPr>
        <w:t>Column</w:t>
      </w:r>
    </w:p>
    <w:p w:rsidR="00016DED" w:rsidRPr="00912F7A" w:rsidP="00016DED">
      <w:pPr>
        <w:ind w:left="720" w:hanging="720"/>
        <w:rPr>
          <w:u w:val="single"/>
        </w:rPr>
      </w:pPr>
    </w:p>
    <w:p w:rsidR="00016DED" w:rsidP="005B4282">
      <w:pPr>
        <w:ind w:left="720" w:hanging="720"/>
        <w:jc w:val="both"/>
        <w:rPr>
          <w:spacing w:val="-3"/>
        </w:rPr>
      </w:pPr>
      <w:r w:rsidRPr="00912F7A">
        <w:t>(b</w:t>
      </w:r>
      <w:r w:rsidR="00682DD3">
        <w:t>b</w:t>
      </w:r>
      <w:r w:rsidRPr="00912F7A">
        <w:t>)</w:t>
      </w:r>
      <w:r w:rsidRPr="00912F7A">
        <w:tab/>
      </w:r>
      <w:r w:rsidRPr="00912F7A">
        <w:rPr>
          <w:u w:val="single"/>
        </w:rPr>
        <w:t>A</w:t>
      </w:r>
      <w:r w:rsidR="00682DD3">
        <w:rPr>
          <w:u w:val="single"/>
        </w:rPr>
        <w:t>nnual</w:t>
      </w:r>
      <w:r w:rsidRPr="00912F7A">
        <w:t xml:space="preserve"> – </w:t>
      </w:r>
      <w:r w:rsidR="00BD092C">
        <w:t>For Rows 2050 and 2060, enter the calculated amount.  For Rows 2090 through 2150, e</w:t>
      </w:r>
      <w:r w:rsidRPr="00912F7A">
        <w:t xml:space="preserve">nter the </w:t>
      </w:r>
      <w:r>
        <w:rPr>
          <w:spacing w:val="-3"/>
        </w:rPr>
        <w:t>end of the year</w:t>
      </w:r>
      <w:r w:rsidRPr="00912F7A">
        <w:t xml:space="preserve"> </w:t>
      </w:r>
      <w:r>
        <w:t xml:space="preserve">data </w:t>
      </w:r>
      <w:r w:rsidRPr="00912F7A">
        <w:t>for the reporting period.</w:t>
      </w:r>
      <w:r w:rsidRPr="00016DED">
        <w:rPr>
          <w:spacing w:val="-3"/>
        </w:rPr>
        <w:t xml:space="preserve"> </w:t>
      </w:r>
    </w:p>
    <w:p w:rsidR="00016DED" w:rsidP="00FE3B05">
      <w:pPr>
        <w:tabs>
          <w:tab w:val="left" w:pos="-720"/>
          <w:tab w:val="left" w:pos="0"/>
        </w:tabs>
        <w:suppressAutoHyphens/>
        <w:ind w:left="360"/>
        <w:jc w:val="both"/>
        <w:rPr>
          <w:spacing w:val="-3"/>
        </w:rPr>
      </w:pPr>
    </w:p>
    <w:p w:rsidR="00016DED" w:rsidP="00FE3B05">
      <w:pPr>
        <w:tabs>
          <w:tab w:val="left" w:pos="-720"/>
          <w:tab w:val="left" w:pos="0"/>
        </w:tabs>
        <w:suppressAutoHyphens/>
        <w:ind w:left="360"/>
        <w:jc w:val="both"/>
        <w:rPr>
          <w:spacing w:val="-3"/>
        </w:rPr>
      </w:pPr>
    </w:p>
    <w:p w:rsidR="00016DED" w:rsidP="00FE3B05">
      <w:pPr>
        <w:tabs>
          <w:tab w:val="left" w:pos="-720"/>
          <w:tab w:val="left" w:pos="0"/>
        </w:tabs>
        <w:suppressAutoHyphens/>
        <w:ind w:left="360"/>
        <w:jc w:val="both"/>
        <w:rPr>
          <w:spacing w:val="-3"/>
        </w:rPr>
      </w:pPr>
    </w:p>
    <w:p w:rsidR="00016DED" w:rsidP="00FE3B05">
      <w:pPr>
        <w:tabs>
          <w:tab w:val="left" w:pos="-720"/>
          <w:tab w:val="left" w:pos="0"/>
        </w:tabs>
        <w:suppressAutoHyphens/>
        <w:ind w:left="360"/>
        <w:jc w:val="both"/>
        <w:rPr>
          <w:spacing w:val="-3"/>
        </w:rPr>
      </w:pPr>
    </w:p>
    <w:p w:rsidR="00016DED" w:rsidP="00FE3B05">
      <w:pPr>
        <w:tabs>
          <w:tab w:val="left" w:pos="-720"/>
          <w:tab w:val="left" w:pos="0"/>
        </w:tabs>
        <w:suppressAutoHyphens/>
        <w:ind w:left="360"/>
        <w:jc w:val="both"/>
        <w:rPr>
          <w:spacing w:val="-3"/>
        </w:rPr>
        <w:sectPr>
          <w:headerReference w:type="default" r:id="rId10"/>
          <w:endnotePr>
            <w:numFmt w:val="decimal"/>
          </w:endnotePr>
          <w:pgSz w:w="12240" w:h="15840"/>
          <w:pgMar w:top="1152" w:right="1440" w:bottom="1152" w:left="1440" w:header="720" w:footer="720" w:gutter="0"/>
          <w:cols w:space="720"/>
          <w:noEndnote/>
        </w:sectPr>
      </w:pPr>
    </w:p>
    <w:p w:rsidR="00A056CA" w:rsidP="00FE3B05">
      <w:pPr>
        <w:suppressAutoHyphens/>
        <w:jc w:val="center"/>
        <w:outlineLvl w:val="0"/>
      </w:pPr>
      <w:r>
        <w:t>TABLE III – POLE AND CONDUIT RENTAL CALCULATION INFORMATION</w:t>
      </w:r>
    </w:p>
    <w:p w:rsidR="00587823" w:rsidP="00FE3B05">
      <w:pPr>
        <w:suppressAutoHyphens/>
        <w:jc w:val="center"/>
        <w:outlineLvl w:val="0"/>
      </w:pPr>
      <w:r>
        <w:t>or</w:t>
      </w:r>
    </w:p>
    <w:p w:rsidR="00587823" w:rsidP="00FE3B05">
      <w:pPr>
        <w:suppressAutoHyphens/>
        <w:jc w:val="center"/>
        <w:outlineLvl w:val="0"/>
      </w:pPr>
      <w:r>
        <w:t>POLE ATTACHMENT DATA REPORT</w:t>
      </w:r>
    </w:p>
    <w:p w:rsidR="00FE3B05" w:rsidP="008200D1">
      <w:pPr>
        <w:suppressAutoHyphens/>
        <w:outlineLvl w:val="0"/>
        <w:rPr>
          <w:u w:val="single"/>
        </w:rPr>
      </w:pPr>
      <w:r>
        <w:fldChar w:fldCharType="begin"/>
      </w:r>
      <w:r>
        <w:instrText xml:space="preserve">PRIVATE </w:instrText>
      </w:r>
      <w:r>
        <w:fldChar w:fldCharType="end"/>
      </w:r>
    </w:p>
    <w:p w:rsidR="00FE3B05" w:rsidP="00FE3B05">
      <w:pPr>
        <w:suppressAutoHyphens/>
        <w:jc w:val="center"/>
        <w:rPr>
          <w:u w:val="single"/>
        </w:rPr>
      </w:pPr>
    </w:p>
    <w:p w:rsidR="00A056CA" w:rsidP="00A056CA">
      <w:pPr>
        <w:suppressAutoHyphens/>
        <w:jc w:val="center"/>
        <w:outlineLvl w:val="0"/>
      </w:pPr>
      <w:r>
        <w:t>GENERAL INSTRUCTIONS</w:t>
      </w:r>
    </w:p>
    <w:p w:rsidR="00FE3B05" w:rsidP="00FE3B05">
      <w:pPr>
        <w:tabs>
          <w:tab w:val="left" w:pos="-720"/>
          <w:tab w:val="left" w:pos="0"/>
        </w:tabs>
        <w:suppressAutoHyphens/>
        <w:jc w:val="both"/>
        <w:rPr>
          <w:spacing w:val="-3"/>
        </w:rPr>
      </w:pPr>
    </w:p>
    <w:p w:rsidR="008D3367" w:rsidP="008D3367">
      <w:pPr>
        <w:suppressAutoHyphens/>
        <w:jc w:val="both"/>
        <w:rPr>
          <w:spacing w:val="-3"/>
        </w:rPr>
      </w:pPr>
      <w:r>
        <w:rPr>
          <w:spacing w:val="-3"/>
        </w:rPr>
        <w:t>Table III requires annual reporting, on an end-of-the-year basis</w:t>
      </w:r>
      <w:r w:rsidR="00386757">
        <w:rPr>
          <w:spacing w:val="-3"/>
        </w:rPr>
        <w:t>,</w:t>
      </w:r>
      <w:r w:rsidR="00624847">
        <w:rPr>
          <w:spacing w:val="-3"/>
        </w:rPr>
        <w:t xml:space="preserve"> a carrier’s pole and conduit rental cost </w:t>
      </w:r>
      <w:r w:rsidR="00167A8C">
        <w:rPr>
          <w:spacing w:val="-3"/>
        </w:rPr>
        <w:t>calculation</w:t>
      </w:r>
      <w:r w:rsidR="00624847">
        <w:rPr>
          <w:spacing w:val="-3"/>
        </w:rPr>
        <w:t xml:space="preserve"> information (“pole attachment data”).</w:t>
      </w:r>
      <w:r w:rsidR="00A056CA">
        <w:rPr>
          <w:spacing w:val="-3"/>
        </w:rPr>
        <w:t xml:space="preserve">  </w:t>
      </w:r>
    </w:p>
    <w:p w:rsidR="00A056CA" w:rsidP="008D3367">
      <w:pPr>
        <w:suppressAutoHyphens/>
        <w:jc w:val="both"/>
        <w:rPr>
          <w:spacing w:val="-3"/>
        </w:rPr>
      </w:pPr>
    </w:p>
    <w:p w:rsidR="00A056CA" w:rsidP="008D3367">
      <w:pPr>
        <w:suppressAutoHyphens/>
        <w:jc w:val="both"/>
        <w:rPr>
          <w:spacing w:val="-3"/>
        </w:rPr>
      </w:pPr>
      <w:r>
        <w:rPr>
          <w:szCs w:val="24"/>
        </w:rPr>
        <w:t>The following row and column definitions</w:t>
      </w:r>
      <w:r w:rsidRPr="00541377">
        <w:rPr>
          <w:szCs w:val="24"/>
        </w:rPr>
        <w:t xml:space="preserve"> </w:t>
      </w:r>
      <w:r>
        <w:rPr>
          <w:szCs w:val="24"/>
        </w:rPr>
        <w:t xml:space="preserve">are to be used </w:t>
      </w:r>
      <w:r>
        <w:rPr>
          <w:spacing w:val="-3"/>
        </w:rPr>
        <w:t xml:space="preserve">when populating </w:t>
      </w:r>
      <w:r>
        <w:rPr>
          <w:spacing w:val="-3"/>
        </w:rPr>
        <w:t xml:space="preserve">both </w:t>
      </w:r>
      <w:r>
        <w:rPr>
          <w:spacing w:val="-3"/>
        </w:rPr>
        <w:t xml:space="preserve">ARMIS Report 43-01 Table III </w:t>
      </w:r>
      <w:r>
        <w:rPr>
          <w:spacing w:val="-3"/>
        </w:rPr>
        <w:t xml:space="preserve">and </w:t>
      </w:r>
      <w:r w:rsidR="00587823">
        <w:rPr>
          <w:spacing w:val="-3"/>
        </w:rPr>
        <w:t xml:space="preserve">the </w:t>
      </w:r>
      <w:r>
        <w:rPr>
          <w:spacing w:val="-3"/>
        </w:rPr>
        <w:t>Pole Attachment Data</w:t>
      </w:r>
      <w:r w:rsidR="00587823">
        <w:rPr>
          <w:spacing w:val="-3"/>
        </w:rPr>
        <w:t xml:space="preserve"> Report</w:t>
      </w:r>
      <w:r>
        <w:rPr>
          <w:spacing w:val="-3"/>
        </w:rPr>
        <w:t>.</w:t>
      </w:r>
    </w:p>
    <w:p w:rsidR="008D3367" w:rsidP="00FE3B05">
      <w:pPr>
        <w:tabs>
          <w:tab w:val="left" w:pos="-720"/>
          <w:tab w:val="left" w:pos="0"/>
        </w:tabs>
        <w:suppressAutoHyphens/>
        <w:jc w:val="both"/>
        <w:rPr>
          <w:spacing w:val="-3"/>
        </w:rPr>
      </w:pPr>
    </w:p>
    <w:p w:rsidR="00AB384A" w:rsidP="00FE3B05">
      <w:pPr>
        <w:tabs>
          <w:tab w:val="left" w:pos="-720"/>
          <w:tab w:val="left" w:pos="0"/>
        </w:tabs>
        <w:suppressAutoHyphens/>
        <w:jc w:val="both"/>
        <w:rPr>
          <w:spacing w:val="-3"/>
        </w:rPr>
      </w:pPr>
    </w:p>
    <w:p w:rsidR="00632858" w:rsidP="0051519E">
      <w:pPr>
        <w:tabs>
          <w:tab w:val="left" w:pos="-720"/>
          <w:tab w:val="left" w:pos="0"/>
        </w:tabs>
        <w:suppressAutoHyphens/>
        <w:jc w:val="center"/>
        <w:rPr>
          <w:spacing w:val="-3"/>
        </w:rPr>
      </w:pPr>
      <w:r>
        <w:rPr>
          <w:spacing w:val="-3"/>
        </w:rPr>
        <w:t xml:space="preserve">ROW </w:t>
      </w:r>
      <w:r w:rsidR="00CB015C">
        <w:rPr>
          <w:spacing w:val="-3"/>
        </w:rPr>
        <w:t>DEFINITIONS</w:t>
      </w:r>
    </w:p>
    <w:p w:rsidR="00D44B94" w:rsidP="0051519E">
      <w:pPr>
        <w:tabs>
          <w:tab w:val="left" w:pos="-720"/>
          <w:tab w:val="left" w:pos="0"/>
        </w:tabs>
        <w:suppressAutoHyphens/>
        <w:jc w:val="center"/>
        <w:rPr>
          <w:spacing w:val="-3"/>
        </w:rPr>
      </w:pPr>
    </w:p>
    <w:p w:rsidR="00A6036A" w:rsidP="005B4282">
      <w:pPr>
        <w:tabs>
          <w:tab w:val="left" w:pos="-720"/>
        </w:tabs>
        <w:suppressAutoHyphens/>
        <w:jc w:val="both"/>
        <w:rPr>
          <w:spacing w:val="-3"/>
        </w:rPr>
      </w:pPr>
      <w:r>
        <w:rPr>
          <w:spacing w:val="-3"/>
          <w:u w:val="single"/>
        </w:rPr>
        <w:t>Row</w:t>
      </w:r>
      <w:r>
        <w:rPr>
          <w:spacing w:val="-3"/>
        </w:rPr>
        <w:tab/>
      </w:r>
      <w:r>
        <w:rPr>
          <w:spacing w:val="-3"/>
          <w:u w:val="single"/>
        </w:rPr>
        <w:t>Item Description</w:t>
      </w:r>
    </w:p>
    <w:p w:rsidR="00E01ACA" w:rsidP="005B4282">
      <w:pPr>
        <w:pStyle w:val="Caption"/>
        <w:jc w:val="both"/>
        <w:rPr>
          <w:szCs w:val="24"/>
        </w:rPr>
      </w:pPr>
    </w:p>
    <w:p w:rsidR="00E01ACA" w:rsidRPr="00E01ACA" w:rsidP="005B4282">
      <w:pPr>
        <w:pStyle w:val="Caption"/>
        <w:jc w:val="both"/>
        <w:rPr>
          <w:b/>
          <w:szCs w:val="24"/>
        </w:rPr>
      </w:pPr>
      <w:r w:rsidRPr="00E01ACA">
        <w:rPr>
          <w:b/>
          <w:szCs w:val="24"/>
        </w:rPr>
        <w:t xml:space="preserve">Financial Information: </w:t>
      </w:r>
    </w:p>
    <w:p w:rsidR="00E01ACA" w:rsidP="005B4282">
      <w:pPr>
        <w:ind w:left="720" w:hanging="720"/>
        <w:jc w:val="both"/>
        <w:rPr>
          <w:szCs w:val="24"/>
        </w:rPr>
      </w:pPr>
    </w:p>
    <w:p w:rsidR="00E01ACA" w:rsidRPr="00912F7A" w:rsidP="005B4282">
      <w:pPr>
        <w:ind w:left="720" w:hanging="720"/>
        <w:jc w:val="both"/>
        <w:rPr>
          <w:szCs w:val="24"/>
        </w:rPr>
      </w:pPr>
      <w:r w:rsidRPr="00912F7A">
        <w:rPr>
          <w:szCs w:val="24"/>
        </w:rPr>
        <w:t>100</w:t>
      </w:r>
      <w:r w:rsidRPr="00912F7A">
        <w:rPr>
          <w:szCs w:val="24"/>
        </w:rPr>
        <w:tab/>
      </w:r>
      <w:r w:rsidRPr="00912F7A">
        <w:rPr>
          <w:szCs w:val="24"/>
          <w:u w:val="single"/>
        </w:rPr>
        <w:t>Telecommunications Plant-in-Service</w:t>
      </w:r>
      <w:r w:rsidRPr="00912F7A">
        <w:rPr>
          <w:szCs w:val="24"/>
        </w:rPr>
        <w:t xml:space="preserve"> – Account 2001.</w:t>
      </w:r>
    </w:p>
    <w:p w:rsidR="00E01ACA" w:rsidRPr="00912F7A" w:rsidP="005B4282">
      <w:pPr>
        <w:jc w:val="both"/>
        <w:rPr>
          <w:szCs w:val="24"/>
        </w:rPr>
      </w:pPr>
    </w:p>
    <w:p w:rsidR="00E01ACA" w:rsidRPr="00912F7A" w:rsidP="005B4282">
      <w:pPr>
        <w:ind w:left="720" w:hanging="720"/>
        <w:jc w:val="both"/>
        <w:rPr>
          <w:szCs w:val="24"/>
        </w:rPr>
      </w:pPr>
      <w:r w:rsidRPr="00912F7A">
        <w:rPr>
          <w:szCs w:val="24"/>
        </w:rPr>
        <w:t>101</w:t>
      </w:r>
      <w:r w:rsidRPr="00912F7A">
        <w:rPr>
          <w:szCs w:val="24"/>
        </w:rPr>
        <w:tab/>
      </w:r>
      <w:r w:rsidRPr="00912F7A">
        <w:rPr>
          <w:szCs w:val="24"/>
          <w:u w:val="single"/>
        </w:rPr>
        <w:t>Gross Investment – Poles</w:t>
      </w:r>
      <w:r w:rsidRPr="00912F7A">
        <w:rPr>
          <w:szCs w:val="24"/>
        </w:rPr>
        <w:t xml:space="preserve"> – Account 2411.</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102</w:t>
      </w:r>
      <w:r w:rsidRPr="00912F7A">
        <w:rPr>
          <w:szCs w:val="24"/>
        </w:rPr>
        <w:tab/>
      </w:r>
      <w:r w:rsidRPr="00912F7A">
        <w:rPr>
          <w:szCs w:val="24"/>
          <w:u w:val="single"/>
        </w:rPr>
        <w:t>Gross Investment – Conduit</w:t>
      </w:r>
      <w:r w:rsidRPr="00912F7A">
        <w:rPr>
          <w:szCs w:val="24"/>
        </w:rPr>
        <w:t xml:space="preserve"> – Account 2441.</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200</w:t>
      </w:r>
      <w:r w:rsidRPr="00912F7A">
        <w:rPr>
          <w:szCs w:val="24"/>
        </w:rPr>
        <w:tab/>
      </w:r>
      <w:r w:rsidRPr="00912F7A">
        <w:rPr>
          <w:szCs w:val="24"/>
          <w:u w:val="single"/>
        </w:rPr>
        <w:t>Accumulated Depreciation – Total Plant-in-Service</w:t>
      </w:r>
      <w:r w:rsidRPr="00912F7A">
        <w:rPr>
          <w:szCs w:val="24"/>
        </w:rPr>
        <w:t xml:space="preserve"> – Account 3100. </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201</w:t>
      </w:r>
      <w:r w:rsidRPr="00912F7A">
        <w:rPr>
          <w:szCs w:val="24"/>
        </w:rPr>
        <w:tab/>
      </w:r>
      <w:r w:rsidRPr="00912F7A">
        <w:rPr>
          <w:szCs w:val="24"/>
          <w:u w:val="single"/>
        </w:rPr>
        <w:t>Accumulated Depreciation – Poles</w:t>
      </w:r>
      <w:r w:rsidRPr="00912F7A">
        <w:rPr>
          <w:szCs w:val="24"/>
        </w:rPr>
        <w:t xml:space="preserve"> – Total accumulated depreciation – Poles Investment (Account 2411).</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202</w:t>
      </w:r>
      <w:r w:rsidRPr="00912F7A">
        <w:rPr>
          <w:szCs w:val="24"/>
        </w:rPr>
        <w:tab/>
      </w:r>
      <w:r w:rsidRPr="00912F7A">
        <w:rPr>
          <w:szCs w:val="24"/>
          <w:u w:val="single"/>
        </w:rPr>
        <w:t>Accumulated Depreciation – Conduit</w:t>
      </w:r>
      <w:r w:rsidRPr="00912F7A">
        <w:rPr>
          <w:szCs w:val="24"/>
        </w:rPr>
        <w:t xml:space="preserve"> – Total accumulated depreciation – Conduit Investment (Account 2441).</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301</w:t>
      </w:r>
      <w:r w:rsidRPr="00912F7A">
        <w:rPr>
          <w:szCs w:val="24"/>
        </w:rPr>
        <w:tab/>
      </w:r>
      <w:r w:rsidRPr="00912F7A">
        <w:rPr>
          <w:szCs w:val="24"/>
          <w:u w:val="single"/>
        </w:rPr>
        <w:t>Depreciation Rate – Poles</w:t>
      </w:r>
      <w:r w:rsidRPr="00912F7A">
        <w:rPr>
          <w:szCs w:val="24"/>
        </w:rPr>
        <w:t xml:space="preserve"> – Enter the depreciation rate used by the carrier in accordance with Part 32, Section 32.2000(g) of the Commission’s Rules.  </w:t>
      </w:r>
      <w:r w:rsidR="00B075A2">
        <w:rPr>
          <w:szCs w:val="24"/>
        </w:rPr>
        <w:t>If the depreciation rate is 5.1%, enter 5.10.</w:t>
      </w:r>
    </w:p>
    <w:p w:rsidR="00E01ACA" w:rsidRPr="00912F7A" w:rsidP="005B4282">
      <w:pPr>
        <w:ind w:left="720" w:hanging="720"/>
        <w:jc w:val="both"/>
        <w:rPr>
          <w:szCs w:val="24"/>
        </w:rPr>
      </w:pPr>
    </w:p>
    <w:p w:rsidR="00B075A2" w:rsidRPr="00912F7A" w:rsidP="005B4282">
      <w:pPr>
        <w:ind w:left="720" w:hanging="720"/>
        <w:jc w:val="both"/>
        <w:rPr>
          <w:szCs w:val="24"/>
        </w:rPr>
      </w:pPr>
      <w:r w:rsidRPr="00912F7A">
        <w:rPr>
          <w:szCs w:val="24"/>
        </w:rPr>
        <w:t>302</w:t>
      </w:r>
      <w:r w:rsidRPr="00912F7A">
        <w:rPr>
          <w:szCs w:val="24"/>
        </w:rPr>
        <w:tab/>
      </w:r>
      <w:r w:rsidRPr="00912F7A">
        <w:rPr>
          <w:szCs w:val="24"/>
          <w:u w:val="single"/>
        </w:rPr>
        <w:t>Depreciation Rate – Conduit</w:t>
      </w:r>
      <w:r w:rsidRPr="00912F7A">
        <w:rPr>
          <w:szCs w:val="24"/>
        </w:rPr>
        <w:t xml:space="preserve"> – Enter the depreciation rate used by the carrier in accordance with Part 32, Section 32.2000(g) of the Commission’s Rules.  </w:t>
      </w:r>
      <w:r>
        <w:rPr>
          <w:szCs w:val="24"/>
        </w:rPr>
        <w:t>If the depreciation rate is 3.2%, enter 3.20.</w:t>
      </w:r>
    </w:p>
    <w:p w:rsidR="00E01ACA" w:rsidRPr="00912F7A" w:rsidP="00E01ACA">
      <w:pPr>
        <w:ind w:left="720" w:hanging="720"/>
        <w:rPr>
          <w:szCs w:val="24"/>
        </w:rPr>
      </w:pPr>
    </w:p>
    <w:p w:rsidR="00E01ACA" w:rsidRPr="00E01ACA" w:rsidP="005B4282">
      <w:pPr>
        <w:autoSpaceDE w:val="0"/>
        <w:autoSpaceDN w:val="0"/>
        <w:adjustRightInd w:val="0"/>
        <w:ind w:left="720" w:hanging="720"/>
        <w:jc w:val="both"/>
        <w:rPr>
          <w:szCs w:val="24"/>
        </w:rPr>
      </w:pPr>
      <w:r w:rsidRPr="00912F7A">
        <w:rPr>
          <w:szCs w:val="24"/>
        </w:rPr>
        <w:t>401</w:t>
      </w:r>
      <w:r w:rsidRPr="00912F7A">
        <w:rPr>
          <w:szCs w:val="24"/>
        </w:rPr>
        <w:tab/>
      </w:r>
      <w:r w:rsidRPr="00912F7A">
        <w:rPr>
          <w:szCs w:val="24"/>
          <w:u w:val="single"/>
        </w:rPr>
        <w:t>Net Current Deferred Operating Income Taxes–Pole</w:t>
      </w:r>
      <w:r w:rsidRPr="00912F7A">
        <w:rPr>
          <w:szCs w:val="24"/>
        </w:rPr>
        <w:t xml:space="preserve"> – </w:t>
      </w:r>
      <w:r w:rsidRPr="00BF1013">
        <w:rPr>
          <w:szCs w:val="24"/>
        </w:rPr>
        <w:t xml:space="preserve">Enter the portion of Account 4100 that represents pole investment.  </w:t>
      </w:r>
      <w:r w:rsidRPr="00E01ACA">
        <w:rPr>
          <w:b/>
          <w:szCs w:val="24"/>
        </w:rPr>
        <w:t>Note:</w:t>
      </w:r>
      <w:r w:rsidRPr="00E01ACA">
        <w:rPr>
          <w:szCs w:val="24"/>
        </w:rPr>
        <w:t xml:space="preserve"> The amount that is reported on this row could be the booked amount, if the appropriate subsidiary records are maintained, or a calculated amount. If this amount is calculated, the proration formula used in the calculation must be </w:t>
      </w:r>
      <w:r w:rsidRPr="00E01ACA">
        <w:rPr>
          <w:szCs w:val="24"/>
        </w:rPr>
        <w:t xml:space="preserve">the same as specified in the Order titled, Amendment of Rules and Policies Governing Pole Attachments, CC Docket No. 97-98, Implementation of Section 703(e) of the Telecommunications Act of 1996, CC Docket No. 97-151, FCC 01-170 (adopted May 22, 2001).  An amount not reported here </w:t>
      </w:r>
      <w:r w:rsidRPr="00E01ACA" w:rsidR="00CB015C">
        <w:rPr>
          <w:szCs w:val="24"/>
        </w:rPr>
        <w:t>cannot</w:t>
      </w:r>
      <w:r w:rsidRPr="00E01ACA">
        <w:rPr>
          <w:szCs w:val="24"/>
        </w:rPr>
        <w:t xml:space="preserve"> be used to calculate attachment rates.</w:t>
      </w:r>
    </w:p>
    <w:p w:rsidR="00E01ACA" w:rsidRPr="00912F7A" w:rsidP="005B4282">
      <w:pPr>
        <w:ind w:left="720" w:hanging="720"/>
        <w:jc w:val="both"/>
        <w:rPr>
          <w:szCs w:val="24"/>
        </w:rPr>
      </w:pPr>
    </w:p>
    <w:p w:rsidR="00E01ACA" w:rsidRPr="00E01ACA" w:rsidP="005B4282">
      <w:pPr>
        <w:ind w:left="720" w:hanging="720"/>
        <w:jc w:val="both"/>
        <w:rPr>
          <w:szCs w:val="24"/>
          <w:u w:val="single"/>
        </w:rPr>
      </w:pPr>
      <w:r w:rsidRPr="00912F7A">
        <w:rPr>
          <w:szCs w:val="24"/>
        </w:rPr>
        <w:t>402</w:t>
      </w:r>
      <w:r w:rsidRPr="00912F7A">
        <w:rPr>
          <w:szCs w:val="24"/>
        </w:rPr>
        <w:tab/>
      </w:r>
      <w:r w:rsidRPr="00912F7A">
        <w:rPr>
          <w:szCs w:val="24"/>
          <w:u w:val="single"/>
        </w:rPr>
        <w:t>Net Current Deferred Operating Income Taxes–Conduit</w:t>
      </w:r>
      <w:r w:rsidRPr="00912F7A">
        <w:rPr>
          <w:szCs w:val="24"/>
        </w:rPr>
        <w:t xml:space="preserve"> –Enter the portion of Account 4100 that represents conduit investment.</w:t>
      </w:r>
      <w:r>
        <w:rPr>
          <w:szCs w:val="24"/>
        </w:rPr>
        <w:t xml:space="preserve">  </w:t>
      </w:r>
      <w:r w:rsidRPr="00E01ACA">
        <w:rPr>
          <w:szCs w:val="24"/>
        </w:rPr>
        <w:t>Also, see the note in Row 401.</w:t>
      </w:r>
    </w:p>
    <w:p w:rsidR="00E01ACA" w:rsidRPr="00E01ACA" w:rsidP="005B4282">
      <w:pPr>
        <w:ind w:left="720" w:hanging="720"/>
        <w:jc w:val="both"/>
        <w:rPr>
          <w:szCs w:val="24"/>
        </w:rPr>
      </w:pPr>
    </w:p>
    <w:p w:rsidR="00052733" w:rsidP="005B4282">
      <w:pPr>
        <w:ind w:left="720" w:hanging="720"/>
        <w:jc w:val="both"/>
        <w:rPr>
          <w:szCs w:val="24"/>
        </w:rPr>
      </w:pPr>
      <w:r w:rsidRPr="00912F7A">
        <w:rPr>
          <w:szCs w:val="24"/>
        </w:rPr>
        <w:t>403</w:t>
      </w:r>
      <w:r w:rsidRPr="00912F7A">
        <w:rPr>
          <w:szCs w:val="24"/>
        </w:rPr>
        <w:tab/>
      </w:r>
      <w:r w:rsidRPr="00912F7A">
        <w:rPr>
          <w:szCs w:val="24"/>
          <w:u w:val="single"/>
        </w:rPr>
        <w:t>Net Current Deferred Operating Income Taxes–Total</w:t>
      </w:r>
      <w:r w:rsidRPr="00912F7A">
        <w:rPr>
          <w:szCs w:val="24"/>
        </w:rPr>
        <w:t xml:space="preserve"> – Account 4100.</w:t>
      </w:r>
    </w:p>
    <w:p w:rsidR="00CB015C" w:rsidP="005B4282">
      <w:pPr>
        <w:ind w:left="720" w:hanging="720"/>
        <w:jc w:val="both"/>
        <w:rPr>
          <w:szCs w:val="24"/>
        </w:rPr>
      </w:pPr>
    </w:p>
    <w:p w:rsidR="00E01ACA" w:rsidRPr="00E01ACA" w:rsidP="005B4282">
      <w:pPr>
        <w:ind w:left="720" w:hanging="720"/>
        <w:jc w:val="both"/>
        <w:rPr>
          <w:szCs w:val="24"/>
          <w:u w:val="single"/>
        </w:rPr>
      </w:pPr>
      <w:r w:rsidRPr="00912F7A">
        <w:rPr>
          <w:szCs w:val="24"/>
        </w:rPr>
        <w:t>404</w:t>
      </w:r>
      <w:r w:rsidRPr="00912F7A">
        <w:rPr>
          <w:szCs w:val="24"/>
        </w:rPr>
        <w:tab/>
      </w:r>
      <w:r w:rsidRPr="00912F7A">
        <w:rPr>
          <w:szCs w:val="24"/>
          <w:u w:val="single"/>
        </w:rPr>
        <w:t xml:space="preserve">Net Non-current Deferred Operating Income Taxes–Pole </w:t>
      </w:r>
      <w:r w:rsidRPr="00912F7A">
        <w:rPr>
          <w:szCs w:val="24"/>
        </w:rPr>
        <w:t>– Enter the portion of Account 4340 that represents pole investment</w:t>
      </w:r>
      <w:r w:rsidRPr="00E01ACA">
        <w:rPr>
          <w:szCs w:val="24"/>
        </w:rPr>
        <w:t>.   Also, see the note in Row 401</w:t>
      </w:r>
      <w:r>
        <w:rPr>
          <w:szCs w:val="24"/>
        </w:rPr>
        <w:t>.</w:t>
      </w:r>
    </w:p>
    <w:p w:rsidR="00E01ACA" w:rsidRPr="00912F7A" w:rsidP="005B4282">
      <w:pPr>
        <w:ind w:left="720" w:hanging="720"/>
        <w:jc w:val="both"/>
        <w:rPr>
          <w:szCs w:val="24"/>
        </w:rPr>
      </w:pPr>
    </w:p>
    <w:p w:rsidR="00E01ACA" w:rsidRPr="00E01ACA" w:rsidP="005B4282">
      <w:pPr>
        <w:ind w:left="720" w:hanging="720"/>
        <w:jc w:val="both"/>
        <w:rPr>
          <w:szCs w:val="24"/>
        </w:rPr>
      </w:pPr>
      <w:r w:rsidRPr="00912F7A">
        <w:rPr>
          <w:szCs w:val="24"/>
        </w:rPr>
        <w:t>405</w:t>
      </w:r>
      <w:r w:rsidRPr="00912F7A">
        <w:rPr>
          <w:szCs w:val="24"/>
        </w:rPr>
        <w:tab/>
      </w:r>
      <w:r w:rsidRPr="00912F7A">
        <w:rPr>
          <w:szCs w:val="24"/>
          <w:u w:val="single"/>
        </w:rPr>
        <w:t>Net Non-current Deferred Operating  Income Taxes–Conduit</w:t>
      </w:r>
      <w:r w:rsidRPr="00912F7A">
        <w:rPr>
          <w:szCs w:val="24"/>
        </w:rPr>
        <w:t>– Enter the portion of Account 4340 that represents conduit investment</w:t>
      </w:r>
      <w:r w:rsidRPr="00E01ACA">
        <w:rPr>
          <w:szCs w:val="24"/>
        </w:rPr>
        <w:t>.  Also, see the note in Row 401</w:t>
      </w:r>
      <w:r>
        <w:rPr>
          <w:szCs w:val="24"/>
        </w:rPr>
        <w:t>.</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406</w:t>
      </w:r>
      <w:r w:rsidRPr="00912F7A">
        <w:rPr>
          <w:szCs w:val="24"/>
        </w:rPr>
        <w:tab/>
      </w:r>
      <w:r w:rsidRPr="00912F7A">
        <w:rPr>
          <w:szCs w:val="24"/>
          <w:u w:val="single"/>
        </w:rPr>
        <w:t>Net Non-current Deferred Operating  Income Taxes–Total</w:t>
      </w:r>
      <w:r w:rsidRPr="00912F7A">
        <w:rPr>
          <w:szCs w:val="24"/>
        </w:rPr>
        <w:t xml:space="preserve"> – Account 4340.</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501.1</w:t>
      </w:r>
      <w:r w:rsidRPr="00912F7A">
        <w:rPr>
          <w:szCs w:val="24"/>
        </w:rPr>
        <w:tab/>
      </w:r>
      <w:r w:rsidRPr="00912F7A">
        <w:rPr>
          <w:szCs w:val="24"/>
          <w:u w:val="single"/>
        </w:rPr>
        <w:t>Pole Maintenance Expense</w:t>
      </w:r>
      <w:r w:rsidRPr="00912F7A">
        <w:rPr>
          <w:szCs w:val="24"/>
        </w:rPr>
        <w:t xml:space="preserve"> – Account 6411 (excluding pole rental expenses).</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 xml:space="preserve">501.2 </w:t>
      </w:r>
      <w:r w:rsidRPr="00912F7A">
        <w:rPr>
          <w:szCs w:val="24"/>
        </w:rPr>
        <w:tab/>
      </w:r>
      <w:r w:rsidRPr="00912F7A">
        <w:rPr>
          <w:szCs w:val="24"/>
          <w:u w:val="single"/>
        </w:rPr>
        <w:t>Pole Rental Expense</w:t>
      </w:r>
      <w:r w:rsidRPr="00912F7A">
        <w:rPr>
          <w:szCs w:val="24"/>
        </w:rPr>
        <w:t xml:space="preserve"> – Account 6411 (excluding pole maintenance expenses).</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501</w:t>
      </w:r>
      <w:r w:rsidRPr="00912F7A">
        <w:rPr>
          <w:szCs w:val="24"/>
        </w:rPr>
        <w:tab/>
      </w:r>
      <w:r w:rsidRPr="00912F7A">
        <w:rPr>
          <w:szCs w:val="24"/>
          <w:u w:val="single"/>
        </w:rPr>
        <w:t>Pole Expense</w:t>
      </w:r>
      <w:r w:rsidRPr="00912F7A">
        <w:rPr>
          <w:szCs w:val="24"/>
        </w:rPr>
        <w:t xml:space="preserve"> – Account 6411 (Rows 501.1 + 501.2).</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502.1</w:t>
      </w:r>
      <w:r w:rsidRPr="00912F7A">
        <w:rPr>
          <w:szCs w:val="24"/>
        </w:rPr>
        <w:tab/>
      </w:r>
      <w:r w:rsidRPr="00912F7A">
        <w:rPr>
          <w:szCs w:val="24"/>
          <w:u w:val="single"/>
        </w:rPr>
        <w:t>Conduit Maintenance Expense</w:t>
      </w:r>
      <w:r w:rsidRPr="00912F7A">
        <w:rPr>
          <w:szCs w:val="24"/>
        </w:rPr>
        <w:t xml:space="preserve"> – Account 6441 (excluding conduit rental expenses).</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 xml:space="preserve">502.2 </w:t>
      </w:r>
      <w:r w:rsidRPr="00912F7A">
        <w:rPr>
          <w:szCs w:val="24"/>
        </w:rPr>
        <w:tab/>
      </w:r>
      <w:r w:rsidRPr="00912F7A">
        <w:rPr>
          <w:szCs w:val="24"/>
          <w:u w:val="single"/>
        </w:rPr>
        <w:t>Conduit Rental Expense</w:t>
      </w:r>
      <w:r w:rsidRPr="00912F7A">
        <w:rPr>
          <w:szCs w:val="24"/>
        </w:rPr>
        <w:t xml:space="preserve"> – Account 6441 (excluding conduit maintenance expenses).</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502</w:t>
      </w:r>
      <w:r w:rsidRPr="00912F7A">
        <w:rPr>
          <w:szCs w:val="24"/>
        </w:rPr>
        <w:tab/>
      </w:r>
      <w:r w:rsidRPr="00912F7A">
        <w:rPr>
          <w:szCs w:val="24"/>
          <w:u w:val="single"/>
        </w:rPr>
        <w:t>Conduit Expense</w:t>
      </w:r>
      <w:r w:rsidRPr="00912F7A">
        <w:rPr>
          <w:szCs w:val="24"/>
        </w:rPr>
        <w:t xml:space="preserve"> – Account 6441 (Rows 502.1 + 502.2).</w:t>
      </w:r>
    </w:p>
    <w:p w:rsidR="00E01ACA" w:rsidRPr="00912F7A" w:rsidP="005B4282">
      <w:pPr>
        <w:ind w:left="720" w:hanging="720"/>
        <w:jc w:val="both"/>
        <w:rPr>
          <w:szCs w:val="24"/>
        </w:rPr>
      </w:pPr>
    </w:p>
    <w:p w:rsidR="00E01ACA" w:rsidRPr="00912F7A" w:rsidP="005B4282">
      <w:pPr>
        <w:ind w:left="720" w:hanging="720"/>
        <w:jc w:val="both"/>
        <w:rPr>
          <w:szCs w:val="24"/>
        </w:rPr>
      </w:pPr>
      <w:r w:rsidRPr="00912F7A">
        <w:rPr>
          <w:szCs w:val="24"/>
        </w:rPr>
        <w:t>503</w:t>
      </w:r>
      <w:r w:rsidRPr="00912F7A">
        <w:rPr>
          <w:szCs w:val="24"/>
        </w:rPr>
        <w:tab/>
      </w:r>
      <w:r w:rsidRPr="00912F7A">
        <w:rPr>
          <w:szCs w:val="24"/>
          <w:u w:val="single"/>
        </w:rPr>
        <w:t>General &amp; Administrative Expense</w:t>
      </w:r>
      <w:r w:rsidRPr="00912F7A">
        <w:rPr>
          <w:szCs w:val="24"/>
        </w:rPr>
        <w:t xml:space="preserve"> – Account</w:t>
      </w:r>
      <w:r w:rsidR="00A54E8B">
        <w:rPr>
          <w:szCs w:val="24"/>
        </w:rPr>
        <w:t xml:space="preserve"> 67</w:t>
      </w:r>
      <w:r w:rsidR="00877F3C">
        <w:rPr>
          <w:szCs w:val="24"/>
        </w:rPr>
        <w:t>2</w:t>
      </w:r>
      <w:r w:rsidR="00A54E8B">
        <w:rPr>
          <w:szCs w:val="24"/>
        </w:rPr>
        <w:t>0</w:t>
      </w:r>
      <w:r w:rsidRPr="00912F7A">
        <w:rPr>
          <w:szCs w:val="24"/>
        </w:rPr>
        <w:t>.</w:t>
      </w:r>
    </w:p>
    <w:p w:rsidR="00E01ACA" w:rsidRPr="00912F7A" w:rsidP="005B4282">
      <w:pPr>
        <w:ind w:left="720" w:hanging="720"/>
        <w:jc w:val="both"/>
        <w:rPr>
          <w:szCs w:val="24"/>
        </w:rPr>
      </w:pPr>
    </w:p>
    <w:p w:rsidR="00AB384A" w:rsidP="005B4282">
      <w:pPr>
        <w:ind w:left="720" w:hanging="720"/>
        <w:jc w:val="both"/>
        <w:rPr>
          <w:szCs w:val="24"/>
        </w:rPr>
      </w:pPr>
      <w:r w:rsidRPr="00912F7A">
        <w:rPr>
          <w:szCs w:val="24"/>
        </w:rPr>
        <w:t>504</w:t>
      </w:r>
      <w:r w:rsidRPr="00912F7A">
        <w:rPr>
          <w:szCs w:val="24"/>
        </w:rPr>
        <w:tab/>
      </w:r>
      <w:r w:rsidRPr="00912F7A">
        <w:rPr>
          <w:szCs w:val="24"/>
          <w:u w:val="single"/>
        </w:rPr>
        <w:t>Operating Taxes</w:t>
      </w:r>
      <w:r w:rsidRPr="00912F7A">
        <w:rPr>
          <w:szCs w:val="24"/>
        </w:rPr>
        <w:t xml:space="preserve"> – The sum of Accounts 7210 through 7250.</w:t>
      </w:r>
    </w:p>
    <w:p w:rsidR="005B4282" w:rsidP="005B4282">
      <w:pPr>
        <w:ind w:left="720" w:hanging="720"/>
        <w:rPr>
          <w:szCs w:val="24"/>
        </w:rPr>
      </w:pPr>
    </w:p>
    <w:p w:rsidR="005B4282">
      <w:pPr>
        <w:widowControl/>
        <w:rPr>
          <w:szCs w:val="24"/>
        </w:rPr>
      </w:pPr>
      <w:r>
        <w:rPr>
          <w:szCs w:val="24"/>
        </w:rPr>
        <w:br w:type="page"/>
      </w:r>
    </w:p>
    <w:p w:rsidR="00E01ACA" w:rsidRPr="00E01ACA" w:rsidP="005B4282">
      <w:pPr>
        <w:ind w:left="720" w:hanging="720"/>
        <w:jc w:val="both"/>
        <w:rPr>
          <w:szCs w:val="24"/>
        </w:rPr>
      </w:pPr>
      <w:r w:rsidRPr="00E01ACA">
        <w:rPr>
          <w:szCs w:val="24"/>
        </w:rPr>
        <w:t>Operational Data</w:t>
      </w:r>
    </w:p>
    <w:p w:rsidR="00E01ACA" w:rsidRPr="00912F7A" w:rsidP="005B4282">
      <w:pPr>
        <w:ind w:left="720" w:hanging="720"/>
        <w:jc w:val="both"/>
        <w:rPr>
          <w:szCs w:val="24"/>
        </w:rPr>
      </w:pPr>
    </w:p>
    <w:p w:rsidR="00E01ACA" w:rsidRPr="00912F7A" w:rsidP="005B4282">
      <w:pPr>
        <w:tabs>
          <w:tab w:val="left" w:pos="-1440"/>
          <w:tab w:val="left" w:pos="-840"/>
          <w:tab w:val="left" w:pos="-240"/>
          <w:tab w:val="right" w:pos="-180"/>
          <w:tab w:val="left" w:pos="72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720" w:hanging="720"/>
        <w:jc w:val="both"/>
        <w:rPr>
          <w:spacing w:val="-3"/>
          <w:szCs w:val="24"/>
        </w:rPr>
      </w:pPr>
      <w:r w:rsidRPr="00912F7A">
        <w:rPr>
          <w:szCs w:val="24"/>
        </w:rPr>
        <w:t>601</w:t>
      </w:r>
      <w:r>
        <w:rPr>
          <w:szCs w:val="24"/>
        </w:rPr>
        <w:tab/>
      </w:r>
      <w:r w:rsidRPr="00912F7A">
        <w:rPr>
          <w:szCs w:val="24"/>
          <w:u w:val="single"/>
        </w:rPr>
        <w:t>Equivalent Number of Poles</w:t>
      </w:r>
      <w:r w:rsidRPr="00912F7A">
        <w:rPr>
          <w:szCs w:val="24"/>
        </w:rPr>
        <w:t xml:space="preserve"> – </w:t>
      </w:r>
      <w:r w:rsidRPr="00912F7A">
        <w:rPr>
          <w:spacing w:val="-3"/>
          <w:szCs w:val="24"/>
        </w:rPr>
        <w:t>The number of solely owned poles plus the sum of the products of the numbers of jointly owned poles times their ownership percentages.  Where the ownership percentage is unknown, assume 50%.  Do not include leased poles.  Include poles used to support both local loop and interoffice facilities.  Round to the nearest whole number.</w:t>
      </w:r>
    </w:p>
    <w:p w:rsidR="00E01ACA" w:rsidRPr="00912F7A" w:rsidP="00E01ACA">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720" w:hanging="720"/>
        <w:jc w:val="both"/>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p>
    <w:p w:rsidR="00E01ACA" w:rsidRPr="00DB1A7E" w:rsidP="00E01ACA">
      <w:pPr>
        <w:tabs>
          <w:tab w:val="left" w:pos="-1440"/>
          <w:tab w:val="left" w:pos="-840"/>
          <w:tab w:val="left" w:pos="-240"/>
          <w:tab w:val="left" w:pos="1800"/>
          <w:tab w:val="left" w:pos="3780"/>
          <w:tab w:val="left" w:pos="5400"/>
        </w:tabs>
        <w:suppressAutoHyphens/>
        <w:ind w:left="720" w:hanging="720"/>
        <w:jc w:val="both"/>
        <w:rPr>
          <w:spacing w:val="-3"/>
          <w:szCs w:val="24"/>
        </w:rPr>
      </w:pPr>
      <w:r>
        <w:rPr>
          <w:spacing w:val="-3"/>
          <w:szCs w:val="24"/>
        </w:rPr>
        <w:tab/>
      </w:r>
      <w:r w:rsidRPr="00DB1A7E">
        <w:rPr>
          <w:spacing w:val="-3"/>
          <w:szCs w:val="24"/>
        </w:rPr>
        <w:t>Example:</w:t>
      </w:r>
      <w:r w:rsidRPr="00DB1A7E">
        <w:rPr>
          <w:spacing w:val="-3"/>
          <w:szCs w:val="24"/>
        </w:rPr>
        <w:tab/>
      </w:r>
    </w:p>
    <w:p w:rsidR="00E01ACA" w:rsidP="00E01ACA">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720" w:hanging="720"/>
        <w:jc w:val="both"/>
        <w:rPr>
          <w:spacing w:val="-3"/>
          <w:szCs w:val="24"/>
        </w:rPr>
      </w:pPr>
      <w:r>
        <w:rPr>
          <w:spacing w:val="-3"/>
          <w:szCs w:val="24"/>
        </w:rPr>
        <w:tab/>
      </w:r>
      <w:r>
        <w:rPr>
          <w:spacing w:val="-3"/>
          <w:szCs w:val="24"/>
        </w:rPr>
        <w:tab/>
      </w:r>
      <w:r>
        <w:rPr>
          <w:spacing w:val="-3"/>
          <w:szCs w:val="24"/>
        </w:rPr>
        <w:tab/>
        <w:t xml:space="preserve">     </w:t>
      </w:r>
      <w:r>
        <w:rPr>
          <w:spacing w:val="-3"/>
          <w:szCs w:val="24"/>
        </w:rPr>
        <w:tab/>
      </w:r>
      <w:r>
        <w:rPr>
          <w:spacing w:val="-3"/>
          <w:szCs w:val="24"/>
        </w:rPr>
        <w:tab/>
      </w:r>
      <w:r>
        <w:rPr>
          <w:spacing w:val="-3"/>
          <w:szCs w:val="24"/>
        </w:rPr>
        <w:tab/>
      </w:r>
      <w:r>
        <w:rPr>
          <w:spacing w:val="-3"/>
          <w:szCs w:val="24"/>
        </w:rPr>
        <w:tab/>
      </w:r>
      <w:r>
        <w:rPr>
          <w:spacing w:val="-3"/>
          <w:szCs w:val="24"/>
        </w:rPr>
        <w:tab/>
        <w:t xml:space="preserve">  </w:t>
      </w:r>
      <w:r>
        <w:rPr>
          <w:spacing w:val="-3"/>
          <w:szCs w:val="24"/>
        </w:rPr>
        <w:tab/>
      </w:r>
      <w:r>
        <w:rPr>
          <w:spacing w:val="-3"/>
          <w:szCs w:val="24"/>
        </w:rPr>
        <w:tab/>
        <w:t xml:space="preserve">  </w:t>
      </w:r>
      <w:r w:rsidRPr="00912F7A">
        <w:rPr>
          <w:spacing w:val="-3"/>
          <w:szCs w:val="24"/>
        </w:rPr>
        <w:t>Equivalent</w:t>
      </w:r>
    </w:p>
    <w:p w:rsidR="00E01ACA" w:rsidRPr="00912F7A" w:rsidP="00E01ACA">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720" w:hanging="720"/>
        <w:jc w:val="both"/>
        <w:rPr>
          <w:spacing w:val="-3"/>
          <w:szCs w:val="24"/>
        </w:rPr>
      </w:pPr>
      <w:r>
        <w:rPr>
          <w:spacing w:val="-3"/>
          <w:szCs w:val="24"/>
        </w:rPr>
        <w:tab/>
      </w:r>
      <w:r>
        <w:rPr>
          <w:spacing w:val="-3"/>
          <w:szCs w:val="24"/>
        </w:rPr>
        <w:tab/>
      </w:r>
      <w:r>
        <w:rPr>
          <w:spacing w:val="-3"/>
          <w:szCs w:val="24"/>
        </w:rPr>
        <w:tab/>
      </w:r>
      <w:r>
        <w:rPr>
          <w:spacing w:val="-3"/>
          <w:szCs w:val="24"/>
        </w:rPr>
        <w:tab/>
      </w:r>
      <w:r w:rsidRPr="00DB1A7E">
        <w:rPr>
          <w:spacing w:val="-3"/>
          <w:szCs w:val="24"/>
          <w:u w:val="single"/>
        </w:rPr>
        <w:t>No. of Poles</w:t>
      </w:r>
      <w:r w:rsidRPr="00DB1A7E">
        <w:rPr>
          <w:spacing w:val="-3"/>
          <w:szCs w:val="24"/>
        </w:rPr>
        <w:tab/>
      </w:r>
      <w:r w:rsidRPr="00DB1A7E">
        <w:rPr>
          <w:spacing w:val="-3"/>
          <w:szCs w:val="24"/>
          <w:u w:val="single"/>
        </w:rPr>
        <w:t>%</w:t>
      </w:r>
      <w:r w:rsidRPr="00E01ACA">
        <w:rPr>
          <w:spacing w:val="-3"/>
          <w:szCs w:val="24"/>
        </w:rPr>
        <w:tab/>
      </w:r>
      <w:r w:rsidRPr="00DB1A7E">
        <w:rPr>
          <w:spacing w:val="-3"/>
          <w:szCs w:val="24"/>
          <w:u w:val="single"/>
        </w:rPr>
        <w:t xml:space="preserve"> Ownership</w:t>
      </w:r>
      <w:r w:rsidRPr="00DB1A7E">
        <w:rPr>
          <w:spacing w:val="-3"/>
          <w:szCs w:val="24"/>
        </w:rPr>
        <w:tab/>
      </w:r>
      <w:r>
        <w:rPr>
          <w:spacing w:val="-3"/>
          <w:szCs w:val="24"/>
        </w:rPr>
        <w:tab/>
      </w:r>
      <w:r w:rsidRPr="00DB1A7E">
        <w:rPr>
          <w:spacing w:val="-3"/>
          <w:szCs w:val="24"/>
          <w:u w:val="single"/>
        </w:rPr>
        <w:t>No. of Poles</w:t>
      </w:r>
    </w:p>
    <w:p w:rsidR="00E01ACA" w:rsidRPr="00DB1A7E" w:rsidP="00E01ACA">
      <w:pPr>
        <w:tabs>
          <w:tab w:val="left" w:pos="-1440"/>
          <w:tab w:val="left" w:pos="-840"/>
          <w:tab w:val="left" w:pos="-240"/>
          <w:tab w:val="left" w:pos="1260"/>
          <w:tab w:val="right" w:pos="2880"/>
          <w:tab w:val="right" w:pos="3600"/>
          <w:tab w:val="right" w:pos="4680"/>
          <w:tab w:val="decimal" w:pos="5760"/>
          <w:tab w:val="right" w:pos="6480"/>
        </w:tabs>
        <w:suppressAutoHyphens/>
        <w:ind w:left="720" w:hanging="720"/>
        <w:jc w:val="both"/>
        <w:rPr>
          <w:spacing w:val="-3"/>
          <w:szCs w:val="24"/>
        </w:rPr>
      </w:pPr>
      <w:r w:rsidRPr="00912F7A">
        <w:rPr>
          <w:spacing w:val="-3"/>
          <w:szCs w:val="24"/>
        </w:rPr>
        <w:tab/>
      </w:r>
      <w:r>
        <w:rPr>
          <w:spacing w:val="-3"/>
          <w:szCs w:val="24"/>
        </w:rPr>
        <w:tab/>
      </w:r>
      <w:r w:rsidRPr="00DB1A7E">
        <w:rPr>
          <w:spacing w:val="-3"/>
          <w:szCs w:val="24"/>
        </w:rPr>
        <w:t>4</w:t>
      </w:r>
      <w:r w:rsidRPr="00DB1A7E">
        <w:rPr>
          <w:spacing w:val="-3"/>
          <w:szCs w:val="24"/>
        </w:rPr>
        <w:tab/>
      </w:r>
      <w:r>
        <w:rPr>
          <w:spacing w:val="-3"/>
          <w:szCs w:val="24"/>
        </w:rPr>
        <w:tab/>
      </w:r>
      <w:r w:rsidRPr="00DB1A7E">
        <w:rPr>
          <w:spacing w:val="-3"/>
          <w:szCs w:val="24"/>
        </w:rPr>
        <w:t>10%</w:t>
      </w:r>
      <w:r w:rsidRPr="00DB1A7E">
        <w:rPr>
          <w:spacing w:val="-3"/>
          <w:szCs w:val="24"/>
        </w:rPr>
        <w:tab/>
      </w:r>
      <w:r>
        <w:rPr>
          <w:spacing w:val="-3"/>
          <w:szCs w:val="24"/>
        </w:rPr>
        <w:tab/>
      </w:r>
      <w:r w:rsidRPr="00DB1A7E">
        <w:rPr>
          <w:spacing w:val="-3"/>
          <w:szCs w:val="24"/>
        </w:rPr>
        <w:t>0.4</w:t>
      </w:r>
    </w:p>
    <w:p w:rsidR="00E01ACA" w:rsidRPr="00DB1A7E" w:rsidP="00E01ACA">
      <w:pPr>
        <w:tabs>
          <w:tab w:val="left" w:pos="-1440"/>
          <w:tab w:val="left" w:pos="-840"/>
          <w:tab w:val="left" w:pos="-240"/>
          <w:tab w:val="left" w:pos="1260"/>
          <w:tab w:val="right" w:pos="2880"/>
          <w:tab w:val="right" w:pos="3600"/>
          <w:tab w:val="right" w:pos="4680"/>
          <w:tab w:val="decimal" w:pos="5760"/>
          <w:tab w:val="right" w:pos="6480"/>
        </w:tabs>
        <w:suppressAutoHyphens/>
        <w:ind w:left="720" w:hanging="720"/>
        <w:jc w:val="both"/>
        <w:rPr>
          <w:spacing w:val="-3"/>
          <w:szCs w:val="24"/>
        </w:rPr>
      </w:pPr>
      <w:r>
        <w:rPr>
          <w:spacing w:val="-3"/>
          <w:szCs w:val="24"/>
        </w:rPr>
        <w:tab/>
      </w:r>
      <w:r>
        <w:rPr>
          <w:spacing w:val="-3"/>
          <w:szCs w:val="24"/>
        </w:rPr>
        <w:tab/>
      </w:r>
      <w:r w:rsidRPr="00DB1A7E">
        <w:rPr>
          <w:spacing w:val="-3"/>
          <w:szCs w:val="24"/>
        </w:rPr>
        <w:t>8</w:t>
      </w:r>
      <w:r w:rsidRPr="00DB1A7E">
        <w:rPr>
          <w:spacing w:val="-3"/>
          <w:szCs w:val="24"/>
        </w:rPr>
        <w:tab/>
      </w:r>
      <w:r>
        <w:rPr>
          <w:spacing w:val="-3"/>
          <w:szCs w:val="24"/>
        </w:rPr>
        <w:tab/>
      </w:r>
      <w:r w:rsidRPr="00DB1A7E">
        <w:rPr>
          <w:spacing w:val="-3"/>
          <w:szCs w:val="24"/>
        </w:rPr>
        <w:t>30%</w:t>
      </w:r>
      <w:r w:rsidRPr="00DB1A7E">
        <w:rPr>
          <w:spacing w:val="-3"/>
          <w:szCs w:val="24"/>
        </w:rPr>
        <w:tab/>
      </w:r>
      <w:r>
        <w:rPr>
          <w:spacing w:val="-3"/>
          <w:szCs w:val="24"/>
        </w:rPr>
        <w:tab/>
      </w:r>
      <w:r w:rsidRPr="00DB1A7E">
        <w:rPr>
          <w:spacing w:val="-3"/>
          <w:szCs w:val="24"/>
        </w:rPr>
        <w:t>2.4</w:t>
      </w:r>
    </w:p>
    <w:p w:rsidR="00E01ACA" w:rsidRPr="00DB1A7E" w:rsidP="00E01ACA">
      <w:pPr>
        <w:tabs>
          <w:tab w:val="left" w:pos="-1440"/>
          <w:tab w:val="left" w:pos="-840"/>
          <w:tab w:val="left" w:pos="-240"/>
          <w:tab w:val="left" w:pos="1260"/>
          <w:tab w:val="right" w:pos="2880"/>
          <w:tab w:val="right" w:pos="3600"/>
          <w:tab w:val="right" w:pos="4680"/>
          <w:tab w:val="decimal" w:pos="5760"/>
          <w:tab w:val="right" w:pos="6480"/>
        </w:tabs>
        <w:suppressAutoHyphens/>
        <w:ind w:left="720" w:hanging="720"/>
        <w:jc w:val="both"/>
        <w:rPr>
          <w:spacing w:val="-3"/>
          <w:szCs w:val="24"/>
        </w:rPr>
      </w:pPr>
      <w:r>
        <w:rPr>
          <w:spacing w:val="-3"/>
          <w:szCs w:val="24"/>
        </w:rPr>
        <w:tab/>
      </w:r>
      <w:r>
        <w:rPr>
          <w:spacing w:val="-3"/>
          <w:szCs w:val="24"/>
        </w:rPr>
        <w:tab/>
      </w:r>
      <w:r w:rsidRPr="00DB1A7E">
        <w:rPr>
          <w:spacing w:val="-3"/>
          <w:szCs w:val="24"/>
        </w:rPr>
        <w:t>20</w:t>
      </w:r>
      <w:r w:rsidRPr="00DB1A7E">
        <w:rPr>
          <w:spacing w:val="-3"/>
          <w:szCs w:val="24"/>
        </w:rPr>
        <w:tab/>
      </w:r>
      <w:r>
        <w:rPr>
          <w:spacing w:val="-3"/>
          <w:szCs w:val="24"/>
        </w:rPr>
        <w:tab/>
      </w:r>
      <w:r w:rsidRPr="00DB1A7E">
        <w:rPr>
          <w:spacing w:val="-3"/>
          <w:szCs w:val="24"/>
        </w:rPr>
        <w:t>50%</w:t>
      </w:r>
      <w:r w:rsidRPr="00DB1A7E">
        <w:rPr>
          <w:spacing w:val="-3"/>
          <w:szCs w:val="24"/>
        </w:rPr>
        <w:tab/>
      </w:r>
      <w:r>
        <w:rPr>
          <w:spacing w:val="-3"/>
          <w:szCs w:val="24"/>
        </w:rPr>
        <w:tab/>
      </w:r>
      <w:r w:rsidRPr="00DB1A7E">
        <w:rPr>
          <w:spacing w:val="-3"/>
          <w:szCs w:val="24"/>
          <w:u w:val="single"/>
        </w:rPr>
        <w:t>10.0</w:t>
      </w:r>
    </w:p>
    <w:p w:rsidR="00E01ACA" w:rsidRPr="00912F7A" w:rsidP="00E01ACA">
      <w:pPr>
        <w:tabs>
          <w:tab w:val="left" w:pos="-1440"/>
          <w:tab w:val="left" w:pos="-840"/>
          <w:tab w:val="left" w:pos="-240"/>
          <w:tab w:val="left" w:pos="2340"/>
          <w:tab w:val="right" w:pos="3600"/>
          <w:tab w:val="left" w:pos="3780"/>
          <w:tab w:val="left" w:pos="6030"/>
          <w:tab w:val="right" w:pos="6480"/>
        </w:tabs>
        <w:suppressAutoHyphens/>
        <w:ind w:left="720" w:hanging="720"/>
        <w:jc w:val="both"/>
        <w:rPr>
          <w:spacing w:val="-3"/>
          <w:szCs w:val="24"/>
        </w:rPr>
      </w:pPr>
      <w:r w:rsidRPr="00DB1A7E">
        <w:rPr>
          <w:spacing w:val="-3"/>
          <w:szCs w:val="24"/>
        </w:rPr>
        <w:tab/>
      </w:r>
      <w:r>
        <w:rPr>
          <w:spacing w:val="-3"/>
          <w:szCs w:val="24"/>
        </w:rPr>
        <w:tab/>
      </w:r>
      <w:r>
        <w:rPr>
          <w:spacing w:val="-3"/>
          <w:szCs w:val="24"/>
        </w:rPr>
        <w:tab/>
      </w:r>
      <w:r>
        <w:rPr>
          <w:spacing w:val="-3"/>
          <w:szCs w:val="24"/>
        </w:rPr>
        <w:tab/>
      </w:r>
      <w:r>
        <w:rPr>
          <w:spacing w:val="-3"/>
          <w:szCs w:val="24"/>
        </w:rPr>
        <w:tab/>
        <w:t xml:space="preserve"> </w:t>
      </w:r>
      <w:r w:rsidRPr="00DB1A7E">
        <w:rPr>
          <w:spacing w:val="-3"/>
          <w:szCs w:val="24"/>
        </w:rPr>
        <w:t>12.8 (rounded to 13)</w:t>
      </w:r>
      <w:r>
        <w:rPr>
          <w:spacing w:val="-3"/>
          <w:szCs w:val="24"/>
        </w:rPr>
        <w:tab/>
      </w:r>
      <w:r w:rsidRPr="00912F7A">
        <w:rPr>
          <w:spacing w:val="-3"/>
          <w:szCs w:val="24"/>
        </w:rPr>
        <w:tab/>
      </w:r>
    </w:p>
    <w:p w:rsidR="00E01ACA" w:rsidRPr="00DB1A7E" w:rsidP="00E01ACA">
      <w:pPr>
        <w:tabs>
          <w:tab w:val="left" w:pos="-1440"/>
          <w:tab w:val="left" w:pos="-840"/>
          <w:tab w:val="left" w:pos="-240"/>
          <w:tab w:val="left" w:pos="2340"/>
          <w:tab w:val="right" w:pos="3600"/>
          <w:tab w:val="left" w:pos="3780"/>
          <w:tab w:val="left" w:pos="5400"/>
        </w:tabs>
        <w:suppressAutoHyphens/>
        <w:ind w:left="720" w:hanging="720"/>
        <w:jc w:val="both"/>
        <w:rPr>
          <w:spacing w:val="-3"/>
          <w:szCs w:val="24"/>
        </w:rPr>
      </w:pPr>
      <w:r w:rsidRPr="00912F7A">
        <w:rPr>
          <w:spacing w:val="-3"/>
          <w:szCs w:val="24"/>
        </w:rPr>
        <w:tab/>
      </w:r>
    </w:p>
    <w:p w:rsidR="00E01ACA" w:rsidRPr="00912F7A" w:rsidP="00E01ACA">
      <w:pPr>
        <w:ind w:left="720" w:hanging="720"/>
        <w:rPr>
          <w:szCs w:val="24"/>
        </w:rPr>
      </w:pPr>
      <w:r w:rsidRPr="00912F7A">
        <w:rPr>
          <w:szCs w:val="24"/>
        </w:rPr>
        <w:t xml:space="preserve"> </w:t>
      </w:r>
    </w:p>
    <w:p w:rsidR="00E01ACA" w:rsidRPr="00912F7A" w:rsidP="005B4282">
      <w:pPr>
        <w:tabs>
          <w:tab w:val="left" w:pos="-1440"/>
          <w:tab w:val="left" w:pos="-840"/>
          <w:tab w:val="left" w:pos="-240"/>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szCs w:val="24"/>
        </w:rPr>
      </w:pPr>
      <w:r w:rsidRPr="00912F7A">
        <w:rPr>
          <w:spacing w:val="-3"/>
          <w:szCs w:val="24"/>
          <w:u w:val="single"/>
        </w:rPr>
        <w:t>Conduit System</w:t>
      </w:r>
      <w:r w:rsidRPr="00912F7A">
        <w:rPr>
          <w:spacing w:val="-3"/>
          <w:szCs w:val="24"/>
        </w:rPr>
        <w:t xml:space="preserve"> </w:t>
      </w:r>
      <w:r w:rsidRPr="00912F7A">
        <w:rPr>
          <w:spacing w:val="-3"/>
          <w:szCs w:val="24"/>
        </w:rPr>
        <w:noBreakHyphen/>
        <w:t xml:space="preserve"> Pipes in the Conduit Systems account (Account 2441).  This includes conduit, whether underground, in tunnels, or on bridges (which is reusable in place), through which cables are pulled.  Include both local loop and interoffice facilities.</w:t>
      </w:r>
    </w:p>
    <w:p w:rsidR="00E01ACA" w:rsidRPr="00912F7A" w:rsidP="005B4282">
      <w:pPr>
        <w:ind w:left="720" w:hanging="720"/>
        <w:jc w:val="both"/>
        <w:rPr>
          <w:szCs w:val="24"/>
        </w:rPr>
      </w:pPr>
    </w:p>
    <w:p w:rsidR="00CB015C" w:rsidP="005B4282">
      <w:pPr>
        <w:tabs>
          <w:tab w:val="left" w:pos="180"/>
        </w:tabs>
        <w:ind w:left="720" w:hanging="720"/>
        <w:jc w:val="both"/>
        <w:rPr>
          <w:spacing w:val="-3"/>
          <w:szCs w:val="24"/>
        </w:rPr>
      </w:pPr>
      <w:r w:rsidRPr="00912F7A">
        <w:rPr>
          <w:szCs w:val="24"/>
        </w:rPr>
        <w:t>602</w:t>
      </w:r>
      <w:r w:rsidRPr="00912F7A">
        <w:rPr>
          <w:szCs w:val="24"/>
        </w:rPr>
        <w:tab/>
        <w:t xml:space="preserve">Conduit System Trench Kilometers – </w:t>
      </w:r>
      <w:r w:rsidRPr="00912F7A">
        <w:rPr>
          <w:spacing w:val="-3"/>
          <w:szCs w:val="24"/>
        </w:rPr>
        <w:t>Total length of the trenches that contain the ducts.</w:t>
      </w:r>
    </w:p>
    <w:p w:rsidR="00CB015C" w:rsidRPr="00912F7A" w:rsidP="005B4282">
      <w:pPr>
        <w:tabs>
          <w:tab w:val="left" w:pos="180"/>
        </w:tabs>
        <w:ind w:left="720" w:hanging="720"/>
        <w:jc w:val="both"/>
        <w:rPr>
          <w:szCs w:val="24"/>
        </w:rPr>
      </w:pPr>
    </w:p>
    <w:p w:rsidR="00E01ACA" w:rsidRPr="00912F7A" w:rsidP="005B4282">
      <w:pPr>
        <w:ind w:left="720" w:hanging="720"/>
        <w:jc w:val="both"/>
        <w:rPr>
          <w:szCs w:val="24"/>
        </w:rPr>
      </w:pPr>
      <w:r w:rsidRPr="00912F7A">
        <w:rPr>
          <w:szCs w:val="24"/>
        </w:rPr>
        <w:t>603</w:t>
      </w:r>
      <w:r w:rsidRPr="00912F7A">
        <w:rPr>
          <w:szCs w:val="24"/>
        </w:rPr>
        <w:tab/>
        <w:t xml:space="preserve">Conduit System Duct Kilometers – </w:t>
      </w:r>
      <w:r w:rsidRPr="00912F7A">
        <w:rPr>
          <w:spacing w:val="-3"/>
          <w:szCs w:val="24"/>
        </w:rPr>
        <w:t>The number of ducts times the trench kilometers.</w:t>
      </w:r>
    </w:p>
    <w:p w:rsidR="00E01ACA" w:rsidRPr="00912F7A" w:rsidP="005B4282">
      <w:pPr>
        <w:ind w:left="720" w:hanging="720"/>
        <w:jc w:val="both"/>
      </w:pPr>
    </w:p>
    <w:p w:rsidR="00E01ACA" w:rsidRPr="006A4BB8" w:rsidP="005B4282">
      <w:pPr>
        <w:ind w:left="720" w:hanging="720"/>
        <w:jc w:val="both"/>
        <w:rPr>
          <w:b/>
        </w:rPr>
      </w:pPr>
      <w:r w:rsidRPr="00912F7A">
        <w:t>700</w:t>
      </w:r>
      <w:r w:rsidRPr="00912F7A">
        <w:tab/>
      </w:r>
      <w:r w:rsidRPr="00912F7A">
        <w:rPr>
          <w:szCs w:val="24"/>
        </w:rPr>
        <w:t>Additional Rental Calculation Information</w:t>
      </w:r>
      <w:r w:rsidRPr="00912F7A">
        <w:t xml:space="preserve"> </w:t>
      </w:r>
      <w:r w:rsidRPr="00912F7A">
        <w:rPr>
          <w:szCs w:val="24"/>
        </w:rPr>
        <w:t xml:space="preserve">– </w:t>
      </w:r>
      <w:r w:rsidRPr="00912F7A">
        <w:t xml:space="preserve">Enter (1) or (0).  Enter (1) if rental rates are developed for attachments other than to poles or conduit.  If none, enter (0).  </w:t>
      </w:r>
      <w:r w:rsidRPr="006A4BB8">
        <w:rPr>
          <w:b/>
        </w:rPr>
        <w:t>If (1) is entered, a footnote is required that provides all account numbers and balances used to establish the additional rental rates.</w:t>
      </w:r>
    </w:p>
    <w:p w:rsidR="00E01ACA" w:rsidRPr="00912F7A" w:rsidP="00E01ACA">
      <w:pPr>
        <w:ind w:left="720" w:hanging="720"/>
      </w:pPr>
    </w:p>
    <w:p w:rsidR="00E01ACA" w:rsidRPr="00912F7A" w:rsidP="00E01ACA">
      <w:pPr>
        <w:ind w:left="720" w:hanging="720"/>
      </w:pPr>
      <w:r w:rsidRPr="00912F7A">
        <w:t xml:space="preserve"> </w:t>
      </w:r>
    </w:p>
    <w:p w:rsidR="00E01ACA" w:rsidRPr="00912F7A" w:rsidP="00E01ACA">
      <w:pPr>
        <w:ind w:left="720" w:hanging="720"/>
      </w:pPr>
    </w:p>
    <w:p w:rsidR="00E01ACA" w:rsidRPr="00912F7A" w:rsidP="00E01ACA">
      <w:pPr>
        <w:jc w:val="center"/>
        <w:rPr>
          <w:szCs w:val="24"/>
        </w:rPr>
      </w:pPr>
      <w:r w:rsidRPr="00912F7A">
        <w:rPr>
          <w:szCs w:val="24"/>
        </w:rPr>
        <w:t xml:space="preserve">COLUMN </w:t>
      </w:r>
      <w:r w:rsidR="00CB015C">
        <w:rPr>
          <w:szCs w:val="24"/>
        </w:rPr>
        <w:t>DEFINITION</w:t>
      </w:r>
    </w:p>
    <w:p w:rsidR="00E01ACA" w:rsidRPr="00912F7A" w:rsidP="005B4282">
      <w:pPr>
        <w:ind w:left="720" w:hanging="720"/>
        <w:jc w:val="both"/>
        <w:rPr>
          <w:u w:val="single"/>
        </w:rPr>
      </w:pPr>
      <w:r w:rsidRPr="00912F7A">
        <w:rPr>
          <w:u w:val="single"/>
        </w:rPr>
        <w:t>Column</w:t>
      </w:r>
    </w:p>
    <w:p w:rsidR="00E01ACA" w:rsidRPr="00912F7A" w:rsidP="005B4282">
      <w:pPr>
        <w:ind w:left="720" w:hanging="720"/>
        <w:jc w:val="both"/>
        <w:rPr>
          <w:u w:val="single"/>
        </w:rPr>
      </w:pPr>
    </w:p>
    <w:p w:rsidR="00E01ACA" w:rsidRPr="00912F7A" w:rsidP="005B4282">
      <w:pPr>
        <w:ind w:left="720" w:hanging="720"/>
      </w:pPr>
      <w:r w:rsidRPr="00912F7A">
        <w:t>(b)</w:t>
      </w:r>
      <w:r w:rsidRPr="00912F7A">
        <w:tab/>
      </w:r>
      <w:r w:rsidRPr="00912F7A">
        <w:rPr>
          <w:u w:val="single"/>
        </w:rPr>
        <w:t>Amount</w:t>
      </w:r>
      <w:r w:rsidRPr="00912F7A">
        <w:t xml:space="preserve"> – Enter the ending balance for the reporting period for all rows, except </w:t>
      </w:r>
      <w:r w:rsidR="00D37B7E">
        <w:t>R</w:t>
      </w:r>
      <w:r w:rsidRPr="00912F7A">
        <w:t>ow 700, identified in Column (a).</w:t>
      </w:r>
    </w:p>
    <w:p w:rsidR="00E01ACA" w:rsidRPr="00912F7A" w:rsidP="00E01ACA">
      <w:pPr>
        <w:tabs>
          <w:tab w:val="left" w:pos="-720"/>
          <w:tab w:val="left" w:pos="0"/>
        </w:tabs>
        <w:suppressAutoHyphens/>
        <w:ind w:left="720"/>
      </w:pPr>
    </w:p>
    <w:p w:rsidR="00FE3B05" w:rsidP="00FE3B05">
      <w:pPr>
        <w:tabs>
          <w:tab w:val="left" w:pos="-720"/>
          <w:tab w:val="left" w:pos="0"/>
        </w:tabs>
        <w:suppressAutoHyphens/>
        <w:jc w:val="both"/>
        <w:rPr>
          <w:spacing w:val="-3"/>
        </w:rPr>
      </w:pPr>
    </w:p>
    <w:p w:rsidR="00133457">
      <w:pPr>
        <w:tabs>
          <w:tab w:val="left" w:pos="-720"/>
        </w:tabs>
        <w:suppressAutoHyphens/>
        <w:jc w:val="both"/>
        <w:rPr>
          <w:spacing w:val="-3"/>
        </w:rPr>
      </w:pPr>
    </w:p>
    <w:p w:rsidR="00133457">
      <w:pPr>
        <w:tabs>
          <w:tab w:val="left" w:pos="-720"/>
        </w:tabs>
        <w:suppressAutoHyphens/>
        <w:jc w:val="both"/>
        <w:rPr>
          <w:spacing w:val="-3"/>
          <w:u w:val="single"/>
        </w:rPr>
      </w:pPr>
    </w:p>
    <w:sectPr>
      <w:headerReference w:type="defaul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627">
      <w:r>
        <w:separator/>
      </w:r>
    </w:p>
  </w:footnote>
  <w:footnote w:type="continuationSeparator" w:id="1">
    <w:p w:rsidR="00E93627">
      <w:r>
        <w:continuationSeparator/>
      </w:r>
    </w:p>
  </w:footnote>
  <w:footnote w:id="2">
    <w:p w:rsidR="00A056CA">
      <w:pPr>
        <w:pStyle w:val="FootnoteText"/>
        <w:spacing w:after="240"/>
        <w:ind w:right="144"/>
        <w:jc w:val="both"/>
        <w:rPr>
          <w:spacing w:val="-3"/>
        </w:rPr>
      </w:pPr>
      <w:r>
        <w:rPr>
          <w:spacing w:val="-3"/>
        </w:rPr>
        <w:t xml:space="preserve">     </w:t>
      </w:r>
      <w:r>
        <w:rPr>
          <w:rStyle w:val="FootnoteReference"/>
          <w:spacing w:val="-3"/>
        </w:rPr>
        <w:footnoteRef/>
      </w:r>
      <w:r>
        <w:rPr>
          <w:spacing w:val="-3"/>
        </w:rPr>
        <w:tab/>
        <w:t xml:space="preserve">This method for separation of customer deposits between state and interstate will be used as an interim measure until such time as provision is made for separation of customer deposits in Part 36 of the Commission's Rules.  </w:t>
      </w:r>
      <w:r>
        <w:rPr>
          <w:spacing w:val="-3"/>
          <w:u w:val="single"/>
        </w:rPr>
        <w:t>See</w:t>
      </w:r>
      <w:r>
        <w:rPr>
          <w:spacing w:val="-3"/>
        </w:rPr>
        <w:t xml:space="preserve"> Amendment of Part 65 of the Commission's Rules to Prescribe Components of the Rate Base and Net Income of Dominant Carriers, </w:t>
      </w:r>
      <w:r>
        <w:rPr>
          <w:spacing w:val="-3"/>
          <w:u w:val="single"/>
        </w:rPr>
        <w:t>Report and Order,</w:t>
      </w:r>
      <w:r>
        <w:rPr>
          <w:spacing w:val="-3"/>
        </w:rPr>
        <w:t xml:space="preserve"> 3 FCC Rcd 269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CA">
    <w:pPr>
      <w:tabs>
        <w:tab w:val="left" w:pos="-720"/>
        <w:tab w:val="left" w:pos="0"/>
        <w:tab w:val="center" w:pos="5220"/>
        <w:tab w:val="right" w:pos="9360"/>
      </w:tabs>
      <w:suppressAutoHyphens/>
      <w:jc w:val="both"/>
      <w:rPr>
        <w:spacing w:val="-3"/>
      </w:rPr>
    </w:pPr>
    <w:r>
      <w:rPr>
        <w:spacing w:val="-3"/>
      </w:rPr>
      <w:t>FCC Report 43-01 and Pole Attachment Data Report Definitions</w:t>
    </w:r>
    <w:r w:rsidR="008200D1">
      <w:rPr>
        <w:spacing w:val="-3"/>
      </w:rPr>
      <w:t xml:space="preserve">   </w:t>
    </w:r>
    <w:r w:rsidR="006F4454">
      <w:rPr>
        <w:spacing w:val="-3"/>
      </w:rPr>
      <w:t xml:space="preserve">February </w:t>
    </w:r>
    <w:r w:rsidR="00A966CF">
      <w:rPr>
        <w:spacing w:val="-3"/>
      </w:rPr>
      <w:t>2020</w:t>
    </w:r>
    <w:r>
      <w:rPr>
        <w:spacing w:val="-3"/>
      </w:rPr>
      <w:t xml:space="preserve"> </w:t>
    </w:r>
    <w:r w:rsidR="008200D1">
      <w:rPr>
        <w:spacing w:val="-3"/>
      </w:rPr>
      <w:t xml:space="preserve"> </w:t>
    </w:r>
    <w:r>
      <w:rPr>
        <w:spacing w:val="-3"/>
      </w:rPr>
      <w:t xml:space="preserve">Page </w:t>
    </w:r>
    <w:r>
      <w:rPr>
        <w:rStyle w:val="PageNumber"/>
      </w:rPr>
      <w:fldChar w:fldCharType="begin"/>
    </w:r>
    <w:r>
      <w:rPr>
        <w:rStyle w:val="PageNumber"/>
      </w:rPr>
      <w:instrText xml:space="preserve"> PAGE </w:instrText>
    </w:r>
    <w:r>
      <w:rPr>
        <w:rStyle w:val="PageNumber"/>
      </w:rPr>
      <w:fldChar w:fldCharType="separate"/>
    </w:r>
    <w:r w:rsidR="006F445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454">
      <w:rPr>
        <w:rStyle w:val="PageNumber"/>
        <w:noProof/>
      </w:rPr>
      <w:t>22</w:t>
    </w:r>
    <w:r>
      <w:rPr>
        <w:rStyle w:val="PageNumber"/>
      </w:rPr>
      <w:fldChar w:fldCharType="end"/>
    </w:r>
  </w:p>
  <w:p w:rsidR="00A056CA">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CA">
    <w:pPr>
      <w:tabs>
        <w:tab w:val="left" w:pos="-720"/>
        <w:tab w:val="left" w:pos="0"/>
        <w:tab w:val="center" w:pos="5220"/>
        <w:tab w:val="right" w:pos="9360"/>
      </w:tabs>
      <w:suppressAutoHyphens/>
      <w:jc w:val="both"/>
      <w:rPr>
        <w:spacing w:val="-3"/>
      </w:rPr>
    </w:pPr>
    <w:r>
      <w:rPr>
        <w:spacing w:val="-3"/>
      </w:rPr>
      <w:t xml:space="preserve">FCC Report 43-01 – Rep. Def. – Table Illustrations  </w:t>
    </w:r>
    <w:r w:rsidR="008200D1">
      <w:rPr>
        <w:spacing w:val="-3"/>
      </w:rPr>
      <w:t xml:space="preserve">         </w:t>
    </w:r>
    <w:r>
      <w:rPr>
        <w:spacing w:val="-3"/>
      </w:rPr>
      <w:t xml:space="preserve">  </w:t>
    </w:r>
    <w:r w:rsidR="006F4454">
      <w:rPr>
        <w:spacing w:val="-3"/>
      </w:rPr>
      <w:t xml:space="preserve">February </w:t>
    </w:r>
    <w:r w:rsidR="00A966CF">
      <w:rPr>
        <w:spacing w:val="-3"/>
      </w:rPr>
      <w:t>2020</w:t>
    </w:r>
    <w:r>
      <w:rPr>
        <w:spacing w:val="-3"/>
      </w:rPr>
      <w:tab/>
      <w:t xml:space="preserve">Page </w:t>
    </w:r>
    <w:r>
      <w:rPr>
        <w:rStyle w:val="PageNumber"/>
      </w:rPr>
      <w:fldChar w:fldCharType="begin"/>
    </w:r>
    <w:r>
      <w:rPr>
        <w:rStyle w:val="PageNumber"/>
      </w:rPr>
      <w:instrText xml:space="preserve"> PAGE </w:instrText>
    </w:r>
    <w:r>
      <w:rPr>
        <w:rStyle w:val="PageNumber"/>
      </w:rPr>
      <w:fldChar w:fldCharType="separate"/>
    </w:r>
    <w:r w:rsidR="006F4454">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454">
      <w:rPr>
        <w:rStyle w:val="PageNumber"/>
        <w:noProof/>
      </w:rPr>
      <w:t>22</w:t>
    </w:r>
    <w:r>
      <w:rPr>
        <w:rStyle w:val="PageNumber"/>
      </w:rPr>
      <w:fldChar w:fldCharType="end"/>
    </w:r>
  </w:p>
  <w:p w:rsidR="00A056CA">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CA">
    <w:pPr>
      <w:tabs>
        <w:tab w:val="left" w:pos="-720"/>
        <w:tab w:val="left" w:pos="0"/>
        <w:tab w:val="center" w:pos="5220"/>
        <w:tab w:val="right" w:pos="9360"/>
      </w:tabs>
      <w:suppressAutoHyphens/>
      <w:jc w:val="both"/>
      <w:rPr>
        <w:rStyle w:val="PageNumber"/>
      </w:rPr>
    </w:pPr>
    <w:r>
      <w:rPr>
        <w:spacing w:val="-3"/>
      </w:rPr>
      <w:t xml:space="preserve">Pole Attachment Data – Report Definition – Table Illustration </w:t>
    </w:r>
    <w:r w:rsidR="008200D1">
      <w:rPr>
        <w:spacing w:val="-3"/>
      </w:rPr>
      <w:t xml:space="preserve">       </w:t>
    </w:r>
    <w:r w:rsidR="006F4454">
      <w:rPr>
        <w:spacing w:val="-3"/>
      </w:rPr>
      <w:t xml:space="preserve">February </w:t>
    </w:r>
    <w:r w:rsidR="00A966CF">
      <w:rPr>
        <w:spacing w:val="-3"/>
      </w:rPr>
      <w:t>2020</w:t>
    </w:r>
    <w:r>
      <w:rPr>
        <w:spacing w:val="-3"/>
      </w:rPr>
      <w:t xml:space="preserve">        </w:t>
    </w:r>
    <w:r>
      <w:rPr>
        <w:spacing w:val="-3"/>
      </w:rPr>
      <w:tab/>
      <w:t xml:space="preserve">Page </w:t>
    </w:r>
    <w:r>
      <w:rPr>
        <w:rStyle w:val="PageNumber"/>
      </w:rPr>
      <w:fldChar w:fldCharType="begin"/>
    </w:r>
    <w:r>
      <w:rPr>
        <w:rStyle w:val="PageNumber"/>
      </w:rPr>
      <w:instrText xml:space="preserve"> PAGE </w:instrText>
    </w:r>
    <w:r>
      <w:rPr>
        <w:rStyle w:val="PageNumber"/>
      </w:rPr>
      <w:fldChar w:fldCharType="separate"/>
    </w:r>
    <w:r w:rsidR="006F4454">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454">
      <w:rPr>
        <w:rStyle w:val="PageNumber"/>
        <w:noProof/>
      </w:rPr>
      <w:t>22</w:t>
    </w:r>
    <w:r>
      <w:rPr>
        <w:rStyle w:val="PageNumber"/>
      </w:rPr>
      <w:fldChar w:fldCharType="end"/>
    </w:r>
  </w:p>
  <w:p w:rsidR="00A056CA">
    <w:pPr>
      <w:tabs>
        <w:tab w:val="left" w:pos="-720"/>
        <w:tab w:val="left" w:pos="0"/>
        <w:tab w:val="center" w:pos="5220"/>
        <w:tab w:val="right" w:pos="9360"/>
      </w:tabs>
      <w:suppressAutoHyphens/>
      <w:jc w:val="both"/>
      <w:rPr>
        <w:spacing w:val="-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CA">
    <w:pPr>
      <w:tabs>
        <w:tab w:val="left" w:pos="-720"/>
        <w:tab w:val="left" w:pos="0"/>
        <w:tab w:val="center" w:pos="5220"/>
        <w:tab w:val="right" w:pos="9360"/>
      </w:tabs>
      <w:suppressAutoHyphens/>
      <w:jc w:val="both"/>
      <w:rPr>
        <w:rStyle w:val="PageNumber"/>
      </w:rPr>
    </w:pPr>
    <w:r>
      <w:rPr>
        <w:spacing w:val="-3"/>
      </w:rPr>
      <w:t xml:space="preserve">FCC Report 43-01 – Report Definition – Table I    </w:t>
    </w:r>
    <w:r w:rsidR="008200D1">
      <w:rPr>
        <w:spacing w:val="-3"/>
      </w:rPr>
      <w:t xml:space="preserve">          </w:t>
    </w:r>
    <w:r w:rsidR="006F4454">
      <w:rPr>
        <w:spacing w:val="-3"/>
      </w:rPr>
      <w:t xml:space="preserve">February </w:t>
    </w:r>
    <w:r w:rsidR="00A966CF">
      <w:rPr>
        <w:spacing w:val="-3"/>
      </w:rPr>
      <w:t>2020</w:t>
    </w:r>
    <w:r>
      <w:rPr>
        <w:spacing w:val="-3"/>
      </w:rPr>
      <w:t xml:space="preserve">         </w:t>
    </w:r>
    <w:r>
      <w:rPr>
        <w:spacing w:val="-3"/>
      </w:rPr>
      <w:tab/>
      <w:t xml:space="preserve">Page </w:t>
    </w:r>
    <w:r>
      <w:rPr>
        <w:rStyle w:val="PageNumber"/>
      </w:rPr>
      <w:fldChar w:fldCharType="begin"/>
    </w:r>
    <w:r>
      <w:rPr>
        <w:rStyle w:val="PageNumber"/>
      </w:rPr>
      <w:instrText xml:space="preserve"> PAGE </w:instrText>
    </w:r>
    <w:r>
      <w:rPr>
        <w:rStyle w:val="PageNumber"/>
      </w:rPr>
      <w:fldChar w:fldCharType="separate"/>
    </w:r>
    <w:r w:rsidR="006F4454">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454">
      <w:rPr>
        <w:rStyle w:val="PageNumber"/>
        <w:noProof/>
      </w:rPr>
      <w:t>22</w:t>
    </w:r>
    <w:r>
      <w:rPr>
        <w:rStyle w:val="PageNumber"/>
      </w:rPr>
      <w:fldChar w:fldCharType="end"/>
    </w:r>
  </w:p>
  <w:p w:rsidR="00A056CA">
    <w:pPr>
      <w:tabs>
        <w:tab w:val="left" w:pos="-720"/>
        <w:tab w:val="left" w:pos="0"/>
        <w:tab w:val="center" w:pos="5220"/>
        <w:tab w:val="right" w:pos="9360"/>
      </w:tabs>
      <w:suppressAutoHyphens/>
      <w:jc w:val="both"/>
      <w:rPr>
        <w:spacing w:val="-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CA" w:rsidP="009431B6">
    <w:pPr>
      <w:tabs>
        <w:tab w:val="left" w:pos="-720"/>
        <w:tab w:val="left" w:pos="0"/>
        <w:tab w:val="center" w:pos="5220"/>
        <w:tab w:val="right" w:pos="9360"/>
      </w:tabs>
      <w:suppressAutoHyphens/>
      <w:jc w:val="both"/>
      <w:rPr>
        <w:spacing w:val="-3"/>
      </w:rPr>
    </w:pPr>
    <w:r>
      <w:rPr>
        <w:spacing w:val="-3"/>
      </w:rPr>
      <w:t>FCC Report 43-01 – Report Definition – Table II</w:t>
    </w:r>
    <w:r>
      <w:rPr>
        <w:spacing w:val="-3"/>
      </w:rPr>
      <w:tab/>
      <w:t xml:space="preserve">   </w:t>
    </w:r>
    <w:r w:rsidR="008200D1">
      <w:rPr>
        <w:spacing w:val="-3"/>
      </w:rPr>
      <w:t xml:space="preserve">         </w:t>
    </w:r>
    <w:r w:rsidR="006F4454">
      <w:rPr>
        <w:spacing w:val="-3"/>
      </w:rPr>
      <w:t xml:space="preserve">February </w:t>
    </w:r>
    <w:r w:rsidR="00A966CF">
      <w:rPr>
        <w:spacing w:val="-3"/>
      </w:rPr>
      <w:t>2020</w:t>
    </w:r>
    <w:r>
      <w:rPr>
        <w:spacing w:val="-3"/>
      </w:rPr>
      <w:tab/>
      <w:t xml:space="preserve">Page </w:t>
    </w:r>
    <w:r>
      <w:rPr>
        <w:rStyle w:val="PageNumber"/>
      </w:rPr>
      <w:fldChar w:fldCharType="begin"/>
    </w:r>
    <w:r>
      <w:rPr>
        <w:rStyle w:val="PageNumber"/>
      </w:rPr>
      <w:instrText xml:space="preserve"> PAGE </w:instrText>
    </w:r>
    <w:r>
      <w:rPr>
        <w:rStyle w:val="PageNumber"/>
      </w:rPr>
      <w:fldChar w:fldCharType="separate"/>
    </w:r>
    <w:r w:rsidR="006F4454">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454">
      <w:rPr>
        <w:rStyle w:val="PageNumber"/>
        <w:noProof/>
      </w:rPr>
      <w:t>22</w:t>
    </w:r>
    <w:r>
      <w:rPr>
        <w:rStyle w:val="PageNumber"/>
      </w:rPr>
      <w:fldChar w:fldCharType="end"/>
    </w:r>
  </w:p>
  <w:p w:rsidR="00A056CA">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CA">
    <w:pPr>
      <w:tabs>
        <w:tab w:val="left" w:pos="-720"/>
        <w:tab w:val="left" w:pos="0"/>
        <w:tab w:val="center" w:pos="5220"/>
        <w:tab w:val="right" w:pos="9360"/>
      </w:tabs>
      <w:suppressAutoHyphens/>
      <w:jc w:val="both"/>
      <w:rPr>
        <w:spacing w:val="-3"/>
      </w:rPr>
    </w:pPr>
    <w:r>
      <w:rPr>
        <w:spacing w:val="-3"/>
      </w:rPr>
      <w:t xml:space="preserve">FCC Report 43-01 Table III and </w:t>
    </w:r>
    <w:r>
      <w:rPr>
        <w:spacing w:val="-3"/>
      </w:rPr>
      <w:tab/>
      <w:t xml:space="preserve">                    </w:t>
    </w:r>
    <w:r w:rsidR="006F4454">
      <w:rPr>
        <w:spacing w:val="-3"/>
      </w:rPr>
      <w:t xml:space="preserve">February </w:t>
    </w:r>
    <w:r w:rsidR="00A966CF">
      <w:rPr>
        <w:spacing w:val="-3"/>
      </w:rPr>
      <w:t>2020</w:t>
    </w:r>
    <w:r>
      <w:rPr>
        <w:spacing w:val="-3"/>
      </w:rPr>
      <w:t xml:space="preserve"> </w:t>
    </w:r>
    <w:r>
      <w:rPr>
        <w:spacing w:val="-3"/>
      </w:rPr>
      <w:tab/>
      <w:t xml:space="preserve">Page </w:t>
    </w:r>
    <w:r>
      <w:rPr>
        <w:rStyle w:val="PageNumber"/>
      </w:rPr>
      <w:fldChar w:fldCharType="begin"/>
    </w:r>
    <w:r>
      <w:rPr>
        <w:rStyle w:val="PageNumber"/>
      </w:rPr>
      <w:instrText xml:space="preserve"> PAGE </w:instrText>
    </w:r>
    <w:r>
      <w:rPr>
        <w:rStyle w:val="PageNumber"/>
      </w:rPr>
      <w:fldChar w:fldCharType="separate"/>
    </w:r>
    <w:r w:rsidR="006F4454">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454">
      <w:rPr>
        <w:rStyle w:val="PageNumber"/>
        <w:noProof/>
      </w:rPr>
      <w:t>22</w:t>
    </w:r>
    <w:r>
      <w:rPr>
        <w:rStyle w:val="PageNumber"/>
      </w:rPr>
      <w:fldChar w:fldCharType="end"/>
    </w:r>
    <w:r>
      <w:rPr>
        <w:spacing w:val="-3"/>
      </w:rPr>
      <w:t xml:space="preserve"> </w:t>
    </w:r>
  </w:p>
  <w:p w:rsidR="00A056CA">
    <w:pPr>
      <w:tabs>
        <w:tab w:val="left" w:pos="-720"/>
        <w:tab w:val="left" w:pos="0"/>
        <w:tab w:val="center" w:pos="5220"/>
        <w:tab w:val="right" w:pos="9360"/>
      </w:tabs>
      <w:suppressAutoHyphens/>
      <w:jc w:val="both"/>
      <w:rPr>
        <w:spacing w:val="-3"/>
      </w:rPr>
    </w:pPr>
    <w:r>
      <w:rPr>
        <w:spacing w:val="-3"/>
      </w:rPr>
      <w:t xml:space="preserve">Pole Attachment Data– Report Definition    </w:t>
    </w:r>
  </w:p>
  <w:p w:rsidR="00A056CA">
    <w:pPr>
      <w:tabs>
        <w:tab w:val="left" w:pos="-720"/>
        <w:tab w:val="left" w:pos="0"/>
        <w:tab w:val="center" w:pos="5220"/>
        <w:tab w:val="right" w:pos="9360"/>
      </w:tabs>
      <w:suppressAutoHyphens/>
      <w:jc w:val="both"/>
      <w:rPr>
        <w:spacing w:val="-3"/>
      </w:rPr>
    </w:pPr>
    <w:r>
      <w:rPr>
        <w:spacing w:val="-3"/>
      </w:rPr>
      <w:tab/>
      <w:t xml:space="preserve">      </w:t>
    </w:r>
  </w:p>
  <w:p w:rsidR="00A056C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046B7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E2BE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4E5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F8EC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1EC1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E64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58A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1E2C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60C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0E1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22787"/>
    <w:multiLevelType w:val="hybridMultilevel"/>
    <w:tmpl w:val="5CACC7AA"/>
    <w:lvl w:ilvl="0">
      <w:start w:val="1590"/>
      <w:numFmt w:val="decimal"/>
      <w:lvlText w:val="%1"/>
      <w:lvlJc w:val="left"/>
      <w:pPr>
        <w:tabs>
          <w:tab w:val="num" w:pos="840"/>
        </w:tabs>
        <w:ind w:left="840" w:hanging="48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14242F5"/>
    <w:multiLevelType w:val="hybridMultilevel"/>
    <w:tmpl w:val="3A5EBBD6"/>
    <w:lvl w:ilvl="0">
      <w:start w:val="1595"/>
      <w:numFmt w:val="decimal"/>
      <w:lvlText w:val="%1"/>
      <w:lvlJc w:val="left"/>
      <w:pPr>
        <w:tabs>
          <w:tab w:val="num" w:pos="840"/>
        </w:tabs>
        <w:ind w:left="840" w:hanging="48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1DD4B60"/>
    <w:multiLevelType w:val="hybridMultilevel"/>
    <w:tmpl w:val="CBDC57C6"/>
    <w:lvl w:ilvl="0">
      <w:start w:val="1490"/>
      <w:numFmt w:val="decimal"/>
      <w:lvlText w:val="%1"/>
      <w:lvlJc w:val="left"/>
      <w:pPr>
        <w:tabs>
          <w:tab w:val="num" w:pos="840"/>
        </w:tabs>
        <w:ind w:left="840" w:hanging="48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5A42061"/>
    <w:multiLevelType w:val="hybridMultilevel"/>
    <w:tmpl w:val="B74A0C4C"/>
    <w:lvl w:ilvl="0">
      <w:start w:val="1882"/>
      <w:numFmt w:val="decimal"/>
      <w:lvlText w:val="%1"/>
      <w:lvlJc w:val="left"/>
      <w:pPr>
        <w:tabs>
          <w:tab w:val="num" w:pos="840"/>
        </w:tabs>
        <w:ind w:left="840" w:hanging="48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9C44110"/>
    <w:multiLevelType w:val="singleLevel"/>
    <w:tmpl w:val="B14E8BBE"/>
    <w:lvl w:ilvl="0">
      <w:start w:val="1"/>
      <w:numFmt w:val="decimal"/>
      <w:lvlText w:val="%1."/>
      <w:lvlJc w:val="left"/>
      <w:pPr>
        <w:tabs>
          <w:tab w:val="num" w:pos="1080"/>
        </w:tabs>
        <w:ind w:left="1080" w:hanging="360"/>
      </w:pPr>
      <w:rPr>
        <w:rFonts w:ascii="Times New Roman" w:hAnsi="Times New Roman" w:hint="default"/>
        <w:b w:val="0"/>
        <w:i w:val="0"/>
        <w:sz w:val="24"/>
        <w:u w:val="none"/>
      </w:rPr>
    </w:lvl>
  </w:abstractNum>
  <w:abstractNum w:abstractNumId="15">
    <w:nsid w:val="7EEA1EF4"/>
    <w:multiLevelType w:val="hybridMultilevel"/>
    <w:tmpl w:val="C6729E04"/>
    <w:lvl w:ilvl="0">
      <w:start w:val="1540"/>
      <w:numFmt w:val="decimal"/>
      <w:lvlText w:val="%1"/>
      <w:lvlJc w:val="left"/>
      <w:pPr>
        <w:tabs>
          <w:tab w:val="num" w:pos="840"/>
        </w:tabs>
        <w:ind w:left="840" w:hanging="48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6A"/>
    <w:rsid w:val="000034C1"/>
    <w:rsid w:val="00016DED"/>
    <w:rsid w:val="000175B1"/>
    <w:rsid w:val="00034E1F"/>
    <w:rsid w:val="0005037A"/>
    <w:rsid w:val="00052674"/>
    <w:rsid w:val="00052733"/>
    <w:rsid w:val="00054833"/>
    <w:rsid w:val="00057F2D"/>
    <w:rsid w:val="0006174D"/>
    <w:rsid w:val="0006316A"/>
    <w:rsid w:val="00065B81"/>
    <w:rsid w:val="000677FD"/>
    <w:rsid w:val="000700D3"/>
    <w:rsid w:val="000748C5"/>
    <w:rsid w:val="0008242A"/>
    <w:rsid w:val="000A0DA9"/>
    <w:rsid w:val="000A0DDB"/>
    <w:rsid w:val="000A3506"/>
    <w:rsid w:val="000A5E85"/>
    <w:rsid w:val="000B0A8B"/>
    <w:rsid w:val="000E6D5C"/>
    <w:rsid w:val="000F2ED9"/>
    <w:rsid w:val="000F32E0"/>
    <w:rsid w:val="000F3E2C"/>
    <w:rsid w:val="000F7792"/>
    <w:rsid w:val="00105401"/>
    <w:rsid w:val="00117690"/>
    <w:rsid w:val="00131790"/>
    <w:rsid w:val="00133457"/>
    <w:rsid w:val="00133AAF"/>
    <w:rsid w:val="00137DF9"/>
    <w:rsid w:val="00144104"/>
    <w:rsid w:val="0016037C"/>
    <w:rsid w:val="001629C0"/>
    <w:rsid w:val="00167A8C"/>
    <w:rsid w:val="00170779"/>
    <w:rsid w:val="0017131B"/>
    <w:rsid w:val="00172236"/>
    <w:rsid w:val="00177026"/>
    <w:rsid w:val="001A0FC7"/>
    <w:rsid w:val="001A4946"/>
    <w:rsid w:val="001A5CA7"/>
    <w:rsid w:val="001B12EA"/>
    <w:rsid w:val="001B40DA"/>
    <w:rsid w:val="001B5775"/>
    <w:rsid w:val="001B5C03"/>
    <w:rsid w:val="001B6857"/>
    <w:rsid w:val="001C1427"/>
    <w:rsid w:val="001D32FA"/>
    <w:rsid w:val="001D611E"/>
    <w:rsid w:val="00200756"/>
    <w:rsid w:val="00206FAE"/>
    <w:rsid w:val="00216F2F"/>
    <w:rsid w:val="00224C18"/>
    <w:rsid w:val="0022514D"/>
    <w:rsid w:val="00226C8B"/>
    <w:rsid w:val="0023553A"/>
    <w:rsid w:val="00235F9D"/>
    <w:rsid w:val="0024392E"/>
    <w:rsid w:val="00245EAD"/>
    <w:rsid w:val="00247829"/>
    <w:rsid w:val="00256D54"/>
    <w:rsid w:val="00266726"/>
    <w:rsid w:val="002732A9"/>
    <w:rsid w:val="00276DEE"/>
    <w:rsid w:val="00283A6A"/>
    <w:rsid w:val="002858A5"/>
    <w:rsid w:val="0029015E"/>
    <w:rsid w:val="002973C8"/>
    <w:rsid w:val="002A2A77"/>
    <w:rsid w:val="002A3144"/>
    <w:rsid w:val="002A5D4B"/>
    <w:rsid w:val="002B68E8"/>
    <w:rsid w:val="002C2F1C"/>
    <w:rsid w:val="002D0923"/>
    <w:rsid w:val="002D0976"/>
    <w:rsid w:val="002E42F1"/>
    <w:rsid w:val="002F108C"/>
    <w:rsid w:val="002F480E"/>
    <w:rsid w:val="00302B7B"/>
    <w:rsid w:val="00303B56"/>
    <w:rsid w:val="003229DE"/>
    <w:rsid w:val="0032600F"/>
    <w:rsid w:val="00336970"/>
    <w:rsid w:val="0035465D"/>
    <w:rsid w:val="00365004"/>
    <w:rsid w:val="003711DB"/>
    <w:rsid w:val="00376C44"/>
    <w:rsid w:val="00377BFA"/>
    <w:rsid w:val="003831C2"/>
    <w:rsid w:val="00386757"/>
    <w:rsid w:val="00390DE2"/>
    <w:rsid w:val="003927ED"/>
    <w:rsid w:val="0039531C"/>
    <w:rsid w:val="003A0372"/>
    <w:rsid w:val="003A0B8F"/>
    <w:rsid w:val="003A182B"/>
    <w:rsid w:val="003A1F00"/>
    <w:rsid w:val="003B25C2"/>
    <w:rsid w:val="003E1509"/>
    <w:rsid w:val="003F063A"/>
    <w:rsid w:val="003F6950"/>
    <w:rsid w:val="00401162"/>
    <w:rsid w:val="00411F02"/>
    <w:rsid w:val="00413280"/>
    <w:rsid w:val="0042367B"/>
    <w:rsid w:val="00424641"/>
    <w:rsid w:val="00427789"/>
    <w:rsid w:val="00430E45"/>
    <w:rsid w:val="00433F4F"/>
    <w:rsid w:val="00437257"/>
    <w:rsid w:val="004463AD"/>
    <w:rsid w:val="00456365"/>
    <w:rsid w:val="004755ED"/>
    <w:rsid w:val="0048710E"/>
    <w:rsid w:val="004913B6"/>
    <w:rsid w:val="004914A0"/>
    <w:rsid w:val="00493C68"/>
    <w:rsid w:val="004A6479"/>
    <w:rsid w:val="004C07F0"/>
    <w:rsid w:val="004C5A6C"/>
    <w:rsid w:val="004D1233"/>
    <w:rsid w:val="004D1CB3"/>
    <w:rsid w:val="004D49B1"/>
    <w:rsid w:val="005052B3"/>
    <w:rsid w:val="0051519E"/>
    <w:rsid w:val="005152E1"/>
    <w:rsid w:val="00524AAD"/>
    <w:rsid w:val="005370C6"/>
    <w:rsid w:val="00541377"/>
    <w:rsid w:val="005454AD"/>
    <w:rsid w:val="005512F8"/>
    <w:rsid w:val="005655D3"/>
    <w:rsid w:val="005708E2"/>
    <w:rsid w:val="005829BD"/>
    <w:rsid w:val="00587823"/>
    <w:rsid w:val="005A0C47"/>
    <w:rsid w:val="005B4282"/>
    <w:rsid w:val="005C2061"/>
    <w:rsid w:val="005E4AA9"/>
    <w:rsid w:val="005F11CF"/>
    <w:rsid w:val="005F4B75"/>
    <w:rsid w:val="0062014D"/>
    <w:rsid w:val="0062076E"/>
    <w:rsid w:val="0062280D"/>
    <w:rsid w:val="00624847"/>
    <w:rsid w:val="00632858"/>
    <w:rsid w:val="006338D5"/>
    <w:rsid w:val="00647D15"/>
    <w:rsid w:val="0065374B"/>
    <w:rsid w:val="00657396"/>
    <w:rsid w:val="00662EF9"/>
    <w:rsid w:val="00663A87"/>
    <w:rsid w:val="0066482D"/>
    <w:rsid w:val="006751D4"/>
    <w:rsid w:val="006770FE"/>
    <w:rsid w:val="00680D11"/>
    <w:rsid w:val="00682DD3"/>
    <w:rsid w:val="00686204"/>
    <w:rsid w:val="00692F6F"/>
    <w:rsid w:val="006948BF"/>
    <w:rsid w:val="006950AD"/>
    <w:rsid w:val="006A4BB8"/>
    <w:rsid w:val="006B0EE0"/>
    <w:rsid w:val="006C026E"/>
    <w:rsid w:val="006D12E4"/>
    <w:rsid w:val="006D2387"/>
    <w:rsid w:val="006E6C7C"/>
    <w:rsid w:val="006F4454"/>
    <w:rsid w:val="006F72EA"/>
    <w:rsid w:val="006F7635"/>
    <w:rsid w:val="00713189"/>
    <w:rsid w:val="00720E0B"/>
    <w:rsid w:val="00721A0D"/>
    <w:rsid w:val="007346A6"/>
    <w:rsid w:val="0074718B"/>
    <w:rsid w:val="00752D9F"/>
    <w:rsid w:val="00772490"/>
    <w:rsid w:val="00772831"/>
    <w:rsid w:val="007729F8"/>
    <w:rsid w:val="00795573"/>
    <w:rsid w:val="00795B86"/>
    <w:rsid w:val="007A0EC1"/>
    <w:rsid w:val="007B5B73"/>
    <w:rsid w:val="007C68B4"/>
    <w:rsid w:val="007D1332"/>
    <w:rsid w:val="007D47ED"/>
    <w:rsid w:val="007D5A58"/>
    <w:rsid w:val="007E22D6"/>
    <w:rsid w:val="007E4F13"/>
    <w:rsid w:val="007E7AF1"/>
    <w:rsid w:val="00816493"/>
    <w:rsid w:val="008200D1"/>
    <w:rsid w:val="00831913"/>
    <w:rsid w:val="0083473C"/>
    <w:rsid w:val="00835992"/>
    <w:rsid w:val="0084310A"/>
    <w:rsid w:val="00856A86"/>
    <w:rsid w:val="00870134"/>
    <w:rsid w:val="0087640A"/>
    <w:rsid w:val="00876DEC"/>
    <w:rsid w:val="00877B82"/>
    <w:rsid w:val="00877F3C"/>
    <w:rsid w:val="00894E50"/>
    <w:rsid w:val="00895E1B"/>
    <w:rsid w:val="008A066F"/>
    <w:rsid w:val="008B2EBB"/>
    <w:rsid w:val="008C3A73"/>
    <w:rsid w:val="008C50EF"/>
    <w:rsid w:val="008D3367"/>
    <w:rsid w:val="008D63A2"/>
    <w:rsid w:val="008E74F1"/>
    <w:rsid w:val="0091029F"/>
    <w:rsid w:val="00911602"/>
    <w:rsid w:val="00912F7A"/>
    <w:rsid w:val="00922E1E"/>
    <w:rsid w:val="00933CB8"/>
    <w:rsid w:val="00935874"/>
    <w:rsid w:val="00940581"/>
    <w:rsid w:val="009431B6"/>
    <w:rsid w:val="00946521"/>
    <w:rsid w:val="00956188"/>
    <w:rsid w:val="009567F4"/>
    <w:rsid w:val="00966056"/>
    <w:rsid w:val="00977B84"/>
    <w:rsid w:val="009A5F9E"/>
    <w:rsid w:val="009A7796"/>
    <w:rsid w:val="009A7E9A"/>
    <w:rsid w:val="009D1877"/>
    <w:rsid w:val="009D5E10"/>
    <w:rsid w:val="009E09ED"/>
    <w:rsid w:val="009F2969"/>
    <w:rsid w:val="00A0214D"/>
    <w:rsid w:val="00A04009"/>
    <w:rsid w:val="00A04749"/>
    <w:rsid w:val="00A056CA"/>
    <w:rsid w:val="00A3302F"/>
    <w:rsid w:val="00A40D30"/>
    <w:rsid w:val="00A4374D"/>
    <w:rsid w:val="00A54E00"/>
    <w:rsid w:val="00A54E8B"/>
    <w:rsid w:val="00A576FA"/>
    <w:rsid w:val="00A6036A"/>
    <w:rsid w:val="00A67CF4"/>
    <w:rsid w:val="00A71F00"/>
    <w:rsid w:val="00A730B5"/>
    <w:rsid w:val="00A74B96"/>
    <w:rsid w:val="00A75A0E"/>
    <w:rsid w:val="00A76F11"/>
    <w:rsid w:val="00A966CF"/>
    <w:rsid w:val="00AA13FD"/>
    <w:rsid w:val="00AA2972"/>
    <w:rsid w:val="00AA7395"/>
    <w:rsid w:val="00AB0A5F"/>
    <w:rsid w:val="00AB1B34"/>
    <w:rsid w:val="00AB384A"/>
    <w:rsid w:val="00AD1A42"/>
    <w:rsid w:val="00AD2792"/>
    <w:rsid w:val="00AD3355"/>
    <w:rsid w:val="00AE1007"/>
    <w:rsid w:val="00AE4426"/>
    <w:rsid w:val="00AE70E9"/>
    <w:rsid w:val="00AE7E53"/>
    <w:rsid w:val="00B03971"/>
    <w:rsid w:val="00B075A2"/>
    <w:rsid w:val="00B331F6"/>
    <w:rsid w:val="00B37E5F"/>
    <w:rsid w:val="00B41A63"/>
    <w:rsid w:val="00B46FB6"/>
    <w:rsid w:val="00B63315"/>
    <w:rsid w:val="00B72985"/>
    <w:rsid w:val="00B80600"/>
    <w:rsid w:val="00B84104"/>
    <w:rsid w:val="00B9317E"/>
    <w:rsid w:val="00B93615"/>
    <w:rsid w:val="00B94924"/>
    <w:rsid w:val="00BB2765"/>
    <w:rsid w:val="00BB40B0"/>
    <w:rsid w:val="00BC6489"/>
    <w:rsid w:val="00BD092C"/>
    <w:rsid w:val="00BD2BD2"/>
    <w:rsid w:val="00BD3937"/>
    <w:rsid w:val="00BE7233"/>
    <w:rsid w:val="00BF1013"/>
    <w:rsid w:val="00BF2130"/>
    <w:rsid w:val="00C068F5"/>
    <w:rsid w:val="00C074D9"/>
    <w:rsid w:val="00C10C39"/>
    <w:rsid w:val="00C10C67"/>
    <w:rsid w:val="00C14E2D"/>
    <w:rsid w:val="00C354DE"/>
    <w:rsid w:val="00C37FB5"/>
    <w:rsid w:val="00C41A4E"/>
    <w:rsid w:val="00C4292F"/>
    <w:rsid w:val="00C4348F"/>
    <w:rsid w:val="00C46CE7"/>
    <w:rsid w:val="00C55F52"/>
    <w:rsid w:val="00C61FF6"/>
    <w:rsid w:val="00C63BF0"/>
    <w:rsid w:val="00C64FFB"/>
    <w:rsid w:val="00C66243"/>
    <w:rsid w:val="00C66F75"/>
    <w:rsid w:val="00C852A2"/>
    <w:rsid w:val="00C90325"/>
    <w:rsid w:val="00C91668"/>
    <w:rsid w:val="00CA53D0"/>
    <w:rsid w:val="00CB015C"/>
    <w:rsid w:val="00CB23D6"/>
    <w:rsid w:val="00CB7B44"/>
    <w:rsid w:val="00CC0308"/>
    <w:rsid w:val="00CC71BD"/>
    <w:rsid w:val="00CD5413"/>
    <w:rsid w:val="00CD7601"/>
    <w:rsid w:val="00CE08AE"/>
    <w:rsid w:val="00CE7818"/>
    <w:rsid w:val="00CF4069"/>
    <w:rsid w:val="00CF7239"/>
    <w:rsid w:val="00CF7416"/>
    <w:rsid w:val="00D05541"/>
    <w:rsid w:val="00D0680F"/>
    <w:rsid w:val="00D10DF1"/>
    <w:rsid w:val="00D130F4"/>
    <w:rsid w:val="00D151DF"/>
    <w:rsid w:val="00D1682C"/>
    <w:rsid w:val="00D21A9A"/>
    <w:rsid w:val="00D22DF4"/>
    <w:rsid w:val="00D30349"/>
    <w:rsid w:val="00D3100B"/>
    <w:rsid w:val="00D3683D"/>
    <w:rsid w:val="00D37B7E"/>
    <w:rsid w:val="00D44B94"/>
    <w:rsid w:val="00D51819"/>
    <w:rsid w:val="00D61E0C"/>
    <w:rsid w:val="00D66D20"/>
    <w:rsid w:val="00D71778"/>
    <w:rsid w:val="00D923CB"/>
    <w:rsid w:val="00DB1A7E"/>
    <w:rsid w:val="00DB1AF7"/>
    <w:rsid w:val="00DB6FB0"/>
    <w:rsid w:val="00DC2967"/>
    <w:rsid w:val="00DC46E8"/>
    <w:rsid w:val="00DC5396"/>
    <w:rsid w:val="00DD2824"/>
    <w:rsid w:val="00DE0AAC"/>
    <w:rsid w:val="00DE5691"/>
    <w:rsid w:val="00DF0566"/>
    <w:rsid w:val="00DF2974"/>
    <w:rsid w:val="00DF3595"/>
    <w:rsid w:val="00DF6CBA"/>
    <w:rsid w:val="00E01ACA"/>
    <w:rsid w:val="00E02DFA"/>
    <w:rsid w:val="00E0729B"/>
    <w:rsid w:val="00E138A7"/>
    <w:rsid w:val="00E1796A"/>
    <w:rsid w:val="00E21547"/>
    <w:rsid w:val="00E2227F"/>
    <w:rsid w:val="00E236DC"/>
    <w:rsid w:val="00E27788"/>
    <w:rsid w:val="00E3292D"/>
    <w:rsid w:val="00E34BAE"/>
    <w:rsid w:val="00E414FB"/>
    <w:rsid w:val="00E420DB"/>
    <w:rsid w:val="00E4550F"/>
    <w:rsid w:val="00E61C54"/>
    <w:rsid w:val="00E67D7F"/>
    <w:rsid w:val="00E70B99"/>
    <w:rsid w:val="00E765BB"/>
    <w:rsid w:val="00E909A8"/>
    <w:rsid w:val="00E93627"/>
    <w:rsid w:val="00EA0EB9"/>
    <w:rsid w:val="00EA16DC"/>
    <w:rsid w:val="00EA6A22"/>
    <w:rsid w:val="00EB0ADD"/>
    <w:rsid w:val="00EB6779"/>
    <w:rsid w:val="00EC62AF"/>
    <w:rsid w:val="00ED19A3"/>
    <w:rsid w:val="00EE1CBF"/>
    <w:rsid w:val="00EE400E"/>
    <w:rsid w:val="00F019F4"/>
    <w:rsid w:val="00F05124"/>
    <w:rsid w:val="00F10FBF"/>
    <w:rsid w:val="00F27AB1"/>
    <w:rsid w:val="00F27BB3"/>
    <w:rsid w:val="00F33641"/>
    <w:rsid w:val="00F40E89"/>
    <w:rsid w:val="00F429A5"/>
    <w:rsid w:val="00F52CCB"/>
    <w:rsid w:val="00F62B8B"/>
    <w:rsid w:val="00F64663"/>
    <w:rsid w:val="00F665AA"/>
    <w:rsid w:val="00F812A8"/>
    <w:rsid w:val="00F91822"/>
    <w:rsid w:val="00FA10A2"/>
    <w:rsid w:val="00FB6C52"/>
    <w:rsid w:val="00FB7B89"/>
    <w:rsid w:val="00FD5903"/>
    <w:rsid w:val="00FD717E"/>
    <w:rsid w:val="00FD77FC"/>
    <w:rsid w:val="00FE3B05"/>
    <w:rsid w:val="00FF2FC9"/>
    <w:rsid w:val="00FF3476"/>
    <w:rsid w:val="00FF6B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color w:val="000000"/>
      <w:sz w:val="14"/>
      <w:u w:val="single"/>
    </w:rPr>
  </w:style>
  <w:style w:type="paragraph" w:styleId="Heading2">
    <w:name w:val="heading 2"/>
    <w:basedOn w:val="Normal"/>
    <w:next w:val="Normal"/>
    <w:qFormat/>
    <w:pPr>
      <w:keepNext/>
      <w:outlineLvl w:val="1"/>
    </w:pPr>
    <w:rPr>
      <w:rFonts w:ascii="Arial" w:hAnsi="Arial"/>
      <w:b/>
      <w:color w:val="000000"/>
      <w:sz w:val="12"/>
      <w:u w:val="single"/>
    </w:rPr>
  </w:style>
  <w:style w:type="paragraph" w:styleId="Heading3">
    <w:name w:val="heading 3"/>
    <w:basedOn w:val="Normal"/>
    <w:next w:val="Normal"/>
    <w:qFormat/>
    <w:pPr>
      <w:keepNext/>
      <w:outlineLvl w:val="2"/>
    </w:pPr>
    <w:rPr>
      <w:rFonts w:ascii="Arial" w:hAnsi="Arial"/>
      <w:b/>
      <w:color w:val="000000"/>
      <w:sz w:val="14"/>
      <w:u w:val="single"/>
    </w:rPr>
  </w:style>
  <w:style w:type="paragraph" w:styleId="Heading4">
    <w:name w:val="heading 4"/>
    <w:basedOn w:val="Normal"/>
    <w:next w:val="Normal"/>
    <w:qFormat/>
    <w:rsid w:val="001D32FA"/>
    <w:pPr>
      <w:keepNext/>
      <w:spacing w:before="240" w:after="60"/>
      <w:outlineLvl w:val="3"/>
    </w:pPr>
    <w:rPr>
      <w:b/>
      <w:bCs/>
      <w:sz w:val="28"/>
      <w:szCs w:val="28"/>
    </w:rPr>
  </w:style>
  <w:style w:type="paragraph" w:styleId="Heading5">
    <w:name w:val="heading 5"/>
    <w:basedOn w:val="Normal"/>
    <w:next w:val="Normal"/>
    <w:qFormat/>
    <w:rsid w:val="001D32FA"/>
    <w:pPr>
      <w:spacing w:before="240" w:after="60"/>
      <w:outlineLvl w:val="4"/>
    </w:pPr>
    <w:rPr>
      <w:b/>
      <w:bCs/>
      <w:i/>
      <w:iCs/>
      <w:sz w:val="26"/>
      <w:szCs w:val="26"/>
    </w:rPr>
  </w:style>
  <w:style w:type="paragraph" w:styleId="Heading6">
    <w:name w:val="heading 6"/>
    <w:basedOn w:val="Normal"/>
    <w:next w:val="Normal"/>
    <w:qFormat/>
    <w:rsid w:val="001D32FA"/>
    <w:pPr>
      <w:spacing w:before="240" w:after="60"/>
      <w:outlineLvl w:val="5"/>
    </w:pPr>
    <w:rPr>
      <w:b/>
      <w:bCs/>
      <w:sz w:val="22"/>
      <w:szCs w:val="22"/>
    </w:rPr>
  </w:style>
  <w:style w:type="paragraph" w:styleId="Heading7">
    <w:name w:val="heading 7"/>
    <w:basedOn w:val="Normal"/>
    <w:next w:val="Normal"/>
    <w:qFormat/>
    <w:rsid w:val="001D32FA"/>
    <w:pPr>
      <w:spacing w:before="240" w:after="60"/>
      <w:outlineLvl w:val="6"/>
    </w:pPr>
    <w:rPr>
      <w:szCs w:val="24"/>
    </w:rPr>
  </w:style>
  <w:style w:type="paragraph" w:styleId="Heading8">
    <w:name w:val="heading 8"/>
    <w:basedOn w:val="Normal"/>
    <w:next w:val="Normal"/>
    <w:qFormat/>
    <w:rsid w:val="001D32FA"/>
    <w:pPr>
      <w:spacing w:before="240" w:after="60"/>
      <w:outlineLvl w:val="7"/>
    </w:pPr>
    <w:rPr>
      <w:i/>
      <w:iCs/>
      <w:szCs w:val="24"/>
    </w:rPr>
  </w:style>
  <w:style w:type="paragraph" w:styleId="Heading9">
    <w:name w:val="heading 9"/>
    <w:basedOn w:val="Normal"/>
    <w:next w:val="Normal"/>
    <w:qFormat/>
    <w:rsid w:val="001D32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Times New Roman" w:hAnsi="Times New Roman"/>
      <w:noProof w:val="0"/>
      <w:sz w:val="19"/>
      <w:lang w:val="en-US"/>
    </w:rPr>
  </w:style>
  <w:style w:type="character" w:customStyle="1" w:styleId="HIGHLIGHT1">
    <w:name w:val="HIGHLIGHT 1"/>
    <w:rPr>
      <w:rFonts w:ascii="Times New Roman" w:hAnsi="Times New Roman"/>
      <w:b/>
      <w:i/>
      <w:noProof w:val="0"/>
      <w:sz w:val="24"/>
      <w:lang w:val="en-US"/>
    </w:rPr>
  </w:style>
  <w:style w:type="character" w:customStyle="1" w:styleId="Header1">
    <w:name w:val="Header1"/>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Footer1">
    <w:name w:val="Footer1"/>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1">
    <w:name w:val="Heading 31"/>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1">
    <w:name w:val="Normal1"/>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MACNormal">
    <w:name w:val="MACNormal"/>
    <w:rPr>
      <w:rFonts w:ascii="Times New Roman" w:hAnsi="Times New Roman"/>
      <w:noProof w:val="0"/>
      <w:sz w:val="24"/>
      <w:lang w:val="en-US"/>
    </w:rPr>
  </w:style>
  <w:style w:type="character" w:customStyle="1" w:styleId="1">
    <w:name w:val="1"/>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character" w:customStyle="1" w:styleId="footnotetex">
    <w:name w:val="footnote tex"/>
    <w:rPr>
      <w:rFonts w:ascii="Times New Roman" w:hAnsi="Times New Roman"/>
      <w:noProof w:val="0"/>
      <w:sz w:val="24"/>
      <w:lang w:val="en-US"/>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10">
    <w:name w:val="110"/>
    <w:aliases w:val="2,3"/>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rPr>
      <w:rFonts w:ascii="Times New Roman" w:hAnsi="Times New Roman"/>
      <w:noProof w:val="0"/>
      <w:sz w:val="24"/>
      <w:lang w:val="en-US"/>
    </w:rPr>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rPr>
      <w:rFonts w:ascii="Times New Roman" w:hAnsi="Times New Roman"/>
      <w:noProof w:val="0"/>
      <w:sz w:val="24"/>
      <w:lang w:val="en-US"/>
    </w:rPr>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9">
    <w:name w:val="19"/>
    <w:basedOn w:val="DefaultParagraphFont"/>
  </w:style>
  <w:style w:type="character" w:customStyle="1" w:styleId="20a">
    <w:name w:val="20a"/>
    <w:rPr>
      <w:rFonts w:ascii="Times New Roman" w:hAnsi="Times New Roman"/>
      <w:noProof w:val="0"/>
      <w:sz w:val="24"/>
      <w:lang w:val="en-US"/>
    </w:rPr>
  </w:style>
  <w:style w:type="character" w:customStyle="1" w:styleId="21a">
    <w:name w:val="21a"/>
    <w:rPr>
      <w:rFonts w:ascii="Times New Roman" w:hAnsi="Times New Roman"/>
      <w:noProof w:val="0"/>
      <w:sz w:val="24"/>
      <w:lang w:val="en-US"/>
    </w:rPr>
  </w:style>
  <w:style w:type="character" w:customStyle="1" w:styleId="22a">
    <w:name w:val="22a"/>
    <w:basedOn w:val="DefaultParagraphFont"/>
  </w:style>
  <w:style w:type="character" w:customStyle="1" w:styleId="23a">
    <w:name w:val="23a"/>
    <w:rPr>
      <w:rFonts w:ascii="Times New Roman" w:hAnsi="Times New Roman"/>
      <w:noProof w:val="0"/>
      <w:sz w:val="24"/>
      <w:lang w:val="en-US"/>
    </w:rPr>
  </w:style>
  <w:style w:type="character" w:customStyle="1" w:styleId="24a">
    <w:name w:val="24a"/>
    <w:basedOn w:val="DefaultParagraphFont"/>
  </w:style>
  <w:style w:type="character" w:customStyle="1" w:styleId="25a">
    <w:name w:val="25a"/>
    <w:basedOn w:val="DefaultParagraphFont"/>
  </w:style>
  <w:style w:type="character" w:customStyle="1" w:styleId="FormatDownl">
    <w:name w:val="Format Downl"/>
    <w:rPr>
      <w:rFonts w:ascii="Courier New" w:hAnsi="Courier New"/>
      <w:noProof w:val="0"/>
      <w:sz w:val="20"/>
      <w:lang w:val="en-US"/>
    </w:rPr>
  </w:style>
  <w:style w:type="paragraph" w:styleId="BodyTextIndent">
    <w:name w:val="Body Text Indent"/>
    <w:basedOn w:val="Normal"/>
    <w:pPr>
      <w:tabs>
        <w:tab w:val="left" w:pos="-720"/>
        <w:tab w:val="left" w:pos="0"/>
        <w:tab w:val="left" w:pos="720"/>
      </w:tabs>
      <w:suppressAutoHyphens/>
      <w:ind w:left="1440" w:hanging="1440"/>
      <w:jc w:val="both"/>
    </w:pPr>
    <w:rPr>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
        <w:tab w:val="left" w:pos="720"/>
        <w:tab w:val="left" w:pos="2610"/>
        <w:tab w:val="left" w:pos="4590"/>
        <w:tab w:val="left" w:pos="6030"/>
      </w:tabs>
      <w:suppressAutoHyphens/>
      <w:spacing w:line="360" w:lineRule="auto"/>
      <w:ind w:left="6030" w:hanging="5850"/>
    </w:pPr>
    <w:rPr>
      <w:sz w:val="16"/>
    </w:rPr>
  </w:style>
  <w:style w:type="paragraph" w:styleId="BodyTextIndent3">
    <w:name w:val="Body Text Indent 3"/>
    <w:basedOn w:val="Normal"/>
    <w:pPr>
      <w:tabs>
        <w:tab w:val="left" w:pos="144"/>
        <w:tab w:val="left" w:pos="720"/>
        <w:tab w:val="left" w:pos="2610"/>
        <w:tab w:val="left" w:pos="4590"/>
        <w:tab w:val="left" w:pos="6030"/>
      </w:tabs>
      <w:suppressAutoHyphens/>
      <w:spacing w:line="360" w:lineRule="auto"/>
      <w:ind w:left="6030" w:hanging="2610"/>
    </w:pPr>
    <w:rPr>
      <w:sz w:val="16"/>
    </w:rPr>
  </w:style>
  <w:style w:type="paragraph" w:styleId="BodyText">
    <w:name w:val="Body Text"/>
    <w:basedOn w:val="Normal"/>
    <w:pPr>
      <w:tabs>
        <w:tab w:val="left" w:pos="90"/>
        <w:tab w:val="left" w:pos="180"/>
        <w:tab w:val="left" w:pos="810"/>
        <w:tab w:val="left" w:pos="4860"/>
        <w:tab w:val="left" w:pos="6030"/>
      </w:tabs>
      <w:suppressAutoHyphens/>
      <w:spacing w:line="360" w:lineRule="auto"/>
      <w:ind w:right="-90"/>
    </w:pPr>
    <w:rPr>
      <w:sz w:val="16"/>
    </w:rPr>
  </w:style>
  <w:style w:type="paragraph" w:styleId="BlockText">
    <w:name w:val="Block Text"/>
    <w:basedOn w:val="Normal"/>
    <w:pPr>
      <w:tabs>
        <w:tab w:val="left" w:pos="144"/>
        <w:tab w:val="left" w:pos="720"/>
        <w:tab w:val="left" w:pos="2880"/>
        <w:tab w:val="left" w:pos="4592"/>
        <w:tab w:val="left" w:pos="6048"/>
      </w:tabs>
      <w:suppressAutoHyphens/>
      <w:spacing w:line="360" w:lineRule="auto"/>
      <w:ind w:left="6191" w:right="-173" w:hanging="144"/>
    </w:pPr>
    <w:rPr>
      <w:rFonts w:ascii="Courier" w:hAnsi="Courier"/>
      <w:sz w:val="1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F7416"/>
    <w:rPr>
      <w:rFonts w:ascii="Tahoma" w:hAnsi="Tahoma" w:cs="Tahoma"/>
      <w:sz w:val="16"/>
      <w:szCs w:val="16"/>
    </w:rPr>
  </w:style>
  <w:style w:type="paragraph" w:styleId="BodyText2">
    <w:name w:val="Body Text 2"/>
    <w:basedOn w:val="Normal"/>
    <w:rsid w:val="001D32FA"/>
    <w:pPr>
      <w:spacing w:after="120" w:line="480" w:lineRule="auto"/>
    </w:pPr>
  </w:style>
  <w:style w:type="paragraph" w:styleId="BodyText3">
    <w:name w:val="Body Text 3"/>
    <w:basedOn w:val="Normal"/>
    <w:rsid w:val="001D32FA"/>
    <w:pPr>
      <w:spacing w:after="120"/>
    </w:pPr>
    <w:rPr>
      <w:sz w:val="16"/>
      <w:szCs w:val="16"/>
    </w:rPr>
  </w:style>
  <w:style w:type="paragraph" w:styleId="BodyTextFirstIndent">
    <w:name w:val="Body Text First Indent"/>
    <w:basedOn w:val="BodyText"/>
    <w:rsid w:val="001D32FA"/>
    <w:pPr>
      <w:tabs>
        <w:tab w:val="clear" w:pos="90"/>
        <w:tab w:val="clear" w:pos="180"/>
        <w:tab w:val="clear" w:pos="810"/>
        <w:tab w:val="clear" w:pos="4860"/>
        <w:tab w:val="clear" w:pos="6030"/>
      </w:tabs>
      <w:suppressAutoHyphens w:val="0"/>
      <w:spacing w:after="120" w:line="240" w:lineRule="auto"/>
      <w:ind w:right="0" w:firstLine="210"/>
    </w:pPr>
    <w:rPr>
      <w:sz w:val="24"/>
    </w:rPr>
  </w:style>
  <w:style w:type="paragraph" w:styleId="BodyTextFirstIndent2">
    <w:name w:val="Body Text First Indent 2"/>
    <w:basedOn w:val="BodyTextIndent"/>
    <w:rsid w:val="001D32FA"/>
    <w:pPr>
      <w:tabs>
        <w:tab w:val="clear" w:pos="-720"/>
        <w:tab w:val="clear" w:pos="0"/>
        <w:tab w:val="clear" w:pos="720"/>
      </w:tabs>
      <w:suppressAutoHyphens w:val="0"/>
      <w:spacing w:after="120"/>
      <w:ind w:left="360" w:firstLine="210"/>
      <w:jc w:val="left"/>
    </w:pPr>
    <w:rPr>
      <w:spacing w:val="0"/>
    </w:rPr>
  </w:style>
  <w:style w:type="paragraph" w:styleId="Closing">
    <w:name w:val="Closing"/>
    <w:basedOn w:val="Normal"/>
    <w:rsid w:val="001D32FA"/>
    <w:pPr>
      <w:ind w:left="4320"/>
    </w:pPr>
  </w:style>
  <w:style w:type="paragraph" w:styleId="CommentText">
    <w:name w:val="annotation text"/>
    <w:basedOn w:val="Normal"/>
    <w:link w:val="CommentTextChar"/>
    <w:uiPriority w:val="99"/>
    <w:rsid w:val="001D32FA"/>
    <w:rPr>
      <w:sz w:val="20"/>
    </w:rPr>
  </w:style>
  <w:style w:type="paragraph" w:styleId="CommentSubject">
    <w:name w:val="annotation subject"/>
    <w:basedOn w:val="CommentText"/>
    <w:next w:val="CommentText"/>
    <w:semiHidden/>
    <w:rsid w:val="001D32FA"/>
    <w:rPr>
      <w:b/>
      <w:bCs/>
    </w:rPr>
  </w:style>
  <w:style w:type="paragraph" w:styleId="Date">
    <w:name w:val="Date"/>
    <w:basedOn w:val="Normal"/>
    <w:next w:val="Normal"/>
    <w:rsid w:val="001D32FA"/>
  </w:style>
  <w:style w:type="paragraph" w:styleId="E-mailSignature">
    <w:name w:val="E-mail Signature"/>
    <w:basedOn w:val="Normal"/>
    <w:rsid w:val="001D32FA"/>
  </w:style>
  <w:style w:type="paragraph" w:styleId="EnvelopeAddress">
    <w:name w:val="envelope address"/>
    <w:basedOn w:val="Normal"/>
    <w:rsid w:val="001D32F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D32FA"/>
    <w:rPr>
      <w:rFonts w:ascii="Arial" w:hAnsi="Arial" w:cs="Arial"/>
      <w:sz w:val="20"/>
    </w:rPr>
  </w:style>
  <w:style w:type="paragraph" w:styleId="HTMLAddress">
    <w:name w:val="HTML Address"/>
    <w:basedOn w:val="Normal"/>
    <w:rsid w:val="001D32FA"/>
    <w:rPr>
      <w:i/>
      <w:iCs/>
    </w:rPr>
  </w:style>
  <w:style w:type="paragraph" w:styleId="HTMLPreformatted">
    <w:name w:val="HTML Preformatted"/>
    <w:basedOn w:val="Normal"/>
    <w:rsid w:val="001D32FA"/>
    <w:rPr>
      <w:rFonts w:ascii="Courier New" w:hAnsi="Courier New" w:cs="Courier New"/>
      <w:sz w:val="20"/>
    </w:rPr>
  </w:style>
  <w:style w:type="paragraph" w:styleId="Index3">
    <w:name w:val="index 3"/>
    <w:basedOn w:val="Normal"/>
    <w:next w:val="Normal"/>
    <w:autoRedefine/>
    <w:semiHidden/>
    <w:rsid w:val="001D32FA"/>
    <w:pPr>
      <w:ind w:left="720" w:hanging="240"/>
    </w:pPr>
  </w:style>
  <w:style w:type="paragraph" w:styleId="Index4">
    <w:name w:val="index 4"/>
    <w:basedOn w:val="Normal"/>
    <w:next w:val="Normal"/>
    <w:autoRedefine/>
    <w:semiHidden/>
    <w:rsid w:val="001D32FA"/>
    <w:pPr>
      <w:ind w:left="960" w:hanging="240"/>
    </w:pPr>
  </w:style>
  <w:style w:type="paragraph" w:styleId="Index5">
    <w:name w:val="index 5"/>
    <w:basedOn w:val="Normal"/>
    <w:next w:val="Normal"/>
    <w:autoRedefine/>
    <w:semiHidden/>
    <w:rsid w:val="001D32FA"/>
    <w:pPr>
      <w:ind w:left="1200" w:hanging="240"/>
    </w:pPr>
  </w:style>
  <w:style w:type="paragraph" w:styleId="Index6">
    <w:name w:val="index 6"/>
    <w:basedOn w:val="Normal"/>
    <w:next w:val="Normal"/>
    <w:autoRedefine/>
    <w:semiHidden/>
    <w:rsid w:val="001D32FA"/>
    <w:pPr>
      <w:ind w:left="1440" w:hanging="240"/>
    </w:pPr>
  </w:style>
  <w:style w:type="paragraph" w:styleId="Index7">
    <w:name w:val="index 7"/>
    <w:basedOn w:val="Normal"/>
    <w:next w:val="Normal"/>
    <w:autoRedefine/>
    <w:semiHidden/>
    <w:rsid w:val="001D32FA"/>
    <w:pPr>
      <w:ind w:left="1680" w:hanging="240"/>
    </w:pPr>
  </w:style>
  <w:style w:type="paragraph" w:styleId="Index8">
    <w:name w:val="index 8"/>
    <w:basedOn w:val="Normal"/>
    <w:next w:val="Normal"/>
    <w:autoRedefine/>
    <w:semiHidden/>
    <w:rsid w:val="001D32FA"/>
    <w:pPr>
      <w:ind w:left="1920" w:hanging="240"/>
    </w:pPr>
  </w:style>
  <w:style w:type="paragraph" w:styleId="Index9">
    <w:name w:val="index 9"/>
    <w:basedOn w:val="Normal"/>
    <w:next w:val="Normal"/>
    <w:autoRedefine/>
    <w:semiHidden/>
    <w:rsid w:val="001D32FA"/>
    <w:pPr>
      <w:ind w:left="2160" w:hanging="240"/>
    </w:pPr>
  </w:style>
  <w:style w:type="paragraph" w:styleId="IndexHeading">
    <w:name w:val="index heading"/>
    <w:basedOn w:val="Normal"/>
    <w:next w:val="Index1"/>
    <w:semiHidden/>
    <w:rsid w:val="001D32FA"/>
    <w:rPr>
      <w:rFonts w:ascii="Arial" w:hAnsi="Arial" w:cs="Arial"/>
      <w:b/>
      <w:bCs/>
    </w:rPr>
  </w:style>
  <w:style w:type="paragraph" w:styleId="List">
    <w:name w:val="List"/>
    <w:basedOn w:val="Normal"/>
    <w:rsid w:val="001D32FA"/>
    <w:pPr>
      <w:ind w:left="360" w:hanging="360"/>
    </w:pPr>
  </w:style>
  <w:style w:type="paragraph" w:styleId="List2">
    <w:name w:val="List 2"/>
    <w:basedOn w:val="Normal"/>
    <w:rsid w:val="001D32FA"/>
    <w:pPr>
      <w:ind w:left="720" w:hanging="360"/>
    </w:pPr>
  </w:style>
  <w:style w:type="paragraph" w:styleId="List3">
    <w:name w:val="List 3"/>
    <w:basedOn w:val="Normal"/>
    <w:rsid w:val="001D32FA"/>
    <w:pPr>
      <w:ind w:left="1080" w:hanging="360"/>
    </w:pPr>
  </w:style>
  <w:style w:type="paragraph" w:styleId="List4">
    <w:name w:val="List 4"/>
    <w:basedOn w:val="Normal"/>
    <w:rsid w:val="001D32FA"/>
    <w:pPr>
      <w:ind w:left="1440" w:hanging="360"/>
    </w:pPr>
  </w:style>
  <w:style w:type="paragraph" w:styleId="List5">
    <w:name w:val="List 5"/>
    <w:basedOn w:val="Normal"/>
    <w:rsid w:val="001D32FA"/>
    <w:pPr>
      <w:ind w:left="1800" w:hanging="360"/>
    </w:pPr>
  </w:style>
  <w:style w:type="paragraph" w:styleId="ListBullet">
    <w:name w:val="List Bullet"/>
    <w:basedOn w:val="Normal"/>
    <w:autoRedefine/>
    <w:rsid w:val="001D32FA"/>
    <w:pPr>
      <w:numPr>
        <w:numId w:val="5"/>
      </w:numPr>
    </w:pPr>
  </w:style>
  <w:style w:type="paragraph" w:styleId="ListBullet2">
    <w:name w:val="List Bullet 2"/>
    <w:basedOn w:val="Normal"/>
    <w:autoRedefine/>
    <w:rsid w:val="001D32FA"/>
    <w:pPr>
      <w:numPr>
        <w:numId w:val="6"/>
      </w:numPr>
    </w:pPr>
  </w:style>
  <w:style w:type="paragraph" w:styleId="ListBullet3">
    <w:name w:val="List Bullet 3"/>
    <w:basedOn w:val="Normal"/>
    <w:autoRedefine/>
    <w:rsid w:val="001D32FA"/>
    <w:pPr>
      <w:numPr>
        <w:numId w:val="7"/>
      </w:numPr>
    </w:pPr>
  </w:style>
  <w:style w:type="paragraph" w:styleId="ListBullet4">
    <w:name w:val="List Bullet 4"/>
    <w:basedOn w:val="Normal"/>
    <w:autoRedefine/>
    <w:rsid w:val="001D32FA"/>
    <w:pPr>
      <w:numPr>
        <w:numId w:val="8"/>
      </w:numPr>
    </w:pPr>
  </w:style>
  <w:style w:type="paragraph" w:styleId="ListBullet5">
    <w:name w:val="List Bullet 5"/>
    <w:basedOn w:val="Normal"/>
    <w:autoRedefine/>
    <w:rsid w:val="001D32FA"/>
    <w:pPr>
      <w:numPr>
        <w:numId w:val="9"/>
      </w:numPr>
    </w:pPr>
  </w:style>
  <w:style w:type="paragraph" w:styleId="ListContinue">
    <w:name w:val="List Continue"/>
    <w:basedOn w:val="Normal"/>
    <w:rsid w:val="001D32FA"/>
    <w:pPr>
      <w:spacing w:after="120"/>
      <w:ind w:left="360"/>
    </w:pPr>
  </w:style>
  <w:style w:type="paragraph" w:styleId="ListContinue2">
    <w:name w:val="List Continue 2"/>
    <w:basedOn w:val="Normal"/>
    <w:rsid w:val="001D32FA"/>
    <w:pPr>
      <w:spacing w:after="120"/>
      <w:ind w:left="720"/>
    </w:pPr>
  </w:style>
  <w:style w:type="paragraph" w:styleId="ListContinue3">
    <w:name w:val="List Continue 3"/>
    <w:basedOn w:val="Normal"/>
    <w:rsid w:val="001D32FA"/>
    <w:pPr>
      <w:spacing w:after="120"/>
      <w:ind w:left="1080"/>
    </w:pPr>
  </w:style>
  <w:style w:type="paragraph" w:styleId="ListContinue4">
    <w:name w:val="List Continue 4"/>
    <w:basedOn w:val="Normal"/>
    <w:rsid w:val="001D32FA"/>
    <w:pPr>
      <w:spacing w:after="120"/>
      <w:ind w:left="1440"/>
    </w:pPr>
  </w:style>
  <w:style w:type="paragraph" w:styleId="ListContinue5">
    <w:name w:val="List Continue 5"/>
    <w:basedOn w:val="Normal"/>
    <w:rsid w:val="001D32FA"/>
    <w:pPr>
      <w:spacing w:after="120"/>
      <w:ind w:left="1800"/>
    </w:pPr>
  </w:style>
  <w:style w:type="paragraph" w:styleId="ListNumber">
    <w:name w:val="List Number"/>
    <w:basedOn w:val="Normal"/>
    <w:rsid w:val="001D32FA"/>
    <w:pPr>
      <w:numPr>
        <w:numId w:val="10"/>
      </w:numPr>
    </w:pPr>
  </w:style>
  <w:style w:type="paragraph" w:styleId="ListNumber2">
    <w:name w:val="List Number 2"/>
    <w:basedOn w:val="Normal"/>
    <w:rsid w:val="001D32FA"/>
    <w:pPr>
      <w:numPr>
        <w:numId w:val="11"/>
      </w:numPr>
    </w:pPr>
  </w:style>
  <w:style w:type="paragraph" w:styleId="ListNumber3">
    <w:name w:val="List Number 3"/>
    <w:basedOn w:val="Normal"/>
    <w:rsid w:val="001D32FA"/>
    <w:pPr>
      <w:numPr>
        <w:numId w:val="12"/>
      </w:numPr>
    </w:pPr>
  </w:style>
  <w:style w:type="paragraph" w:styleId="ListNumber4">
    <w:name w:val="List Number 4"/>
    <w:basedOn w:val="Normal"/>
    <w:rsid w:val="001D32FA"/>
    <w:pPr>
      <w:numPr>
        <w:numId w:val="13"/>
      </w:numPr>
    </w:pPr>
  </w:style>
  <w:style w:type="paragraph" w:styleId="ListNumber5">
    <w:name w:val="List Number 5"/>
    <w:basedOn w:val="Normal"/>
    <w:rsid w:val="001D32FA"/>
    <w:pPr>
      <w:numPr>
        <w:numId w:val="14"/>
      </w:numPr>
    </w:pPr>
  </w:style>
  <w:style w:type="paragraph" w:styleId="Macro">
    <w:name w:val="macro"/>
    <w:semiHidden/>
    <w:rsid w:val="001D32F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1D32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1D32FA"/>
    <w:rPr>
      <w:szCs w:val="24"/>
    </w:rPr>
  </w:style>
  <w:style w:type="paragraph" w:styleId="NormalIndent">
    <w:name w:val="Normal Indent"/>
    <w:basedOn w:val="Normal"/>
    <w:rsid w:val="001D32FA"/>
    <w:pPr>
      <w:ind w:left="720"/>
    </w:pPr>
  </w:style>
  <w:style w:type="paragraph" w:styleId="NoteHeading">
    <w:name w:val="Note Heading"/>
    <w:basedOn w:val="Normal"/>
    <w:next w:val="Normal"/>
    <w:rsid w:val="001D32FA"/>
  </w:style>
  <w:style w:type="paragraph" w:styleId="PlainText">
    <w:name w:val="Plain Text"/>
    <w:basedOn w:val="Normal"/>
    <w:rsid w:val="001D32FA"/>
    <w:rPr>
      <w:rFonts w:ascii="Courier New" w:hAnsi="Courier New" w:cs="Courier New"/>
      <w:sz w:val="20"/>
    </w:rPr>
  </w:style>
  <w:style w:type="paragraph" w:styleId="Salutation">
    <w:name w:val="Salutation"/>
    <w:basedOn w:val="Normal"/>
    <w:next w:val="Normal"/>
    <w:rsid w:val="001D32FA"/>
  </w:style>
  <w:style w:type="paragraph" w:styleId="Signature">
    <w:name w:val="Signature"/>
    <w:basedOn w:val="Normal"/>
    <w:rsid w:val="001D32FA"/>
    <w:pPr>
      <w:ind w:left="4320"/>
    </w:pPr>
  </w:style>
  <w:style w:type="paragraph" w:styleId="Subtitle">
    <w:name w:val="Subtitle"/>
    <w:basedOn w:val="Normal"/>
    <w:qFormat/>
    <w:rsid w:val="001D32FA"/>
    <w:pPr>
      <w:spacing w:after="60"/>
      <w:jc w:val="center"/>
      <w:outlineLvl w:val="1"/>
    </w:pPr>
    <w:rPr>
      <w:rFonts w:ascii="Arial" w:hAnsi="Arial" w:cs="Arial"/>
      <w:szCs w:val="24"/>
    </w:rPr>
  </w:style>
  <w:style w:type="paragraph" w:styleId="TableofAuthorities">
    <w:name w:val="table of authorities"/>
    <w:basedOn w:val="Normal"/>
    <w:next w:val="Normal"/>
    <w:semiHidden/>
    <w:rsid w:val="001D32FA"/>
    <w:pPr>
      <w:ind w:left="240" w:hanging="240"/>
    </w:pPr>
  </w:style>
  <w:style w:type="paragraph" w:styleId="TableofFigures">
    <w:name w:val="table of figures"/>
    <w:basedOn w:val="Normal"/>
    <w:next w:val="Normal"/>
    <w:semiHidden/>
    <w:rsid w:val="001D32FA"/>
    <w:pPr>
      <w:ind w:left="480" w:hanging="480"/>
    </w:pPr>
  </w:style>
  <w:style w:type="paragraph" w:styleId="Title">
    <w:name w:val="Title"/>
    <w:basedOn w:val="Normal"/>
    <w:qFormat/>
    <w:rsid w:val="001D32FA"/>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uiPriority w:val="99"/>
    <w:rsid w:val="00524AAD"/>
    <w:rPr>
      <w:sz w:val="16"/>
      <w:szCs w:val="16"/>
    </w:rPr>
  </w:style>
  <w:style w:type="character" w:customStyle="1" w:styleId="CommentTextChar">
    <w:name w:val="Comment Text Char"/>
    <w:basedOn w:val="DefaultParagraphFont"/>
    <w:link w:val="CommentText"/>
    <w:uiPriority w:val="99"/>
    <w:rsid w:val="00663A87"/>
    <w:rPr>
      <w:snapToGrid w:val="0"/>
    </w:rPr>
  </w:style>
  <w:style w:type="character" w:styleId="Hyperlink">
    <w:name w:val="Hyperlink"/>
    <w:rsid w:val="00AB1B34"/>
    <w:rPr>
      <w:color w:val="0000FF"/>
      <w:u w:val="single"/>
    </w:rPr>
  </w:style>
  <w:style w:type="character" w:styleId="FollowedHyperlink">
    <w:name w:val="FollowedHyperlink"/>
    <w:basedOn w:val="DefaultParagraphFont"/>
    <w:semiHidden/>
    <w:unhideWhenUsed/>
    <w:rsid w:val="00933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56094A1.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