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3538A591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100F774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2461579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D22055E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2D34B41A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59EE11D3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1D2EB754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243BC5AB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241AF4C9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392D7752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20475663" w14:textId="7777777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040127">
              <w:rPr>
                <w:b/>
                <w:bCs/>
                <w:sz w:val="26"/>
                <w:szCs w:val="26"/>
              </w:rPr>
              <w:t xml:space="preserve">ANNOUNCES </w:t>
            </w:r>
            <w:r w:rsidR="0006797E">
              <w:rPr>
                <w:b/>
                <w:bCs/>
                <w:sz w:val="26"/>
                <w:szCs w:val="26"/>
              </w:rPr>
              <w:t>$31 MILLION RURAL HEALTH CARE PROGRAM SETTLEMENT WITH TELEQUALITY COMMUNICATIONS</w:t>
            </w:r>
          </w:p>
          <w:p w:rsidR="00467D3C" w:rsidP="0037467D" w14:paraId="5634F2B9" w14:textId="23488FEB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Investigation Found Competitive Bidding </w:t>
            </w:r>
            <w:r w:rsidR="007E323F">
              <w:rPr>
                <w:b/>
                <w:bCs/>
                <w:i/>
              </w:rPr>
              <w:t xml:space="preserve">and Rate </w:t>
            </w:r>
            <w:r>
              <w:rPr>
                <w:b/>
                <w:bCs/>
                <w:i/>
              </w:rPr>
              <w:t>Violations</w:t>
            </w:r>
            <w:r w:rsidR="00C4476D">
              <w:rPr>
                <w:b/>
                <w:bCs/>
                <w:i/>
              </w:rPr>
              <w:t>,</w:t>
            </w:r>
          </w:p>
          <w:p w:rsidR="00F61155" w:rsidRPr="0037467D" w:rsidP="0037467D" w14:paraId="3B983650" w14:textId="55246CA6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Including Fabricated Sales Quotes</w:t>
            </w:r>
          </w:p>
          <w:p w:rsidR="0037467D" w:rsidRPr="002C3AB8" w:rsidP="002E165B" w14:paraId="7CD1F052" w14:textId="77777777">
            <w:pPr>
              <w:rPr>
                <w:sz w:val="28"/>
                <w:szCs w:val="28"/>
              </w:rPr>
            </w:pPr>
          </w:p>
          <w:p w:rsidR="00BD19E8" w:rsidP="002E165B" w14:paraId="59686684" w14:textId="62B7BD98">
            <w:pPr>
              <w:rPr>
                <w:sz w:val="22"/>
                <w:szCs w:val="22"/>
              </w:rPr>
            </w:pPr>
            <w:r w:rsidRPr="00D170A2">
              <w:rPr>
                <w:sz w:val="22"/>
                <w:szCs w:val="22"/>
              </w:rPr>
              <w:t xml:space="preserve">WASHINGTON, </w:t>
            </w:r>
            <w:r w:rsidR="00702B7E">
              <w:rPr>
                <w:sz w:val="22"/>
                <w:szCs w:val="22"/>
              </w:rPr>
              <w:t>February 5</w:t>
            </w:r>
            <w:r w:rsidR="009A5A05">
              <w:rPr>
                <w:sz w:val="22"/>
                <w:szCs w:val="22"/>
              </w:rPr>
              <w:t>, 2020</w:t>
            </w:r>
            <w:r w:rsidRPr="00D170A2" w:rsidR="00D861EE">
              <w:rPr>
                <w:sz w:val="22"/>
                <w:szCs w:val="22"/>
              </w:rPr>
              <w:t>—</w:t>
            </w:r>
            <w:r w:rsidRPr="00D170A2" w:rsidR="000E049E">
              <w:rPr>
                <w:sz w:val="22"/>
                <w:szCs w:val="22"/>
              </w:rPr>
              <w:t>The Federal Communications Commission</w:t>
            </w:r>
            <w:r w:rsidRPr="00D170A2" w:rsidR="0006797E">
              <w:rPr>
                <w:sz w:val="22"/>
                <w:szCs w:val="22"/>
              </w:rPr>
              <w:t>’s Enforcement Bureau</w:t>
            </w:r>
            <w:r w:rsidRPr="00ED7275" w:rsidR="000E049E">
              <w:rPr>
                <w:sz w:val="22"/>
                <w:szCs w:val="22"/>
              </w:rPr>
              <w:t xml:space="preserve"> today</w:t>
            </w:r>
            <w:r w:rsidRPr="00ED7275" w:rsidR="00040127">
              <w:rPr>
                <w:sz w:val="22"/>
                <w:szCs w:val="22"/>
              </w:rPr>
              <w:t xml:space="preserve"> announced</w:t>
            </w:r>
            <w:r w:rsidRPr="00ED7275" w:rsidR="0006797E">
              <w:rPr>
                <w:sz w:val="22"/>
                <w:szCs w:val="22"/>
              </w:rPr>
              <w:t xml:space="preserve"> a $31 million settlement with </w:t>
            </w:r>
            <w:r w:rsidRPr="00ED7275" w:rsidR="0006797E">
              <w:rPr>
                <w:sz w:val="22"/>
                <w:szCs w:val="22"/>
              </w:rPr>
              <w:t>TeleQuality</w:t>
            </w:r>
            <w:r w:rsidRPr="00ED7275" w:rsidR="0006797E">
              <w:rPr>
                <w:sz w:val="22"/>
                <w:szCs w:val="22"/>
              </w:rPr>
              <w:t xml:space="preserve"> Communications for </w:t>
            </w:r>
            <w:r w:rsidR="00467D3C">
              <w:rPr>
                <w:sz w:val="22"/>
                <w:szCs w:val="22"/>
              </w:rPr>
              <w:t>violating competitive bidding</w:t>
            </w:r>
            <w:r w:rsidR="00086B06">
              <w:rPr>
                <w:sz w:val="22"/>
                <w:szCs w:val="22"/>
              </w:rPr>
              <w:t xml:space="preserve"> and rate</w:t>
            </w:r>
            <w:r w:rsidR="00467D3C">
              <w:rPr>
                <w:sz w:val="22"/>
                <w:szCs w:val="22"/>
              </w:rPr>
              <w:t xml:space="preserve"> rules and overbilling</w:t>
            </w:r>
            <w:r w:rsidRPr="00ED7275" w:rsidR="0006797E">
              <w:rPr>
                <w:sz w:val="22"/>
                <w:szCs w:val="22"/>
              </w:rPr>
              <w:t xml:space="preserve"> the FCC’s Rural Health Care Program.  </w:t>
            </w:r>
            <w:r w:rsidRPr="00ED7275" w:rsidR="00467D3C">
              <w:rPr>
                <w:sz w:val="22"/>
                <w:szCs w:val="22"/>
              </w:rPr>
              <w:t xml:space="preserve">The settlement requires </w:t>
            </w:r>
            <w:r w:rsidRPr="00ED7275" w:rsidR="00467D3C">
              <w:rPr>
                <w:sz w:val="22"/>
                <w:szCs w:val="22"/>
              </w:rPr>
              <w:t>TeleQuality</w:t>
            </w:r>
            <w:r w:rsidRPr="00ED7275" w:rsidR="00467D3C">
              <w:rPr>
                <w:sz w:val="22"/>
                <w:szCs w:val="22"/>
              </w:rPr>
              <w:t xml:space="preserve"> to provide the Universal Service Fund with $31 million worth of repayments and forfeitures of payment claims as a sanction.  </w:t>
            </w:r>
          </w:p>
          <w:p w:rsidR="00116AE3" w:rsidP="002E165B" w14:paraId="21CB729F" w14:textId="14F8F8BC">
            <w:pPr>
              <w:rPr>
                <w:sz w:val="22"/>
                <w:szCs w:val="22"/>
              </w:rPr>
            </w:pPr>
          </w:p>
          <w:p w:rsidR="00116AE3" w:rsidRPr="00ED7275" w:rsidP="002E165B" w14:paraId="2E6AF5E7" w14:textId="1FB084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C4476D">
              <w:rPr>
                <w:sz w:val="22"/>
                <w:szCs w:val="22"/>
              </w:rPr>
              <w:t xml:space="preserve">The FCC is determined to root out waste, fraud, and abuse in our Universal Service Fund programs, including the Rural Health Care program.  </w:t>
            </w:r>
            <w:r>
              <w:rPr>
                <w:sz w:val="22"/>
                <w:szCs w:val="22"/>
              </w:rPr>
              <w:t xml:space="preserve">This settlement </w:t>
            </w:r>
            <w:r w:rsidR="00C4476D">
              <w:rPr>
                <w:sz w:val="22"/>
                <w:szCs w:val="22"/>
              </w:rPr>
              <w:t xml:space="preserve">will put </w:t>
            </w:r>
            <w:r>
              <w:rPr>
                <w:sz w:val="22"/>
                <w:szCs w:val="22"/>
              </w:rPr>
              <w:t xml:space="preserve">participants in our Rural Health Care </w:t>
            </w:r>
            <w:r w:rsidR="00C4476D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rogram and other USF programs </w:t>
            </w:r>
            <w:r w:rsidR="00C4476D">
              <w:rPr>
                <w:sz w:val="22"/>
                <w:szCs w:val="22"/>
              </w:rPr>
              <w:t>on notice—</w:t>
            </w:r>
            <w:r>
              <w:rPr>
                <w:sz w:val="22"/>
                <w:szCs w:val="22"/>
              </w:rPr>
              <w:t xml:space="preserve">they can’t get away with </w:t>
            </w:r>
            <w:r w:rsidR="00C4476D">
              <w:rPr>
                <w:sz w:val="22"/>
                <w:szCs w:val="22"/>
              </w:rPr>
              <w:t>diverting and misusing taxpayer funds meant to benefit American consumers by closing the digital divide</w:t>
            </w:r>
            <w:r>
              <w:rPr>
                <w:sz w:val="22"/>
                <w:szCs w:val="22"/>
              </w:rPr>
              <w:t>,” said Chairman Pai.  “We have made combatting abuse</w:t>
            </w:r>
            <w:r w:rsidR="00702B7E">
              <w:rPr>
                <w:sz w:val="22"/>
                <w:szCs w:val="22"/>
              </w:rPr>
              <w:t xml:space="preserve"> of our programs</w:t>
            </w:r>
            <w:r>
              <w:rPr>
                <w:sz w:val="22"/>
                <w:szCs w:val="22"/>
              </w:rPr>
              <w:t xml:space="preserve"> </w:t>
            </w:r>
            <w:r w:rsidRPr="00ED7275">
              <w:rPr>
                <w:sz w:val="22"/>
                <w:szCs w:val="22"/>
              </w:rPr>
              <w:t>a priority</w:t>
            </w:r>
            <w:r>
              <w:rPr>
                <w:sz w:val="22"/>
                <w:szCs w:val="22"/>
              </w:rPr>
              <w:t xml:space="preserve"> and, to that end, we established a Fraud Division within the Enforcement Bureau dedicated to that fight</w:t>
            </w:r>
            <w:r w:rsidRPr="00ED727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I thank the Bureau staff for their hard work and dedication to </w:t>
            </w:r>
            <w:r w:rsidR="00C4476D">
              <w:rPr>
                <w:sz w:val="22"/>
                <w:szCs w:val="22"/>
              </w:rPr>
              <w:t>protecting the integrity of the Rural Health Care program</w:t>
            </w:r>
            <w:r>
              <w:rPr>
                <w:sz w:val="22"/>
                <w:szCs w:val="22"/>
              </w:rPr>
              <w:t>.”</w:t>
            </w:r>
          </w:p>
          <w:p w:rsidR="00850E26" w:rsidRPr="00ED7275" w:rsidP="002E165B" w14:paraId="1531AC6C" w14:textId="77777777">
            <w:pPr>
              <w:rPr>
                <w:sz w:val="22"/>
                <w:szCs w:val="22"/>
              </w:rPr>
            </w:pPr>
          </w:p>
          <w:p w:rsidR="00E34B2F" w:rsidRPr="00ED7275" w:rsidP="002E165B" w14:paraId="65632970" w14:textId="6E540496">
            <w:pPr>
              <w:rPr>
                <w:sz w:val="22"/>
                <w:szCs w:val="22"/>
              </w:rPr>
            </w:pPr>
            <w:r w:rsidRPr="00ED7275">
              <w:rPr>
                <w:sz w:val="22"/>
                <w:szCs w:val="22"/>
              </w:rPr>
              <w:t>Over</w:t>
            </w:r>
            <w:r w:rsidRPr="00ED7275">
              <w:rPr>
                <w:sz w:val="22"/>
                <w:szCs w:val="22"/>
              </w:rPr>
              <w:t xml:space="preserve"> a four-year period</w:t>
            </w:r>
            <w:r w:rsidR="00467D3C">
              <w:rPr>
                <w:sz w:val="22"/>
                <w:szCs w:val="22"/>
              </w:rPr>
              <w:t>, from 2015-2018</w:t>
            </w:r>
            <w:r w:rsidRPr="00ED7275">
              <w:rPr>
                <w:sz w:val="22"/>
                <w:szCs w:val="22"/>
              </w:rPr>
              <w:t>, the company admits to using fabricated sales quotes as urban rates and fail</w:t>
            </w:r>
            <w:r w:rsidRPr="00ED7275">
              <w:rPr>
                <w:sz w:val="22"/>
                <w:szCs w:val="22"/>
              </w:rPr>
              <w:t>ing</w:t>
            </w:r>
            <w:r w:rsidRPr="00ED7275">
              <w:rPr>
                <w:sz w:val="22"/>
                <w:szCs w:val="22"/>
              </w:rPr>
              <w:t xml:space="preserve"> to use FCC-required methods for determining rural rates.  In violation of competitive bidding rules, </w:t>
            </w:r>
            <w:r w:rsidR="007E323F">
              <w:rPr>
                <w:sz w:val="22"/>
                <w:szCs w:val="22"/>
              </w:rPr>
              <w:t>TeleQuality</w:t>
            </w:r>
            <w:r w:rsidRPr="00ED7275" w:rsidR="007E323F">
              <w:rPr>
                <w:sz w:val="22"/>
                <w:szCs w:val="22"/>
              </w:rPr>
              <w:t xml:space="preserve"> </w:t>
            </w:r>
            <w:r w:rsidRPr="00ED7275">
              <w:rPr>
                <w:sz w:val="22"/>
                <w:szCs w:val="22"/>
              </w:rPr>
              <w:t xml:space="preserve">assisted health care providers in creating the bid evaluation criteria and bid matrices against which </w:t>
            </w:r>
            <w:r w:rsidRPr="00ED7275">
              <w:rPr>
                <w:sz w:val="22"/>
                <w:szCs w:val="22"/>
              </w:rPr>
              <w:t>TeleQuality’s</w:t>
            </w:r>
            <w:r w:rsidRPr="00ED7275">
              <w:rPr>
                <w:sz w:val="22"/>
                <w:szCs w:val="22"/>
              </w:rPr>
              <w:t xml:space="preserve"> bids would be judged.  They also provided improper incentive</w:t>
            </w:r>
            <w:r w:rsidR="007E323F">
              <w:rPr>
                <w:sz w:val="22"/>
                <w:szCs w:val="22"/>
              </w:rPr>
              <w:t>s</w:t>
            </w:r>
            <w:r w:rsidRPr="00ED7275">
              <w:rPr>
                <w:sz w:val="22"/>
                <w:szCs w:val="22"/>
              </w:rPr>
              <w:t xml:space="preserve"> </w:t>
            </w:r>
            <w:r w:rsidR="00467D3C">
              <w:rPr>
                <w:sz w:val="22"/>
                <w:szCs w:val="22"/>
              </w:rPr>
              <w:t xml:space="preserve">like free routers and other equipment </w:t>
            </w:r>
            <w:r w:rsidRPr="00ED7275">
              <w:rPr>
                <w:sz w:val="22"/>
                <w:szCs w:val="22"/>
              </w:rPr>
              <w:t xml:space="preserve">to </w:t>
            </w:r>
            <w:r w:rsidR="00467D3C">
              <w:rPr>
                <w:sz w:val="22"/>
                <w:szCs w:val="22"/>
              </w:rPr>
              <w:t>providers</w:t>
            </w:r>
            <w:r w:rsidRPr="00D170A2">
              <w:rPr>
                <w:sz w:val="22"/>
                <w:szCs w:val="22"/>
              </w:rPr>
              <w:t xml:space="preserve"> to encourage them to award </w:t>
            </w:r>
            <w:r w:rsidRPr="00D170A2">
              <w:rPr>
                <w:sz w:val="22"/>
                <w:szCs w:val="22"/>
              </w:rPr>
              <w:t>TeleQuality</w:t>
            </w:r>
            <w:r w:rsidRPr="00D170A2">
              <w:rPr>
                <w:sz w:val="22"/>
                <w:szCs w:val="22"/>
              </w:rPr>
              <w:t xml:space="preserve"> the contracts</w:t>
            </w:r>
            <w:r w:rsidR="007E323F">
              <w:rPr>
                <w:sz w:val="22"/>
                <w:szCs w:val="22"/>
              </w:rPr>
              <w:t>.</w:t>
            </w:r>
            <w:r w:rsidR="00467D3C">
              <w:rPr>
                <w:sz w:val="22"/>
                <w:szCs w:val="22"/>
              </w:rPr>
              <w:t xml:space="preserve"> </w:t>
            </w:r>
            <w:r w:rsidR="005F19C4">
              <w:rPr>
                <w:sz w:val="22"/>
                <w:szCs w:val="22"/>
              </w:rPr>
              <w:t xml:space="preserve"> </w:t>
            </w:r>
            <w:r w:rsidRPr="00B87A95" w:rsidR="00B0732A">
              <w:rPr>
                <w:sz w:val="22"/>
                <w:szCs w:val="22"/>
              </w:rPr>
              <w:t>In addition, from 2010 to 201</w:t>
            </w:r>
            <w:r w:rsidR="009F65FC">
              <w:rPr>
                <w:sz w:val="22"/>
                <w:szCs w:val="22"/>
              </w:rPr>
              <w:t>9</w:t>
            </w:r>
            <w:r w:rsidRPr="00B87A95" w:rsidR="00B0732A">
              <w:rPr>
                <w:sz w:val="22"/>
                <w:szCs w:val="22"/>
              </w:rPr>
              <w:t xml:space="preserve">, </w:t>
            </w:r>
            <w:r w:rsidRPr="00B87A95" w:rsidR="00B0732A">
              <w:rPr>
                <w:sz w:val="22"/>
                <w:szCs w:val="22"/>
              </w:rPr>
              <w:t>TeleQuality</w:t>
            </w:r>
            <w:r w:rsidRPr="00B87A95" w:rsidR="00B0732A">
              <w:rPr>
                <w:sz w:val="22"/>
                <w:szCs w:val="22"/>
              </w:rPr>
              <w:t xml:space="preserve"> </w:t>
            </w:r>
            <w:r w:rsidR="00467D3C">
              <w:rPr>
                <w:sz w:val="22"/>
                <w:szCs w:val="22"/>
              </w:rPr>
              <w:t>improperly reported its revenues in an attempt to shield itself from contributing to the Universal Service Fund.</w:t>
            </w:r>
          </w:p>
          <w:p w:rsidR="00E34B2F" w:rsidRPr="00ED7275" w:rsidP="002E165B" w14:paraId="2839A4D3" w14:textId="77777777">
            <w:pPr>
              <w:rPr>
                <w:sz w:val="22"/>
                <w:szCs w:val="22"/>
              </w:rPr>
            </w:pPr>
          </w:p>
          <w:p w:rsidR="00131041" w:rsidRPr="00ED7275" w:rsidP="00131041" w14:paraId="46750526" w14:textId="292B1EB8">
            <w:pPr>
              <w:rPr>
                <w:sz w:val="22"/>
                <w:szCs w:val="22"/>
              </w:rPr>
            </w:pPr>
            <w:r w:rsidRPr="00ED7275">
              <w:rPr>
                <w:sz w:val="22"/>
                <w:szCs w:val="22"/>
              </w:rPr>
              <w:t>The Rural Health Care</w:t>
            </w:r>
            <w:r w:rsidR="009A5A05">
              <w:rPr>
                <w:sz w:val="22"/>
                <w:szCs w:val="22"/>
              </w:rPr>
              <w:t xml:space="preserve"> Program’s</w:t>
            </w:r>
            <w:r w:rsidRPr="00ED7275">
              <w:rPr>
                <w:sz w:val="22"/>
                <w:szCs w:val="22"/>
              </w:rPr>
              <w:t xml:space="preserve"> Telecom </w:t>
            </w:r>
            <w:r w:rsidRPr="00D170A2">
              <w:rPr>
                <w:sz w:val="22"/>
                <w:szCs w:val="22"/>
              </w:rPr>
              <w:t xml:space="preserve">Program helps ensure that eligible health care providers in rural areas, where telecommunications costs can be high, have affordable access to </w:t>
            </w:r>
            <w:r w:rsidRPr="00B87A95">
              <w:rPr>
                <w:sz w:val="22"/>
                <w:szCs w:val="22"/>
              </w:rPr>
              <w:t xml:space="preserve">telecommunications services that are vital for providing health care. </w:t>
            </w:r>
            <w:r w:rsidR="00C4476D">
              <w:rPr>
                <w:sz w:val="22"/>
                <w:szCs w:val="22"/>
              </w:rPr>
              <w:t xml:space="preserve"> </w:t>
            </w:r>
            <w:r w:rsidRPr="00B87A95">
              <w:rPr>
                <w:sz w:val="22"/>
                <w:szCs w:val="22"/>
              </w:rPr>
              <w:t>To do this, the program pays the difference between the state’s average urban rate for comparable services, and the high</w:t>
            </w:r>
            <w:r w:rsidR="00A11524">
              <w:rPr>
                <w:sz w:val="22"/>
                <w:szCs w:val="22"/>
              </w:rPr>
              <w:t>er</w:t>
            </w:r>
            <w:r w:rsidRPr="00B87A95">
              <w:rPr>
                <w:sz w:val="22"/>
                <w:szCs w:val="22"/>
              </w:rPr>
              <w:t xml:space="preserve"> rural rate.</w:t>
            </w:r>
          </w:p>
          <w:p w:rsidR="00FF39AF" w:rsidRPr="00ED7275" w:rsidP="00131041" w14:paraId="12535C1F" w14:textId="77777777">
            <w:pPr>
              <w:rPr>
                <w:sz w:val="22"/>
                <w:szCs w:val="22"/>
              </w:rPr>
            </w:pPr>
          </w:p>
          <w:p w:rsidR="00FF39AF" w:rsidRPr="00ED7275" w:rsidP="00131041" w14:paraId="2301D885" w14:textId="1E4A294A">
            <w:pPr>
              <w:rPr>
                <w:sz w:val="22"/>
                <w:szCs w:val="22"/>
              </w:rPr>
            </w:pPr>
            <w:r w:rsidRPr="00ED7275">
              <w:rPr>
                <w:sz w:val="22"/>
                <w:szCs w:val="22"/>
              </w:rPr>
              <w:t xml:space="preserve">The San Antonio, Texas-based </w:t>
            </w:r>
            <w:r w:rsidRPr="00ED7275">
              <w:rPr>
                <w:sz w:val="22"/>
                <w:szCs w:val="22"/>
              </w:rPr>
              <w:t>TeleQuality</w:t>
            </w:r>
            <w:r w:rsidRPr="00ED7275">
              <w:rPr>
                <w:sz w:val="22"/>
                <w:szCs w:val="22"/>
              </w:rPr>
              <w:t xml:space="preserve"> was acquired by Education Networks of America</w:t>
            </w:r>
            <w:r w:rsidRPr="00ED7275" w:rsidR="00B0732A">
              <w:rPr>
                <w:sz w:val="22"/>
                <w:szCs w:val="22"/>
              </w:rPr>
              <w:t xml:space="preserve"> in January 2018</w:t>
            </w:r>
            <w:r w:rsidR="00086B06">
              <w:rPr>
                <w:sz w:val="22"/>
                <w:szCs w:val="22"/>
              </w:rPr>
              <w:t xml:space="preserve"> and has installed new management</w:t>
            </w:r>
            <w:r w:rsidRPr="00ED7275" w:rsidR="00B0732A">
              <w:rPr>
                <w:sz w:val="22"/>
                <w:szCs w:val="22"/>
              </w:rPr>
              <w:t>.</w:t>
            </w:r>
            <w:r w:rsidRPr="00ED7275" w:rsidR="00CF4F09">
              <w:rPr>
                <w:sz w:val="22"/>
                <w:szCs w:val="22"/>
              </w:rPr>
              <w:t xml:space="preserve">  </w:t>
            </w:r>
            <w:r w:rsidRPr="00ED7275" w:rsidR="00CF4F09">
              <w:rPr>
                <w:sz w:val="22"/>
                <w:szCs w:val="22"/>
              </w:rPr>
              <w:t>T</w:t>
            </w:r>
            <w:r w:rsidR="00086B06">
              <w:rPr>
                <w:sz w:val="22"/>
                <w:szCs w:val="22"/>
              </w:rPr>
              <w:t>eleQuality</w:t>
            </w:r>
            <w:r w:rsidR="00086B06">
              <w:rPr>
                <w:sz w:val="22"/>
                <w:szCs w:val="22"/>
              </w:rPr>
              <w:t xml:space="preserve"> has agreed to a compliance plan which </w:t>
            </w:r>
            <w:r w:rsidRPr="00ED7275" w:rsidR="00CF4F09">
              <w:rPr>
                <w:sz w:val="22"/>
                <w:szCs w:val="22"/>
              </w:rPr>
              <w:t xml:space="preserve">requires </w:t>
            </w:r>
            <w:r w:rsidR="00086B06">
              <w:rPr>
                <w:sz w:val="22"/>
                <w:szCs w:val="22"/>
              </w:rPr>
              <w:t>it</w:t>
            </w:r>
            <w:r w:rsidRPr="00ED7275" w:rsidR="00086B06">
              <w:rPr>
                <w:sz w:val="22"/>
                <w:szCs w:val="22"/>
              </w:rPr>
              <w:t xml:space="preserve"> </w:t>
            </w:r>
            <w:r w:rsidRPr="00ED7275" w:rsidR="00CF4F09">
              <w:rPr>
                <w:sz w:val="22"/>
                <w:szCs w:val="22"/>
              </w:rPr>
              <w:t xml:space="preserve">to designate a compliance officer, establish new operating procedures to </w:t>
            </w:r>
            <w:r w:rsidRPr="00ED7275" w:rsidR="00CF4F09">
              <w:rPr>
                <w:sz w:val="22"/>
                <w:szCs w:val="22"/>
              </w:rPr>
              <w:t xml:space="preserve">ensure compliance with FCC rules, file regular reports on its compliance to the FCC for the next </w:t>
            </w:r>
            <w:r w:rsidR="00C4476D">
              <w:rPr>
                <w:sz w:val="22"/>
                <w:szCs w:val="22"/>
              </w:rPr>
              <w:t>five</w:t>
            </w:r>
            <w:r w:rsidRPr="00ED7275" w:rsidR="00CF4F09">
              <w:rPr>
                <w:sz w:val="22"/>
                <w:szCs w:val="22"/>
              </w:rPr>
              <w:t xml:space="preserve"> years, and promptly report any new violations.  </w:t>
            </w:r>
          </w:p>
          <w:p w:rsidR="0006797E" w:rsidRPr="00ED7275" w:rsidP="0006797E" w14:paraId="18DC3631" w14:textId="77777777">
            <w:pPr>
              <w:rPr>
                <w:sz w:val="22"/>
                <w:szCs w:val="22"/>
              </w:rPr>
            </w:pPr>
          </w:p>
          <w:p w:rsidR="0006797E" w:rsidRPr="00ED7275" w:rsidP="0006797E" w14:paraId="5317C167" w14:textId="6ED2830A">
            <w:pPr>
              <w:rPr>
                <w:sz w:val="22"/>
                <w:szCs w:val="22"/>
              </w:rPr>
            </w:pPr>
            <w:r w:rsidRPr="00ED7275">
              <w:rPr>
                <w:sz w:val="22"/>
                <w:szCs w:val="22"/>
              </w:rPr>
              <w:t xml:space="preserve">Today’s settlement, formally known as a Consent Decree, is available at: </w:t>
            </w:r>
            <w:hyperlink r:id="rId5" w:history="1">
              <w:r w:rsidRPr="001A14BC" w:rsidR="002C3AB8">
                <w:rPr>
                  <w:rStyle w:val="Hyperlink"/>
                  <w:sz w:val="22"/>
                  <w:szCs w:val="22"/>
                </w:rPr>
                <w:t>https://docs.fcc.gov/public/attachments/DA-20-69A1.pdf</w:t>
              </w:r>
            </w:hyperlink>
            <w:r w:rsidR="002C3AB8">
              <w:rPr>
                <w:sz w:val="22"/>
                <w:szCs w:val="22"/>
              </w:rPr>
              <w:t xml:space="preserve"> </w:t>
            </w:r>
          </w:p>
          <w:p w:rsidR="006B15AF" w:rsidRPr="00ED7275" w:rsidP="002E165B" w14:paraId="34F23ED8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6EEC1169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7164E346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466FF7A1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07BB76D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93484C4" w14:textId="77777777">
      <w:pPr>
        <w:rPr>
          <w:b/>
          <w:bCs/>
          <w:sz w:val="2"/>
          <w:szCs w:val="2"/>
        </w:rPr>
      </w:pPr>
    </w:p>
    <w:sectPr w:rsidSect="0037467D">
      <w:pgSz w:w="12240" w:h="15840"/>
      <w:pgMar w:top="129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A2"/>
    <w:rsid w:val="0002500C"/>
    <w:rsid w:val="000311FC"/>
    <w:rsid w:val="00040127"/>
    <w:rsid w:val="00065E2D"/>
    <w:rsid w:val="0006797E"/>
    <w:rsid w:val="00081232"/>
    <w:rsid w:val="00086B06"/>
    <w:rsid w:val="00091E65"/>
    <w:rsid w:val="00096D4A"/>
    <w:rsid w:val="000A38EA"/>
    <w:rsid w:val="000A56B9"/>
    <w:rsid w:val="000C1E47"/>
    <w:rsid w:val="000C26F3"/>
    <w:rsid w:val="000E049E"/>
    <w:rsid w:val="001070A9"/>
    <w:rsid w:val="0010799B"/>
    <w:rsid w:val="00116AE3"/>
    <w:rsid w:val="00117DB2"/>
    <w:rsid w:val="00123ED2"/>
    <w:rsid w:val="00125BE0"/>
    <w:rsid w:val="00131041"/>
    <w:rsid w:val="00142C13"/>
    <w:rsid w:val="00152776"/>
    <w:rsid w:val="00153222"/>
    <w:rsid w:val="001577D3"/>
    <w:rsid w:val="001733A6"/>
    <w:rsid w:val="001865A9"/>
    <w:rsid w:val="00187DB2"/>
    <w:rsid w:val="001A14BC"/>
    <w:rsid w:val="001A612E"/>
    <w:rsid w:val="001B20BB"/>
    <w:rsid w:val="001C4370"/>
    <w:rsid w:val="001D3779"/>
    <w:rsid w:val="001E02DA"/>
    <w:rsid w:val="001F0469"/>
    <w:rsid w:val="001F29FE"/>
    <w:rsid w:val="00203A98"/>
    <w:rsid w:val="00206EDD"/>
    <w:rsid w:val="00210C4D"/>
    <w:rsid w:val="0021247E"/>
    <w:rsid w:val="002146F6"/>
    <w:rsid w:val="00231C32"/>
    <w:rsid w:val="00240345"/>
    <w:rsid w:val="00242087"/>
    <w:rsid w:val="002421F0"/>
    <w:rsid w:val="00247274"/>
    <w:rsid w:val="0025548C"/>
    <w:rsid w:val="00266966"/>
    <w:rsid w:val="00273F97"/>
    <w:rsid w:val="00285C36"/>
    <w:rsid w:val="00294C0C"/>
    <w:rsid w:val="002A0934"/>
    <w:rsid w:val="002B1013"/>
    <w:rsid w:val="002C3AB8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5D4"/>
    <w:rsid w:val="003727E3"/>
    <w:rsid w:val="0037467D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67D3C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E74E1"/>
    <w:rsid w:val="005F0D55"/>
    <w:rsid w:val="005F183E"/>
    <w:rsid w:val="005F19C4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15AF"/>
    <w:rsid w:val="006B3BE6"/>
    <w:rsid w:val="006B606A"/>
    <w:rsid w:val="006C33AF"/>
    <w:rsid w:val="006D5D22"/>
    <w:rsid w:val="006E0324"/>
    <w:rsid w:val="006E4A76"/>
    <w:rsid w:val="006F1DBD"/>
    <w:rsid w:val="00700556"/>
    <w:rsid w:val="00702B7E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8291A"/>
    <w:rsid w:val="00793D6F"/>
    <w:rsid w:val="00794090"/>
    <w:rsid w:val="007A44F8"/>
    <w:rsid w:val="007C731D"/>
    <w:rsid w:val="007D21BF"/>
    <w:rsid w:val="007E323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46A6C"/>
    <w:rsid w:val="00961620"/>
    <w:rsid w:val="00964AA1"/>
    <w:rsid w:val="009734B6"/>
    <w:rsid w:val="0098096F"/>
    <w:rsid w:val="0098437A"/>
    <w:rsid w:val="00986C92"/>
    <w:rsid w:val="00993C47"/>
    <w:rsid w:val="009972BC"/>
    <w:rsid w:val="009A5A05"/>
    <w:rsid w:val="009B4B16"/>
    <w:rsid w:val="009C1B00"/>
    <w:rsid w:val="009E0615"/>
    <w:rsid w:val="009E54A1"/>
    <w:rsid w:val="009F4E25"/>
    <w:rsid w:val="009F5B1F"/>
    <w:rsid w:val="009F65FC"/>
    <w:rsid w:val="00A11524"/>
    <w:rsid w:val="00A225A9"/>
    <w:rsid w:val="00A3308E"/>
    <w:rsid w:val="00A35DFD"/>
    <w:rsid w:val="00A566E4"/>
    <w:rsid w:val="00A702DF"/>
    <w:rsid w:val="00A71C99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C7356"/>
    <w:rsid w:val="00AD0D19"/>
    <w:rsid w:val="00AD4184"/>
    <w:rsid w:val="00AF051B"/>
    <w:rsid w:val="00B037A2"/>
    <w:rsid w:val="00B0732A"/>
    <w:rsid w:val="00B1478A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7A95"/>
    <w:rsid w:val="00BA6350"/>
    <w:rsid w:val="00BB4E29"/>
    <w:rsid w:val="00BB74C9"/>
    <w:rsid w:val="00BC3AB6"/>
    <w:rsid w:val="00BD19E8"/>
    <w:rsid w:val="00BD4273"/>
    <w:rsid w:val="00C31ED8"/>
    <w:rsid w:val="00C432E4"/>
    <w:rsid w:val="00C4476D"/>
    <w:rsid w:val="00C70C26"/>
    <w:rsid w:val="00C72001"/>
    <w:rsid w:val="00C73D9B"/>
    <w:rsid w:val="00C772B7"/>
    <w:rsid w:val="00C80347"/>
    <w:rsid w:val="00CB24D2"/>
    <w:rsid w:val="00CB7C1A"/>
    <w:rsid w:val="00CC5E08"/>
    <w:rsid w:val="00CE14FD"/>
    <w:rsid w:val="00CE4111"/>
    <w:rsid w:val="00CF4F09"/>
    <w:rsid w:val="00CF6860"/>
    <w:rsid w:val="00D02AC6"/>
    <w:rsid w:val="00D03F0C"/>
    <w:rsid w:val="00D04312"/>
    <w:rsid w:val="00D16A7F"/>
    <w:rsid w:val="00D16AD2"/>
    <w:rsid w:val="00D170A2"/>
    <w:rsid w:val="00D22596"/>
    <w:rsid w:val="00D22691"/>
    <w:rsid w:val="00D24C3D"/>
    <w:rsid w:val="00D25202"/>
    <w:rsid w:val="00D46CB1"/>
    <w:rsid w:val="00D65A5F"/>
    <w:rsid w:val="00D723F0"/>
    <w:rsid w:val="00D8133F"/>
    <w:rsid w:val="00D861EE"/>
    <w:rsid w:val="00D916EF"/>
    <w:rsid w:val="00D95B05"/>
    <w:rsid w:val="00D97E2D"/>
    <w:rsid w:val="00DA103D"/>
    <w:rsid w:val="00DA45D3"/>
    <w:rsid w:val="00DA4772"/>
    <w:rsid w:val="00DA7B44"/>
    <w:rsid w:val="00DB2667"/>
    <w:rsid w:val="00DB67B7"/>
    <w:rsid w:val="00DC049B"/>
    <w:rsid w:val="00DC15A9"/>
    <w:rsid w:val="00DC40AA"/>
    <w:rsid w:val="00DD1750"/>
    <w:rsid w:val="00E349AA"/>
    <w:rsid w:val="00E34B2F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675B"/>
    <w:rsid w:val="00E87C13"/>
    <w:rsid w:val="00E94CD9"/>
    <w:rsid w:val="00EA1A76"/>
    <w:rsid w:val="00EA290B"/>
    <w:rsid w:val="00ED7275"/>
    <w:rsid w:val="00EE0E90"/>
    <w:rsid w:val="00EE3890"/>
    <w:rsid w:val="00EF3BCA"/>
    <w:rsid w:val="00EF729B"/>
    <w:rsid w:val="00F01B0D"/>
    <w:rsid w:val="00F11542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651A4"/>
    <w:rsid w:val="00F708E3"/>
    <w:rsid w:val="00F76561"/>
    <w:rsid w:val="00F84736"/>
    <w:rsid w:val="00FA0F00"/>
    <w:rsid w:val="00FC6C29"/>
    <w:rsid w:val="00FD58E0"/>
    <w:rsid w:val="00FD71AE"/>
    <w:rsid w:val="00FE0198"/>
    <w:rsid w:val="00FE3A7C"/>
    <w:rsid w:val="00FF1C0B"/>
    <w:rsid w:val="00FF232D"/>
    <w:rsid w:val="00FF39AF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5D0B2C9-38E9-4013-9F19-0AC0D2D8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AC73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C73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3746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746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746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4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467D"/>
    <w:rPr>
      <w:b/>
      <w:bCs/>
    </w:rPr>
  </w:style>
  <w:style w:type="paragraph" w:styleId="Revision">
    <w:name w:val="Revision"/>
    <w:hidden/>
    <w:uiPriority w:val="99"/>
    <w:semiHidden/>
    <w:rsid w:val="006B15AF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A71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1C9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71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1C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ocs.fcc.gov/public/attachments/DA-20-69A1.pdf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