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737F496" w14:textId="77777777" w:rsidTr="00B377BA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  <w:shd w:val="clear" w:color="auto" w:fill="FFFFFF" w:themeFill="background1"/>
          </w:tcPr>
          <w:p w:rsidR="00FF232D" w:rsidP="006A7D75" w14:paraId="45C6DD9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77476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92EECD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842281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D09B92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911C89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A4A23F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953DC3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134A12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B17D161" w14:textId="0D15CFA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106DB7">
              <w:rPr>
                <w:b/>
                <w:bCs/>
                <w:sz w:val="26"/>
                <w:szCs w:val="26"/>
              </w:rPr>
              <w:t>AUTHORIZE</w:t>
            </w:r>
            <w:r w:rsidR="00F61F9F">
              <w:rPr>
                <w:b/>
                <w:bCs/>
                <w:sz w:val="26"/>
                <w:szCs w:val="26"/>
              </w:rPr>
              <w:t>S</w:t>
            </w:r>
            <w:r w:rsidR="00106DB7">
              <w:rPr>
                <w:b/>
                <w:bCs/>
                <w:sz w:val="26"/>
                <w:szCs w:val="26"/>
              </w:rPr>
              <w:t xml:space="preserve"> OVER $2</w:t>
            </w:r>
            <w:r w:rsidR="00F3259A">
              <w:rPr>
                <w:b/>
                <w:bCs/>
                <w:sz w:val="26"/>
                <w:szCs w:val="26"/>
              </w:rPr>
              <w:t>40</w:t>
            </w:r>
            <w:r w:rsidR="00106DB7">
              <w:rPr>
                <w:b/>
                <w:bCs/>
                <w:sz w:val="26"/>
                <w:szCs w:val="26"/>
              </w:rPr>
              <w:t xml:space="preserve"> MILLION </w:t>
            </w:r>
            <w:r w:rsidR="00555C1F">
              <w:rPr>
                <w:b/>
                <w:bCs/>
                <w:sz w:val="26"/>
                <w:szCs w:val="26"/>
              </w:rPr>
              <w:t>FOR</w:t>
            </w:r>
            <w:r w:rsidR="00106DB7">
              <w:rPr>
                <w:b/>
                <w:bCs/>
                <w:sz w:val="26"/>
                <w:szCs w:val="26"/>
              </w:rPr>
              <w:t xml:space="preserve"> RURAL BROADBAND</w:t>
            </w:r>
          </w:p>
          <w:p w:rsidR="00555C1F" w:rsidP="00040127" w14:paraId="39AD048A" w14:textId="529DF48C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Connect America Fund </w:t>
            </w:r>
            <w:r>
              <w:rPr>
                <w:b/>
                <w:bCs/>
                <w:i/>
              </w:rPr>
              <w:t xml:space="preserve">Support </w:t>
            </w:r>
            <w:r w:rsidR="00D43251">
              <w:rPr>
                <w:b/>
                <w:bCs/>
                <w:i/>
              </w:rPr>
              <w:t xml:space="preserve">Will Expand </w:t>
            </w:r>
            <w:r w:rsidR="00EF690B">
              <w:rPr>
                <w:b/>
                <w:bCs/>
                <w:i/>
              </w:rPr>
              <w:t>Deployment to Over 100,000</w:t>
            </w:r>
            <w:r>
              <w:rPr>
                <w:b/>
                <w:bCs/>
                <w:i/>
              </w:rPr>
              <w:t xml:space="preserve"> </w:t>
            </w:r>
          </w:p>
          <w:p w:rsidR="00CC5E08" w:rsidRPr="008A3940" w:rsidP="00040127" w14:paraId="2BC8394D" w14:textId="5E248271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Rural Homes &amp; Businesses</w:t>
            </w:r>
          </w:p>
          <w:p w:rsidR="00E34809" w:rsidP="00F3259A" w14:paraId="32382F81" w14:textId="77777777">
            <w:pPr>
              <w:rPr>
                <w:sz w:val="22"/>
                <w:szCs w:val="22"/>
              </w:rPr>
            </w:pPr>
          </w:p>
          <w:p w:rsidR="00F3259A" w:rsidRPr="00912AEF" w:rsidP="00F3259A" w14:paraId="488871D1" w14:textId="146F6FA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555C1F" w:rsidR="00555C1F">
              <w:rPr>
                <w:sz w:val="22"/>
                <w:szCs w:val="22"/>
              </w:rPr>
              <w:t>February</w:t>
            </w:r>
            <w:r w:rsidRPr="00555C1F" w:rsidR="000E049E">
              <w:rPr>
                <w:sz w:val="22"/>
                <w:szCs w:val="22"/>
              </w:rPr>
              <w:t xml:space="preserve"> </w:t>
            </w:r>
            <w:r w:rsidR="00555C1F">
              <w:rPr>
                <w:sz w:val="22"/>
                <w:szCs w:val="22"/>
              </w:rPr>
              <w:t>13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336897">
              <w:rPr>
                <w:sz w:val="22"/>
                <w:szCs w:val="22"/>
              </w:rPr>
              <w:t xml:space="preserve">authorized </w:t>
            </w:r>
            <w:r w:rsidR="00555C1F">
              <w:rPr>
                <w:sz w:val="22"/>
                <w:szCs w:val="22"/>
              </w:rPr>
              <w:t>more than</w:t>
            </w:r>
            <w:r w:rsidRPr="00912AEF">
              <w:rPr>
                <w:sz w:val="22"/>
                <w:szCs w:val="22"/>
              </w:rPr>
              <w:t xml:space="preserve"> $240 million </w:t>
            </w:r>
            <w:r w:rsidR="001A4805">
              <w:rPr>
                <w:sz w:val="22"/>
                <w:szCs w:val="22"/>
              </w:rPr>
              <w:t>in funding</w:t>
            </w:r>
            <w:r w:rsidR="00F001E5">
              <w:rPr>
                <w:sz w:val="22"/>
                <w:szCs w:val="22"/>
              </w:rPr>
              <w:t xml:space="preserve"> over ten years</w:t>
            </w:r>
            <w:r w:rsidR="001A4805">
              <w:rPr>
                <w:sz w:val="22"/>
                <w:szCs w:val="22"/>
              </w:rPr>
              <w:t xml:space="preserve"> </w:t>
            </w:r>
            <w:r w:rsidR="004366C4">
              <w:rPr>
                <w:sz w:val="22"/>
                <w:szCs w:val="22"/>
              </w:rPr>
              <w:t>to expand rural broadband deployment in</w:t>
            </w:r>
            <w:r w:rsidRPr="00912AEF">
              <w:rPr>
                <w:sz w:val="22"/>
                <w:szCs w:val="22"/>
              </w:rPr>
              <w:t xml:space="preserve"> Arkansas, Illinois, Indiana, Kansas, Massachusetts, Missouri, New York, Oklahoma, and Wyoming.  These investments </w:t>
            </w:r>
            <w:r w:rsidR="00F001E5">
              <w:rPr>
                <w:sz w:val="22"/>
                <w:szCs w:val="22"/>
              </w:rPr>
              <w:t>will</w:t>
            </w:r>
            <w:r w:rsidRPr="00912AEF">
              <w:rPr>
                <w:sz w:val="22"/>
                <w:szCs w:val="22"/>
              </w:rPr>
              <w:t xml:space="preserve"> connect </w:t>
            </w:r>
            <w:r w:rsidR="00F001E5">
              <w:rPr>
                <w:sz w:val="22"/>
                <w:szCs w:val="22"/>
              </w:rPr>
              <w:t>more than</w:t>
            </w:r>
            <w:r w:rsidRPr="00912AEF" w:rsidR="00F001E5">
              <w:rPr>
                <w:sz w:val="22"/>
                <w:szCs w:val="22"/>
              </w:rPr>
              <w:t xml:space="preserve"> </w:t>
            </w:r>
            <w:r w:rsidRPr="00912AEF">
              <w:rPr>
                <w:sz w:val="22"/>
                <w:szCs w:val="22"/>
              </w:rPr>
              <w:t>100,000</w:t>
            </w:r>
            <w:r w:rsidR="00F001E5">
              <w:rPr>
                <w:sz w:val="22"/>
                <w:szCs w:val="22"/>
              </w:rPr>
              <w:t xml:space="preserve"> unserved</w:t>
            </w:r>
            <w:r w:rsidRPr="00912AEF">
              <w:rPr>
                <w:sz w:val="22"/>
                <w:szCs w:val="22"/>
              </w:rPr>
              <w:t xml:space="preserve"> rural homes and businesses</w:t>
            </w:r>
            <w:r w:rsidR="00555C1F">
              <w:rPr>
                <w:sz w:val="22"/>
                <w:szCs w:val="22"/>
              </w:rPr>
              <w:t xml:space="preserve"> in these states</w:t>
            </w:r>
            <w:r w:rsidRPr="00912AEF">
              <w:rPr>
                <w:sz w:val="22"/>
                <w:szCs w:val="22"/>
              </w:rPr>
              <w:t>.</w:t>
            </w:r>
            <w:r w:rsidR="00B1183D">
              <w:rPr>
                <w:sz w:val="22"/>
                <w:szCs w:val="22"/>
              </w:rPr>
              <w:t xml:space="preserve">  Broadband providers </w:t>
            </w:r>
            <w:r w:rsidR="00CD06C2">
              <w:rPr>
                <w:sz w:val="22"/>
                <w:szCs w:val="22"/>
              </w:rPr>
              <w:t>will begin receiving funding later this month.</w:t>
            </w:r>
            <w:r w:rsidRPr="00912AEF">
              <w:rPr>
                <w:sz w:val="22"/>
                <w:szCs w:val="22"/>
              </w:rPr>
              <w:t xml:space="preserve">  </w:t>
            </w:r>
          </w:p>
          <w:p w:rsidR="00F3259A" w:rsidRPr="00912AEF" w:rsidP="00F3259A" w14:paraId="35832E5A" w14:textId="77777777">
            <w:pPr>
              <w:rPr>
                <w:sz w:val="22"/>
                <w:szCs w:val="22"/>
              </w:rPr>
            </w:pPr>
          </w:p>
          <w:p w:rsidR="002E3AEF" w:rsidRPr="00912AEF" w:rsidP="00F3259A" w14:paraId="57BBAA92" w14:textId="35A0F8C3">
            <w:pPr>
              <w:rPr>
                <w:sz w:val="22"/>
                <w:szCs w:val="22"/>
              </w:rPr>
            </w:pPr>
            <w:bookmarkStart w:id="1" w:name="_Hlk32395416"/>
            <w:r w:rsidRPr="00912AEF">
              <w:rPr>
                <w:sz w:val="22"/>
                <w:szCs w:val="22"/>
              </w:rPr>
              <w:t>“</w:t>
            </w:r>
            <w:r w:rsidR="00BC61D2">
              <w:rPr>
                <w:sz w:val="22"/>
                <w:szCs w:val="22"/>
              </w:rPr>
              <w:t>T</w:t>
            </w:r>
            <w:r w:rsidR="00A94082">
              <w:rPr>
                <w:sz w:val="22"/>
                <w:szCs w:val="22"/>
              </w:rPr>
              <w:t xml:space="preserve">oday’s announcement is another important step </w:t>
            </w:r>
            <w:r w:rsidR="003D6732">
              <w:rPr>
                <w:sz w:val="22"/>
                <w:szCs w:val="22"/>
              </w:rPr>
              <w:t>in our efforts to close the digital divide</w:t>
            </w:r>
            <w:r w:rsidR="00A67BC8">
              <w:rPr>
                <w:sz w:val="22"/>
                <w:szCs w:val="22"/>
              </w:rPr>
              <w:t xml:space="preserve"> and connect rural Americans with the economic, health</w:t>
            </w:r>
            <w:r w:rsidR="00B85244">
              <w:rPr>
                <w:sz w:val="22"/>
                <w:szCs w:val="22"/>
              </w:rPr>
              <w:t xml:space="preserve">care, </w:t>
            </w:r>
            <w:r w:rsidR="007013C8">
              <w:rPr>
                <w:sz w:val="22"/>
                <w:szCs w:val="22"/>
              </w:rPr>
              <w:t>and educational opportunities made possible by high-speed broadband</w:t>
            </w:r>
            <w:r w:rsidRPr="0056243B" w:rsidR="0056243B">
              <w:rPr>
                <w:sz w:val="22"/>
                <w:szCs w:val="22"/>
              </w:rPr>
              <w:t>,” said FCC Chairman Ajit Pai.  “</w:t>
            </w:r>
            <w:r w:rsidR="00C17B52">
              <w:rPr>
                <w:sz w:val="22"/>
                <w:szCs w:val="22"/>
              </w:rPr>
              <w:t xml:space="preserve">Earlier this week, </w:t>
            </w:r>
            <w:r w:rsidR="00C85E9A">
              <w:rPr>
                <w:sz w:val="22"/>
                <w:szCs w:val="22"/>
              </w:rPr>
              <w:t xml:space="preserve">I had the opportunity to see </w:t>
            </w:r>
            <w:r w:rsidR="00DF53D7">
              <w:rPr>
                <w:sz w:val="22"/>
                <w:szCs w:val="22"/>
              </w:rPr>
              <w:t xml:space="preserve">firsthand </w:t>
            </w:r>
            <w:r w:rsidR="00C85E9A">
              <w:rPr>
                <w:sz w:val="22"/>
                <w:szCs w:val="22"/>
              </w:rPr>
              <w:t xml:space="preserve">how </w:t>
            </w:r>
            <w:r w:rsidR="00224202">
              <w:rPr>
                <w:sz w:val="22"/>
                <w:szCs w:val="22"/>
              </w:rPr>
              <w:t xml:space="preserve">funding provided through the </w:t>
            </w:r>
            <w:r w:rsidR="00FB6E0B">
              <w:rPr>
                <w:sz w:val="22"/>
                <w:szCs w:val="22"/>
              </w:rPr>
              <w:t xml:space="preserve">FCC’s </w:t>
            </w:r>
            <w:r w:rsidR="00224202">
              <w:rPr>
                <w:sz w:val="22"/>
                <w:szCs w:val="22"/>
              </w:rPr>
              <w:t xml:space="preserve">Connect America Fund Phase II auction </w:t>
            </w:r>
            <w:r w:rsidR="00242AD2">
              <w:rPr>
                <w:sz w:val="22"/>
                <w:szCs w:val="22"/>
              </w:rPr>
              <w:t xml:space="preserve">is </w:t>
            </w:r>
            <w:r w:rsidR="00DF53D7">
              <w:rPr>
                <w:sz w:val="22"/>
                <w:szCs w:val="22"/>
              </w:rPr>
              <w:t>having a positive impact</w:t>
            </w:r>
            <w:r w:rsidR="00224202">
              <w:rPr>
                <w:sz w:val="22"/>
                <w:szCs w:val="22"/>
              </w:rPr>
              <w:t xml:space="preserve"> </w:t>
            </w:r>
            <w:r w:rsidR="000C13BD">
              <w:rPr>
                <w:sz w:val="22"/>
                <w:szCs w:val="22"/>
              </w:rPr>
              <w:t>on the Wind River Indian Reservation</w:t>
            </w:r>
            <w:r w:rsidR="003B54CF">
              <w:rPr>
                <w:sz w:val="22"/>
                <w:szCs w:val="22"/>
              </w:rPr>
              <w:t xml:space="preserve"> in rural Wyoming</w:t>
            </w:r>
            <w:r w:rsidR="000C13BD">
              <w:rPr>
                <w:sz w:val="22"/>
                <w:szCs w:val="22"/>
              </w:rPr>
              <w:t xml:space="preserve">.  </w:t>
            </w:r>
            <w:r w:rsidR="00DC1725">
              <w:rPr>
                <w:sz w:val="22"/>
                <w:szCs w:val="22"/>
              </w:rPr>
              <w:t xml:space="preserve">And the funding we are </w:t>
            </w:r>
            <w:r w:rsidR="00F001E5">
              <w:rPr>
                <w:sz w:val="22"/>
                <w:szCs w:val="22"/>
              </w:rPr>
              <w:t xml:space="preserve">authorizing </w:t>
            </w:r>
            <w:r w:rsidR="00DC1725">
              <w:rPr>
                <w:sz w:val="22"/>
                <w:szCs w:val="22"/>
              </w:rPr>
              <w:t>today</w:t>
            </w:r>
            <w:r w:rsidR="003664F6">
              <w:rPr>
                <w:sz w:val="22"/>
                <w:szCs w:val="22"/>
              </w:rPr>
              <w:t xml:space="preserve"> will </w:t>
            </w:r>
            <w:r w:rsidR="00F001E5">
              <w:rPr>
                <w:sz w:val="22"/>
                <w:szCs w:val="22"/>
              </w:rPr>
              <w:t>bring those same</w:t>
            </w:r>
            <w:r w:rsidR="00C960CC">
              <w:rPr>
                <w:sz w:val="22"/>
                <w:szCs w:val="22"/>
              </w:rPr>
              <w:t xml:space="preserve"> benefits </w:t>
            </w:r>
            <w:r w:rsidR="00F001E5">
              <w:rPr>
                <w:sz w:val="22"/>
                <w:szCs w:val="22"/>
              </w:rPr>
              <w:t>and</w:t>
            </w:r>
            <w:r w:rsidR="00C960CC">
              <w:rPr>
                <w:sz w:val="22"/>
                <w:szCs w:val="22"/>
              </w:rPr>
              <w:t xml:space="preserve"> connect</w:t>
            </w:r>
            <w:r w:rsidR="002E2D76">
              <w:rPr>
                <w:sz w:val="22"/>
                <w:szCs w:val="22"/>
              </w:rPr>
              <w:t xml:space="preserve"> more rural Americans with </w:t>
            </w:r>
            <w:r w:rsidR="00A37CEF">
              <w:rPr>
                <w:sz w:val="22"/>
                <w:szCs w:val="22"/>
              </w:rPr>
              <w:t>digital opportunity.</w:t>
            </w:r>
            <w:r w:rsidR="000369E1">
              <w:rPr>
                <w:sz w:val="22"/>
                <w:szCs w:val="22"/>
              </w:rPr>
              <w:t>”</w:t>
            </w:r>
            <w:bookmarkStart w:id="2" w:name="_Hlk32393796"/>
          </w:p>
          <w:bookmarkEnd w:id="1"/>
          <w:bookmarkEnd w:id="2"/>
          <w:p w:rsidR="00F3259A" w:rsidRPr="00912AEF" w:rsidP="00F3259A" w14:paraId="1532EB3F" w14:textId="77777777">
            <w:pPr>
              <w:rPr>
                <w:sz w:val="22"/>
                <w:szCs w:val="22"/>
              </w:rPr>
            </w:pPr>
          </w:p>
          <w:p w:rsidR="00BD19E8" w:rsidRPr="00B377BA" w:rsidP="00F3259A" w14:paraId="5D77926C" w14:textId="20886C4B">
            <w:pPr>
              <w:rPr>
                <w:sz w:val="22"/>
                <w:szCs w:val="22"/>
              </w:rPr>
            </w:pPr>
            <w:r w:rsidRPr="00912AEF">
              <w:rPr>
                <w:sz w:val="22"/>
                <w:szCs w:val="22"/>
              </w:rPr>
              <w:t>This represents</w:t>
            </w:r>
            <w:r w:rsidRPr="00912AEF" w:rsidR="00106DB7">
              <w:rPr>
                <w:sz w:val="22"/>
                <w:szCs w:val="22"/>
              </w:rPr>
              <w:t xml:space="preserve"> the </w:t>
            </w:r>
            <w:r w:rsidRPr="00912AEF">
              <w:rPr>
                <w:sz w:val="22"/>
                <w:szCs w:val="22"/>
              </w:rPr>
              <w:t>ninth</w:t>
            </w:r>
            <w:r w:rsidRPr="00912AEF" w:rsidR="00106DB7">
              <w:rPr>
                <w:sz w:val="22"/>
                <w:szCs w:val="22"/>
              </w:rPr>
              <w:t xml:space="preserve"> wave of support from </w:t>
            </w:r>
            <w:r w:rsidR="00E34809">
              <w:rPr>
                <w:sz w:val="22"/>
                <w:szCs w:val="22"/>
              </w:rPr>
              <w:t xml:space="preserve">the </w:t>
            </w:r>
            <w:r w:rsidRPr="00912AEF" w:rsidR="00106DB7">
              <w:rPr>
                <w:sz w:val="22"/>
                <w:szCs w:val="22"/>
              </w:rPr>
              <w:t xml:space="preserve">successful </w:t>
            </w:r>
            <w:r w:rsidR="00945C3A">
              <w:rPr>
                <w:sz w:val="22"/>
                <w:szCs w:val="22"/>
              </w:rPr>
              <w:t>2018</w:t>
            </w:r>
            <w:r w:rsidRPr="00912AEF" w:rsidR="00945C3A">
              <w:rPr>
                <w:sz w:val="22"/>
                <w:szCs w:val="22"/>
              </w:rPr>
              <w:t xml:space="preserve"> </w:t>
            </w:r>
            <w:r w:rsidRPr="00912AEF" w:rsidR="00106DB7">
              <w:rPr>
                <w:sz w:val="22"/>
                <w:szCs w:val="22"/>
              </w:rPr>
              <w:t xml:space="preserve">Connect America Fund Phase II auction.  </w:t>
            </w:r>
            <w:r w:rsidRPr="00B377BA" w:rsidR="00555C1F">
              <w:rPr>
                <w:sz w:val="22"/>
                <w:szCs w:val="22"/>
              </w:rPr>
              <w:t>Providers must build out to 40% of the assigned homes and businesses in the areas won in a state within three years.  Buildout must increase by 20% in each subsequent year, until complete buildout is reached at the end of the sixth year.</w:t>
            </w:r>
            <w:r w:rsidR="00945C3A">
              <w:rPr>
                <w:sz w:val="22"/>
                <w:szCs w:val="22"/>
              </w:rPr>
              <w:t xml:space="preserve"> </w:t>
            </w:r>
          </w:p>
          <w:p w:rsidR="00D737CD" w:rsidRPr="00B377BA" w:rsidP="00F3259A" w14:paraId="5B42F901" w14:textId="335775E1">
            <w:pPr>
              <w:rPr>
                <w:sz w:val="22"/>
                <w:szCs w:val="22"/>
              </w:rPr>
            </w:pPr>
          </w:p>
          <w:p w:rsidR="00D737CD" w:rsidRPr="00B377BA" w:rsidP="00F3259A" w14:paraId="3D51FC66" w14:textId="46C05870">
            <w:pPr>
              <w:rPr>
                <w:sz w:val="22"/>
                <w:szCs w:val="22"/>
              </w:rPr>
            </w:pPr>
            <w:r w:rsidRPr="00B377BA">
              <w:rPr>
                <w:sz w:val="22"/>
                <w:szCs w:val="22"/>
              </w:rPr>
              <w:t>The</w:t>
            </w:r>
            <w:r w:rsidR="00F001E5">
              <w:rPr>
                <w:sz w:val="22"/>
                <w:szCs w:val="22"/>
              </w:rPr>
              <w:t xml:space="preserve"> funding being authorized in</w:t>
            </w:r>
            <w:r w:rsidRPr="00B377BA">
              <w:rPr>
                <w:sz w:val="22"/>
                <w:szCs w:val="22"/>
              </w:rPr>
              <w:t xml:space="preserve"> New York</w:t>
            </w:r>
            <w:r w:rsidR="00F001E5">
              <w:rPr>
                <w:sz w:val="22"/>
                <w:szCs w:val="22"/>
              </w:rPr>
              <w:t xml:space="preserve"> </w:t>
            </w:r>
            <w:r w:rsidRPr="00B377BA">
              <w:rPr>
                <w:sz w:val="22"/>
                <w:szCs w:val="22"/>
              </w:rPr>
              <w:t xml:space="preserve">is the third wave of matching funds provided </w:t>
            </w:r>
            <w:r w:rsidR="00F001E5">
              <w:rPr>
                <w:sz w:val="22"/>
                <w:szCs w:val="22"/>
              </w:rPr>
              <w:t>through the FCC’s</w:t>
            </w:r>
            <w:r w:rsidRPr="00B377BA">
              <w:rPr>
                <w:sz w:val="22"/>
                <w:szCs w:val="22"/>
              </w:rPr>
              <w:t xml:space="preserve"> partnership with the state’s New NY Broadband Program.</w:t>
            </w:r>
            <w:r w:rsidR="00E702AC">
              <w:rPr>
                <w:sz w:val="22"/>
                <w:szCs w:val="22"/>
              </w:rPr>
              <w:t xml:space="preserve">  </w:t>
            </w:r>
          </w:p>
          <w:p w:rsidR="00850E26" w:rsidRPr="00B377BA" w:rsidP="002E165B" w14:paraId="5D527DEA" w14:textId="77777777">
            <w:pPr>
              <w:rPr>
                <w:sz w:val="22"/>
                <w:szCs w:val="22"/>
              </w:rPr>
            </w:pPr>
          </w:p>
          <w:p w:rsidR="00BD19E8" w:rsidRPr="00B377BA" w:rsidP="002E165B" w14:paraId="40B56D2C" w14:textId="77777777">
            <w:pPr>
              <w:rPr>
                <w:sz w:val="22"/>
                <w:szCs w:val="22"/>
              </w:rPr>
            </w:pPr>
            <w:r w:rsidRPr="00B377BA">
              <w:rPr>
                <w:sz w:val="22"/>
                <w:szCs w:val="22"/>
              </w:rPr>
              <w:t xml:space="preserve">Below is a complete list by state of the companies receiving support, the number of homes and businesses served (locations), the amount of support over 10 years, and the minimum download/upload speeds to be provided: </w:t>
            </w:r>
          </w:p>
          <w:p w:rsidR="00707F12" w:rsidRPr="00B377BA" w:rsidP="002E165B" w14:paraId="0B2A11CC" w14:textId="77777777">
            <w:pPr>
              <w:rPr>
                <w:sz w:val="22"/>
                <w:szCs w:val="22"/>
              </w:rPr>
            </w:pPr>
          </w:p>
          <w:tbl>
            <w:tblPr>
              <w:tblW w:w="8414" w:type="dxa"/>
              <w:tblLook w:val="04A0"/>
            </w:tblPr>
            <w:tblGrid>
              <w:gridCol w:w="1524"/>
              <w:gridCol w:w="2459"/>
              <w:gridCol w:w="1321"/>
              <w:gridCol w:w="1761"/>
              <w:gridCol w:w="1349"/>
            </w:tblGrid>
            <w:tr w14:paraId="067522B8" w14:textId="77777777" w:rsidTr="00707F12">
              <w:tblPrEx>
                <w:tblW w:w="8414" w:type="dxa"/>
                <w:tblLook w:val="04A0"/>
              </w:tblPrEx>
              <w:trPr>
                <w:trHeight w:val="585"/>
              </w:trPr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F12" w:rsidRPr="00B377BA" w:rsidP="00707F12" w14:paraId="675E2AF4" w14:textId="4EC1AA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Pr="00B377BA">
                    <w:rPr>
                      <w:b/>
                      <w:bCs/>
                      <w:color w:val="000000"/>
                      <w:sz w:val="22"/>
                      <w:szCs w:val="22"/>
                    </w:rPr>
                    <w:t>tate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F12" w:rsidRPr="00B377BA" w:rsidP="00707F12" w14:paraId="22A2B626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Company              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F12" w:rsidRPr="00B377BA" w:rsidP="00707F12" w14:paraId="57328BAC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b/>
                      <w:bCs/>
                      <w:color w:val="000000"/>
                      <w:sz w:val="22"/>
                      <w:szCs w:val="22"/>
                    </w:rPr>
                    <w:t>Minimum Speed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F12" w:rsidRPr="00B377BA" w:rsidP="00707F12" w14:paraId="49252458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b/>
                      <w:bCs/>
                      <w:color w:val="000000"/>
                      <w:sz w:val="22"/>
                      <w:szCs w:val="22"/>
                    </w:rPr>
                    <w:t>Support/10 Years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F12" w:rsidRPr="00B377BA" w:rsidP="00707F12" w14:paraId="30F01C29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b/>
                      <w:bCs/>
                      <w:color w:val="000000"/>
                      <w:sz w:val="22"/>
                      <w:szCs w:val="22"/>
                    </w:rPr>
                    <w:t>Locations</w:t>
                  </w:r>
                </w:p>
              </w:tc>
            </w:tr>
            <w:tr w14:paraId="11FCA415" w14:textId="77777777" w:rsidTr="00945C3A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56C1ADC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Arkansas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45C3A" w14:paraId="5F35A42E" w14:textId="28093A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Wisper ISP, Inc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45C3A" w14:paraId="27E86B94" w14:textId="542D100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1A73D1B4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$399,565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68409E0F" w14:textId="538BD6CB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102</w:t>
                  </w:r>
                </w:p>
              </w:tc>
            </w:tr>
            <w:tr w14:paraId="3F262250" w14:textId="77777777" w:rsidTr="00945C3A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2B86" w:rsidRPr="00B377BA" w:rsidP="00945C3A" w14:paraId="242F6C0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Illinois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442B86" w:rsidRPr="00B377BA" w:rsidP="00945C3A" w14:paraId="4A51384A" w14:textId="3A25457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Wisper ISP, Inc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442B86" w:rsidRPr="00B377BA" w:rsidP="00945C3A" w14:paraId="28E95B9B" w14:textId="08097A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2B86" w:rsidRPr="00B377BA" w:rsidP="00945C3A" w14:paraId="1B6C124B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$35,079,137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2B86" w:rsidRPr="00B377BA" w:rsidP="00945C3A" w14:paraId="1C067794" w14:textId="676C3172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8,907</w:t>
                  </w:r>
                </w:p>
              </w:tc>
            </w:tr>
            <w:tr w14:paraId="5344F6CF" w14:textId="77777777" w:rsidTr="00945C3A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2B86" w:rsidRPr="00B377BA" w:rsidP="00945C3A" w14:paraId="34FF1DB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Indiana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442B86" w:rsidRPr="00B377BA" w:rsidP="00945C3A" w14:paraId="3A2400B3" w14:textId="42E5DB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Wisper ISP, Inc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442B86" w:rsidRPr="00B377BA" w:rsidP="00945C3A" w14:paraId="123B993D" w14:textId="7349837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2B86" w:rsidRPr="00B377BA" w:rsidP="00945C3A" w14:paraId="1372743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$123,648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2B86" w:rsidRPr="00B377BA" w:rsidP="00945C3A" w14:paraId="28E0CDD4" w14:textId="0B1F6950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14:paraId="52FC4897" w14:textId="77777777" w:rsidTr="00945C3A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2B86" w:rsidRPr="00B377BA" w:rsidP="00945C3A" w14:paraId="17BD5744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Kansas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442B86" w:rsidRPr="00B377BA" w:rsidP="00945C3A" w14:paraId="55C98D0A" w14:textId="07326E0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Wisper ISP, Inc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442B86" w:rsidRPr="00B377BA" w:rsidP="00945C3A" w14:paraId="3034A175" w14:textId="27F4FDE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2B86" w:rsidRPr="00B377BA" w:rsidP="00945C3A" w14:paraId="6E22E3C3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$1,607,524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2B86" w:rsidRPr="00B377BA" w:rsidP="00945C3A" w14:paraId="4B889D03" w14:textId="60BB3D0D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414</w:t>
                  </w:r>
                </w:p>
              </w:tc>
            </w:tr>
            <w:tr w14:paraId="04813100" w14:textId="77777777" w:rsidTr="00945C3A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3379B42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Massachusetts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45C3A" w14:paraId="5F011A34" w14:textId="7FD29A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Westfield Gas &amp; Electric Light Department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45C3A" w14:paraId="48571528" w14:textId="2CAF4F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 xml:space="preserve"> 1 Gbps/500 Mbps</w:t>
                  </w:r>
                  <w:r w:rsidR="00C60AEA">
                    <w:rPr>
                      <w:color w:val="000000"/>
                      <w:sz w:val="22"/>
                      <w:szCs w:val="22"/>
                    </w:rPr>
                    <w:t>; 10/</w:t>
                  </w:r>
                  <w:r w:rsidR="0004535C">
                    <w:rPr>
                      <w:color w:val="000000"/>
                      <w:sz w:val="22"/>
                      <w:szCs w:val="22"/>
                    </w:rPr>
                    <w:t>1 Mbps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4FD37852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$10,228,950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7EBBC4FE" w14:textId="58DB4D2D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4,665</w:t>
                  </w:r>
                </w:p>
              </w:tc>
            </w:tr>
            <w:tr w14:paraId="3D639350" w14:textId="77777777" w:rsidTr="00945C3A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6B416FB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Missouri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45C3A" w14:paraId="4866B6F6" w14:textId="34B31FF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Wisper ISP, Inc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45C3A" w14:paraId="2785D74E" w14:textId="25F59F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100/20 Mbps</w:t>
                  </w:r>
                  <w:r w:rsidR="0004535C">
                    <w:rPr>
                      <w:color w:val="000000"/>
                      <w:sz w:val="22"/>
                      <w:szCs w:val="22"/>
                    </w:rPr>
                    <w:t>; 25/3 Mbps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54A1A04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$176,319,409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578FA96D" w14:textId="789F920C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68,269</w:t>
                  </w:r>
                </w:p>
              </w:tc>
            </w:tr>
            <w:tr w14:paraId="3B2044DE" w14:textId="77777777" w:rsidTr="00945C3A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34755" w:rsidRPr="00B377BA" w:rsidP="00945C3A" w14:paraId="3017404D" w14:textId="5AE85903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New York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34755" w:rsidRPr="00B377BA" w:rsidP="00945C3A" w14:paraId="070A9475" w14:textId="4C591EF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Hughes Network Systems, LLC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34755" w:rsidRPr="00B377BA" w:rsidP="00945C3A" w14:paraId="3BEDEEBF" w14:textId="08BB374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34755" w:rsidRPr="00B377BA" w:rsidP="00945C3A" w14:paraId="31ECEF9A" w14:textId="68DDEA4D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$7,026,075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34755" w:rsidRPr="00B377BA" w:rsidP="00945C3A" w14:paraId="69B0B518" w14:textId="646EAFE1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22,305</w:t>
                  </w:r>
                </w:p>
              </w:tc>
            </w:tr>
            <w:tr w14:paraId="68E0A4F6" w14:textId="77777777" w:rsidTr="00945C3A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5FFEC8B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45C3A" w14:paraId="4C6827E5" w14:textId="56DD12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Wisper ISP, Inc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45C3A" w14:paraId="52CF543B" w14:textId="67E4FFA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76DF45A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$6,790,089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6E8113C7" w14:textId="1193BE72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2,443</w:t>
                  </w:r>
                </w:p>
              </w:tc>
            </w:tr>
            <w:tr w14:paraId="0DEE5847" w14:textId="77777777" w:rsidTr="00945C3A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0D257252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Wyoming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45C3A" w14:paraId="709F7E6A" w14:textId="25B285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Mountain West Technologies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45C3A" w14:paraId="31C1A56A" w14:textId="589C43D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6CF3A58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$2,658,056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45C3A" w14:paraId="5A230E74" w14:textId="03726CF1">
                  <w:pPr>
                    <w:jc w:val="center"/>
                    <w:rPr>
                      <w:sz w:val="22"/>
                      <w:szCs w:val="22"/>
                    </w:rPr>
                  </w:pPr>
                  <w:r w:rsidRPr="00B377BA">
                    <w:rPr>
                      <w:sz w:val="22"/>
                      <w:szCs w:val="22"/>
                    </w:rPr>
                    <w:t>550</w:t>
                  </w:r>
                </w:p>
              </w:tc>
            </w:tr>
            <w:tr w14:paraId="28EB06BC" w14:textId="77777777" w:rsidTr="00B377BA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80C50" w14:paraId="0BBD50FF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80C50" w14:paraId="78D8F8C3" w14:textId="57CA1B4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07F12" w:rsidRPr="00B377BA" w:rsidP="00980C50" w14:paraId="36CC3E89" w14:textId="7F84BEA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80C50" w14:paraId="5487E49C" w14:textId="7BF965D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b/>
                      <w:bCs/>
                      <w:color w:val="000000"/>
                      <w:sz w:val="22"/>
                      <w:szCs w:val="22"/>
                    </w:rPr>
                    <w:t>$240,232,453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07F12" w:rsidRPr="00B377BA" w:rsidP="00980C50" w14:paraId="7C5A2283" w14:textId="54C4B70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377BA">
                    <w:rPr>
                      <w:b/>
                      <w:bCs/>
                      <w:color w:val="000000"/>
                      <w:sz w:val="22"/>
                      <w:szCs w:val="22"/>
                    </w:rPr>
                    <w:t>107,669</w:t>
                  </w:r>
                </w:p>
              </w:tc>
            </w:tr>
          </w:tbl>
          <w:p w:rsidR="00F3259A" w:rsidRPr="00B377BA" w:rsidP="002E165B" w14:paraId="5B6E199C" w14:textId="77777777">
            <w:pPr>
              <w:rPr>
                <w:sz w:val="22"/>
                <w:szCs w:val="22"/>
              </w:rPr>
            </w:pPr>
          </w:p>
          <w:p w:rsidR="00106DB7" w:rsidRPr="00106DB7" w:rsidP="00106DB7" w14:paraId="4561B081" w14:textId="1C65668B">
            <w:pPr>
              <w:rPr>
                <w:sz w:val="22"/>
                <w:szCs w:val="22"/>
              </w:rPr>
            </w:pPr>
            <w:r w:rsidRPr="00B377BA">
              <w:rPr>
                <w:sz w:val="22"/>
                <w:szCs w:val="22"/>
              </w:rPr>
              <w:t xml:space="preserve">In total, the Connect America Fund </w:t>
            </w:r>
            <w:r w:rsidR="00F429BE">
              <w:rPr>
                <w:sz w:val="22"/>
                <w:szCs w:val="22"/>
              </w:rPr>
              <w:t xml:space="preserve">Phase II </w:t>
            </w:r>
            <w:r w:rsidR="000150F9">
              <w:rPr>
                <w:sz w:val="22"/>
                <w:szCs w:val="22"/>
              </w:rPr>
              <w:t>A</w:t>
            </w:r>
            <w:r w:rsidRPr="00B377BA">
              <w:rPr>
                <w:sz w:val="22"/>
                <w:szCs w:val="22"/>
              </w:rPr>
              <w:t xml:space="preserve">uction </w:t>
            </w:r>
            <w:r w:rsidRPr="00B377BA" w:rsidR="00912AEF">
              <w:rPr>
                <w:sz w:val="22"/>
                <w:szCs w:val="22"/>
              </w:rPr>
              <w:t>in 2018</w:t>
            </w:r>
            <w:r w:rsidRPr="00B377BA">
              <w:rPr>
                <w:sz w:val="22"/>
                <w:szCs w:val="22"/>
              </w:rPr>
              <w:t xml:space="preserve"> allocated $1.488 billion in support over the next ten years to expand broadband to more than 700,000 unserved rural homes and small businesses </w:t>
            </w:r>
            <w:r w:rsidRPr="00B377BA" w:rsidR="007732F9">
              <w:rPr>
                <w:sz w:val="22"/>
                <w:szCs w:val="22"/>
              </w:rPr>
              <w:t xml:space="preserve">in </w:t>
            </w:r>
            <w:r w:rsidRPr="00B377BA" w:rsidR="00262C03">
              <w:rPr>
                <w:sz w:val="22"/>
                <w:szCs w:val="22"/>
              </w:rPr>
              <w:t xml:space="preserve">45 </w:t>
            </w:r>
            <w:r w:rsidRPr="00B377BA" w:rsidR="007732F9">
              <w:rPr>
                <w:sz w:val="22"/>
                <w:szCs w:val="22"/>
              </w:rPr>
              <w:t>states</w:t>
            </w:r>
            <w:r w:rsidRPr="00B377BA">
              <w:rPr>
                <w:sz w:val="22"/>
                <w:szCs w:val="22"/>
              </w:rPr>
              <w:t xml:space="preserve">.  The FCC has now authorized </w:t>
            </w:r>
            <w:r w:rsidRPr="00B377BA" w:rsidR="00912AEF">
              <w:rPr>
                <w:sz w:val="22"/>
                <w:szCs w:val="22"/>
              </w:rPr>
              <w:t>nine</w:t>
            </w:r>
            <w:r w:rsidRPr="00B377BA">
              <w:rPr>
                <w:sz w:val="22"/>
                <w:szCs w:val="22"/>
              </w:rPr>
              <w:t xml:space="preserve"> waves of funding, and today’s action brings total authorized funding to </w:t>
            </w:r>
            <w:r w:rsidR="00321D9B">
              <w:rPr>
                <w:sz w:val="22"/>
                <w:szCs w:val="22"/>
              </w:rPr>
              <w:t>over</w:t>
            </w:r>
            <w:r w:rsidRPr="00B377BA">
              <w:rPr>
                <w:sz w:val="22"/>
                <w:szCs w:val="22"/>
              </w:rPr>
              <w:t xml:space="preserve"> $1.</w:t>
            </w:r>
            <w:r w:rsidRPr="00B377BA" w:rsidR="003660B1">
              <w:rPr>
                <w:sz w:val="22"/>
                <w:szCs w:val="22"/>
              </w:rPr>
              <w:t>4</w:t>
            </w:r>
            <w:r w:rsidRPr="00B377BA">
              <w:rPr>
                <w:sz w:val="22"/>
                <w:szCs w:val="22"/>
              </w:rPr>
              <w:t xml:space="preserve"> billion</w:t>
            </w:r>
            <w:r w:rsidRPr="00106DB7">
              <w:rPr>
                <w:sz w:val="22"/>
                <w:szCs w:val="22"/>
              </w:rPr>
              <w:t xml:space="preserve">, which is expanding connectivity to </w:t>
            </w:r>
            <w:r w:rsidR="003660B1">
              <w:rPr>
                <w:sz w:val="22"/>
                <w:szCs w:val="22"/>
              </w:rPr>
              <w:t>627,097</w:t>
            </w:r>
            <w:r w:rsidRPr="00106DB7">
              <w:rPr>
                <w:sz w:val="22"/>
                <w:szCs w:val="22"/>
              </w:rPr>
              <w:t xml:space="preserve"> homes and businesses nationwide.  Funding rounds will continue until the authorization process is complete.</w:t>
            </w:r>
          </w:p>
          <w:p w:rsidR="00106DB7" w:rsidRPr="00106DB7" w:rsidP="00106DB7" w14:paraId="6B6FD8FC" w14:textId="77777777">
            <w:pPr>
              <w:rPr>
                <w:sz w:val="22"/>
                <w:szCs w:val="22"/>
              </w:rPr>
            </w:pPr>
          </w:p>
          <w:p w:rsidR="00106DB7" w:rsidRPr="00106DB7" w:rsidP="00106DB7" w14:paraId="3CE42280" w14:textId="4A5CE193">
            <w:pPr>
              <w:rPr>
                <w:sz w:val="22"/>
                <w:szCs w:val="22"/>
              </w:rPr>
            </w:pPr>
            <w:hyperlink r:id="rId5" w:history="1">
              <w:r w:rsidRPr="00106DB7">
                <w:rPr>
                  <w:rStyle w:val="Hyperlink"/>
                  <w:sz w:val="22"/>
                  <w:szCs w:val="22"/>
                </w:rPr>
                <w:t>The Connect America Fund Phase II Auction</w:t>
              </w:r>
            </w:hyperlink>
            <w:r w:rsidRPr="00106DB7">
              <w:rPr>
                <w:sz w:val="22"/>
                <w:szCs w:val="22"/>
              </w:rPr>
              <w:t xml:space="preserve"> is part of a broader effort by the FCC to close the </w:t>
            </w:r>
            <w:hyperlink r:id="rId6" w:history="1">
              <w:r w:rsidRPr="00106DB7">
                <w:rPr>
                  <w:rStyle w:val="Hyperlink"/>
                  <w:sz w:val="22"/>
                  <w:szCs w:val="22"/>
                </w:rPr>
                <w:t>digital divide</w:t>
              </w:r>
            </w:hyperlink>
            <w:r w:rsidRPr="00106DB7">
              <w:rPr>
                <w:sz w:val="22"/>
                <w:szCs w:val="22"/>
              </w:rPr>
              <w:t xml:space="preserve"> in rural America.  </w:t>
            </w:r>
            <w:r w:rsidRPr="00912AEF" w:rsidR="00912AEF">
              <w:rPr>
                <w:sz w:val="22"/>
                <w:szCs w:val="22"/>
              </w:rPr>
              <w:t xml:space="preserve">In </w:t>
            </w:r>
            <w:r w:rsidR="006D60A4">
              <w:rPr>
                <w:sz w:val="22"/>
                <w:szCs w:val="22"/>
              </w:rPr>
              <w:t>January</w:t>
            </w:r>
            <w:r w:rsidRPr="00106DB7">
              <w:rPr>
                <w:sz w:val="22"/>
                <w:szCs w:val="22"/>
              </w:rPr>
              <w:t xml:space="preserve">, the FCC </w:t>
            </w:r>
            <w:r w:rsidR="006D60A4">
              <w:rPr>
                <w:sz w:val="22"/>
                <w:szCs w:val="22"/>
              </w:rPr>
              <w:t>took</w:t>
            </w:r>
            <w:r w:rsidRPr="00106DB7" w:rsidR="006D60A4">
              <w:rPr>
                <w:sz w:val="22"/>
                <w:szCs w:val="22"/>
              </w:rPr>
              <w:t xml:space="preserve"> </w:t>
            </w:r>
            <w:r w:rsidRPr="00106DB7">
              <w:rPr>
                <w:sz w:val="22"/>
                <w:szCs w:val="22"/>
              </w:rPr>
              <w:t xml:space="preserve">its biggest single step to date toward closing the rural digital divide by establishing the </w:t>
            </w:r>
            <w:hyperlink r:id="rId7" w:history="1">
              <w:r w:rsidRPr="00106DB7">
                <w:rPr>
                  <w:rStyle w:val="Hyperlink"/>
                  <w:sz w:val="22"/>
                  <w:szCs w:val="22"/>
                </w:rPr>
                <w:t>Rural Digital Opportunity Fund</w:t>
              </w:r>
            </w:hyperlink>
            <w:r w:rsidRPr="00106DB7">
              <w:rPr>
                <w:sz w:val="22"/>
                <w:szCs w:val="22"/>
              </w:rPr>
              <w:t xml:space="preserve">, which </w:t>
            </w:r>
            <w:r w:rsidR="00085DF3">
              <w:rPr>
                <w:sz w:val="22"/>
                <w:szCs w:val="22"/>
              </w:rPr>
              <w:t xml:space="preserve">will </w:t>
            </w:r>
            <w:r w:rsidRPr="00106DB7">
              <w:rPr>
                <w:sz w:val="22"/>
                <w:szCs w:val="22"/>
              </w:rPr>
              <w:t>direct up to $20.4 billion to expand broadband in unserved rural areas.</w:t>
            </w:r>
          </w:p>
          <w:p w:rsidR="00106DB7" w:rsidRPr="00106DB7" w:rsidP="00106DB7" w14:paraId="170C5228" w14:textId="77777777">
            <w:pPr>
              <w:rPr>
                <w:sz w:val="22"/>
                <w:szCs w:val="22"/>
              </w:rPr>
            </w:pPr>
          </w:p>
          <w:p w:rsidR="00106DB7" w:rsidRPr="00106DB7" w:rsidP="00106DB7" w14:paraId="4EB89136" w14:textId="77777777">
            <w:pPr>
              <w:rPr>
                <w:sz w:val="22"/>
                <w:szCs w:val="22"/>
              </w:rPr>
            </w:pPr>
            <w:r w:rsidRPr="00106DB7">
              <w:rPr>
                <w:sz w:val="22"/>
                <w:szCs w:val="22"/>
              </w:rPr>
              <w:t xml:space="preserve">A map of winning bids in the Auction is available at </w:t>
            </w:r>
            <w:hyperlink r:id="rId8" w:history="1">
              <w:r w:rsidRPr="00106DB7">
                <w:rPr>
                  <w:rStyle w:val="Hyperlink"/>
                  <w:sz w:val="22"/>
                  <w:szCs w:val="22"/>
                </w:rPr>
                <w:t>https://www.fcc.gov/reports-research/maps/caf2-auction903-results/</w:t>
              </w:r>
            </w:hyperlink>
            <w:r w:rsidRPr="00106DB7">
              <w:rPr>
                <w:sz w:val="22"/>
                <w:szCs w:val="22"/>
              </w:rPr>
              <w:t>.</w:t>
            </w:r>
          </w:p>
          <w:p w:rsidR="00106DB7" w:rsidRPr="00912AEF" w:rsidP="002E165B" w14:paraId="19A7A5CD" w14:textId="3D41855C">
            <w:pPr>
              <w:rPr>
                <w:sz w:val="22"/>
                <w:szCs w:val="22"/>
              </w:rPr>
            </w:pPr>
          </w:p>
          <w:p w:rsidR="008D7A6A" w:rsidP="002E165B" w14:paraId="15A5E9A0" w14:textId="17485342">
            <w:pPr>
              <w:rPr>
                <w:sz w:val="22"/>
                <w:szCs w:val="22"/>
              </w:rPr>
            </w:pPr>
            <w:r w:rsidRPr="00912AEF">
              <w:rPr>
                <w:sz w:val="22"/>
                <w:szCs w:val="22"/>
              </w:rPr>
              <w:t xml:space="preserve">New York funding is through a separate process set up by the Commission upon request from and in partnership with the state’s New NY Broadband Program.  </w:t>
            </w:r>
            <w:r w:rsidRPr="00B377BA" w:rsidR="00E702AC">
              <w:rPr>
                <w:sz w:val="22"/>
                <w:szCs w:val="22"/>
              </w:rPr>
              <w:t>In total, the FCC has authorized $62.4 million in federal funding through this partnership</w:t>
            </w:r>
            <w:r w:rsidR="00B50B45">
              <w:rPr>
                <w:sz w:val="22"/>
                <w:szCs w:val="22"/>
              </w:rPr>
              <w:t xml:space="preserve"> to connect </w:t>
            </w:r>
            <w:r w:rsidRPr="00187FCE" w:rsidR="00E702AC">
              <w:rPr>
                <w:sz w:val="22"/>
                <w:szCs w:val="22"/>
              </w:rPr>
              <w:t>45,835 homes and businesses in New York</w:t>
            </w:r>
            <w:r w:rsidR="00E702AC">
              <w:rPr>
                <w:sz w:val="22"/>
                <w:szCs w:val="22"/>
              </w:rPr>
              <w:t xml:space="preserve">.  </w:t>
            </w:r>
            <w:r w:rsidRPr="00912AEF">
              <w:rPr>
                <w:sz w:val="22"/>
                <w:szCs w:val="22"/>
              </w:rPr>
              <w:t>This funding was announced in a separate public notice from the notice annou</w:t>
            </w:r>
            <w:r>
              <w:rPr>
                <w:sz w:val="22"/>
                <w:szCs w:val="22"/>
              </w:rPr>
              <w:t xml:space="preserve">ncing the </w:t>
            </w:r>
            <w:r w:rsidR="00E0472A">
              <w:rPr>
                <w:sz w:val="22"/>
                <w:szCs w:val="22"/>
              </w:rPr>
              <w:t xml:space="preserve">ninth </w:t>
            </w:r>
            <w:r>
              <w:rPr>
                <w:sz w:val="22"/>
                <w:szCs w:val="22"/>
              </w:rPr>
              <w:t xml:space="preserve">wave of Connect America Fund Auction support. </w:t>
            </w:r>
          </w:p>
          <w:p w:rsidR="00106DB7" w:rsidRPr="002E165B" w:rsidP="002E165B" w14:paraId="4F90738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3ABE10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3E46FC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DA0318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598EFE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8AF1ADF" w14:textId="77777777">
      <w:pPr>
        <w:rPr>
          <w:b/>
          <w:bCs/>
          <w:sz w:val="2"/>
          <w:szCs w:val="2"/>
        </w:rPr>
      </w:pPr>
    </w:p>
    <w:sectPr w:rsidSect="00E3480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50F9"/>
    <w:rsid w:val="0002500C"/>
    <w:rsid w:val="000311FC"/>
    <w:rsid w:val="000369E1"/>
    <w:rsid w:val="00040127"/>
    <w:rsid w:val="0004535C"/>
    <w:rsid w:val="00061BCA"/>
    <w:rsid w:val="00065E2D"/>
    <w:rsid w:val="00081232"/>
    <w:rsid w:val="00085DF3"/>
    <w:rsid w:val="00091E65"/>
    <w:rsid w:val="00096D4A"/>
    <w:rsid w:val="000A38EA"/>
    <w:rsid w:val="000C13BD"/>
    <w:rsid w:val="000C1E47"/>
    <w:rsid w:val="000C26F3"/>
    <w:rsid w:val="000D5188"/>
    <w:rsid w:val="000E049E"/>
    <w:rsid w:val="00106DB7"/>
    <w:rsid w:val="0010799B"/>
    <w:rsid w:val="00117DB2"/>
    <w:rsid w:val="00123ED2"/>
    <w:rsid w:val="00125BE0"/>
    <w:rsid w:val="00142C13"/>
    <w:rsid w:val="0014664D"/>
    <w:rsid w:val="00152776"/>
    <w:rsid w:val="00153222"/>
    <w:rsid w:val="001577D3"/>
    <w:rsid w:val="00164FEB"/>
    <w:rsid w:val="00170844"/>
    <w:rsid w:val="001733A6"/>
    <w:rsid w:val="001865A9"/>
    <w:rsid w:val="00187DB2"/>
    <w:rsid w:val="00187FCE"/>
    <w:rsid w:val="00193646"/>
    <w:rsid w:val="001A4805"/>
    <w:rsid w:val="001B20BB"/>
    <w:rsid w:val="001C4370"/>
    <w:rsid w:val="001D29BA"/>
    <w:rsid w:val="001D3779"/>
    <w:rsid w:val="001F0469"/>
    <w:rsid w:val="00203A98"/>
    <w:rsid w:val="00206EDD"/>
    <w:rsid w:val="0021247E"/>
    <w:rsid w:val="002146F6"/>
    <w:rsid w:val="00224202"/>
    <w:rsid w:val="00231C32"/>
    <w:rsid w:val="00240345"/>
    <w:rsid w:val="002421F0"/>
    <w:rsid w:val="00242AD2"/>
    <w:rsid w:val="00247274"/>
    <w:rsid w:val="00262C03"/>
    <w:rsid w:val="00266966"/>
    <w:rsid w:val="00285C36"/>
    <w:rsid w:val="00294C0C"/>
    <w:rsid w:val="002A0934"/>
    <w:rsid w:val="002B1013"/>
    <w:rsid w:val="002D03E5"/>
    <w:rsid w:val="002E165B"/>
    <w:rsid w:val="002E2D76"/>
    <w:rsid w:val="002E3AEF"/>
    <w:rsid w:val="002E3F1D"/>
    <w:rsid w:val="002F31D0"/>
    <w:rsid w:val="00300359"/>
    <w:rsid w:val="0031773E"/>
    <w:rsid w:val="00321D9B"/>
    <w:rsid w:val="00333871"/>
    <w:rsid w:val="00336897"/>
    <w:rsid w:val="00347716"/>
    <w:rsid w:val="003506E1"/>
    <w:rsid w:val="0036139C"/>
    <w:rsid w:val="003660B1"/>
    <w:rsid w:val="003664F6"/>
    <w:rsid w:val="003702A2"/>
    <w:rsid w:val="003727E3"/>
    <w:rsid w:val="00385A93"/>
    <w:rsid w:val="003910F1"/>
    <w:rsid w:val="003B3D64"/>
    <w:rsid w:val="003B54CF"/>
    <w:rsid w:val="003D6732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66C4"/>
    <w:rsid w:val="00441F59"/>
    <w:rsid w:val="00442B86"/>
    <w:rsid w:val="00444E07"/>
    <w:rsid w:val="00444FA9"/>
    <w:rsid w:val="00473E9C"/>
    <w:rsid w:val="00474807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32D0"/>
    <w:rsid w:val="00526342"/>
    <w:rsid w:val="00531D13"/>
    <w:rsid w:val="00545DAE"/>
    <w:rsid w:val="00555C1F"/>
    <w:rsid w:val="0056243B"/>
    <w:rsid w:val="00571A09"/>
    <w:rsid w:val="00571B83"/>
    <w:rsid w:val="00575A00"/>
    <w:rsid w:val="00586417"/>
    <w:rsid w:val="0058673C"/>
    <w:rsid w:val="005A7972"/>
    <w:rsid w:val="005B17E7"/>
    <w:rsid w:val="005B2643"/>
    <w:rsid w:val="005B65D2"/>
    <w:rsid w:val="005D17FD"/>
    <w:rsid w:val="005E2038"/>
    <w:rsid w:val="005F0D55"/>
    <w:rsid w:val="005F183E"/>
    <w:rsid w:val="00600DDA"/>
    <w:rsid w:val="00603A30"/>
    <w:rsid w:val="00604211"/>
    <w:rsid w:val="0061169C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6F38"/>
    <w:rsid w:val="00674C86"/>
    <w:rsid w:val="0068015E"/>
    <w:rsid w:val="006861AB"/>
    <w:rsid w:val="00686B89"/>
    <w:rsid w:val="0069420F"/>
    <w:rsid w:val="006A2FC5"/>
    <w:rsid w:val="006A7D75"/>
    <w:rsid w:val="006B0A70"/>
    <w:rsid w:val="006B4F26"/>
    <w:rsid w:val="006B606A"/>
    <w:rsid w:val="006C33AF"/>
    <w:rsid w:val="006D16EF"/>
    <w:rsid w:val="006D5D22"/>
    <w:rsid w:val="006D60A4"/>
    <w:rsid w:val="006E0324"/>
    <w:rsid w:val="006E4A76"/>
    <w:rsid w:val="006F1DBD"/>
    <w:rsid w:val="00700556"/>
    <w:rsid w:val="007013C8"/>
    <w:rsid w:val="0070589A"/>
    <w:rsid w:val="00706885"/>
    <w:rsid w:val="00707F12"/>
    <w:rsid w:val="007167DD"/>
    <w:rsid w:val="0072478B"/>
    <w:rsid w:val="0073414D"/>
    <w:rsid w:val="007475A1"/>
    <w:rsid w:val="0075235E"/>
    <w:rsid w:val="007528A5"/>
    <w:rsid w:val="007732CC"/>
    <w:rsid w:val="007732F9"/>
    <w:rsid w:val="00774079"/>
    <w:rsid w:val="0077752B"/>
    <w:rsid w:val="00790531"/>
    <w:rsid w:val="00793D6F"/>
    <w:rsid w:val="00794090"/>
    <w:rsid w:val="007A44F8"/>
    <w:rsid w:val="007B1F24"/>
    <w:rsid w:val="007D21BF"/>
    <w:rsid w:val="007F3C12"/>
    <w:rsid w:val="007F5205"/>
    <w:rsid w:val="0080486B"/>
    <w:rsid w:val="008054F3"/>
    <w:rsid w:val="008215E7"/>
    <w:rsid w:val="00830FC6"/>
    <w:rsid w:val="00850E26"/>
    <w:rsid w:val="00865EAA"/>
    <w:rsid w:val="00866F06"/>
    <w:rsid w:val="008728F5"/>
    <w:rsid w:val="008824C2"/>
    <w:rsid w:val="008841A3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6A"/>
    <w:rsid w:val="008D7ABD"/>
    <w:rsid w:val="008E55A2"/>
    <w:rsid w:val="008F1609"/>
    <w:rsid w:val="008F78D8"/>
    <w:rsid w:val="009045C5"/>
    <w:rsid w:val="00912AEF"/>
    <w:rsid w:val="0093373C"/>
    <w:rsid w:val="00945C3A"/>
    <w:rsid w:val="00961620"/>
    <w:rsid w:val="009734B6"/>
    <w:rsid w:val="0098096F"/>
    <w:rsid w:val="00980C50"/>
    <w:rsid w:val="0098437A"/>
    <w:rsid w:val="00986C92"/>
    <w:rsid w:val="00993C47"/>
    <w:rsid w:val="009972BC"/>
    <w:rsid w:val="009B314A"/>
    <w:rsid w:val="009B4B16"/>
    <w:rsid w:val="009C6759"/>
    <w:rsid w:val="009E54A1"/>
    <w:rsid w:val="009F4E25"/>
    <w:rsid w:val="009F5B1F"/>
    <w:rsid w:val="00A225A9"/>
    <w:rsid w:val="00A2650B"/>
    <w:rsid w:val="00A3308E"/>
    <w:rsid w:val="00A35DFD"/>
    <w:rsid w:val="00A37CEF"/>
    <w:rsid w:val="00A67BC8"/>
    <w:rsid w:val="00A702DF"/>
    <w:rsid w:val="00A775A3"/>
    <w:rsid w:val="00A81700"/>
    <w:rsid w:val="00A81B5B"/>
    <w:rsid w:val="00A82FAD"/>
    <w:rsid w:val="00A85FFD"/>
    <w:rsid w:val="00A94082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00AB"/>
    <w:rsid w:val="00B037A2"/>
    <w:rsid w:val="00B0555C"/>
    <w:rsid w:val="00B1183D"/>
    <w:rsid w:val="00B2432B"/>
    <w:rsid w:val="00B31870"/>
    <w:rsid w:val="00B320B8"/>
    <w:rsid w:val="00B35EE2"/>
    <w:rsid w:val="00B36DEF"/>
    <w:rsid w:val="00B377BA"/>
    <w:rsid w:val="00B4625C"/>
    <w:rsid w:val="00B50B45"/>
    <w:rsid w:val="00B57131"/>
    <w:rsid w:val="00B62F2C"/>
    <w:rsid w:val="00B727C9"/>
    <w:rsid w:val="00B735C8"/>
    <w:rsid w:val="00B76A63"/>
    <w:rsid w:val="00B85244"/>
    <w:rsid w:val="00B918EE"/>
    <w:rsid w:val="00B96CE8"/>
    <w:rsid w:val="00BA6350"/>
    <w:rsid w:val="00BB4E29"/>
    <w:rsid w:val="00BB74C9"/>
    <w:rsid w:val="00BC3AB6"/>
    <w:rsid w:val="00BC61D2"/>
    <w:rsid w:val="00BD19E8"/>
    <w:rsid w:val="00BD4273"/>
    <w:rsid w:val="00BE24C4"/>
    <w:rsid w:val="00C17B52"/>
    <w:rsid w:val="00C2775A"/>
    <w:rsid w:val="00C31ED8"/>
    <w:rsid w:val="00C432E4"/>
    <w:rsid w:val="00C60AEA"/>
    <w:rsid w:val="00C70C26"/>
    <w:rsid w:val="00C72001"/>
    <w:rsid w:val="00C772B7"/>
    <w:rsid w:val="00C80347"/>
    <w:rsid w:val="00C85E9A"/>
    <w:rsid w:val="00C960CC"/>
    <w:rsid w:val="00CA1D52"/>
    <w:rsid w:val="00CB24D2"/>
    <w:rsid w:val="00CB7C1A"/>
    <w:rsid w:val="00CC5E08"/>
    <w:rsid w:val="00CD06C2"/>
    <w:rsid w:val="00CE14FD"/>
    <w:rsid w:val="00CF6860"/>
    <w:rsid w:val="00D02AC6"/>
    <w:rsid w:val="00D03F0C"/>
    <w:rsid w:val="00D04312"/>
    <w:rsid w:val="00D12D8E"/>
    <w:rsid w:val="00D16A7F"/>
    <w:rsid w:val="00D16AD2"/>
    <w:rsid w:val="00D22596"/>
    <w:rsid w:val="00D22691"/>
    <w:rsid w:val="00D24C3D"/>
    <w:rsid w:val="00D426D7"/>
    <w:rsid w:val="00D43251"/>
    <w:rsid w:val="00D45AA5"/>
    <w:rsid w:val="00D46CB1"/>
    <w:rsid w:val="00D723F0"/>
    <w:rsid w:val="00D737CD"/>
    <w:rsid w:val="00D73A51"/>
    <w:rsid w:val="00D8133F"/>
    <w:rsid w:val="00D854E3"/>
    <w:rsid w:val="00D861EE"/>
    <w:rsid w:val="00D9013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1725"/>
    <w:rsid w:val="00DC40AA"/>
    <w:rsid w:val="00DD1750"/>
    <w:rsid w:val="00DF53D7"/>
    <w:rsid w:val="00DF6C33"/>
    <w:rsid w:val="00E0472A"/>
    <w:rsid w:val="00E34809"/>
    <w:rsid w:val="00E349AA"/>
    <w:rsid w:val="00E41390"/>
    <w:rsid w:val="00E41CA0"/>
    <w:rsid w:val="00E4366B"/>
    <w:rsid w:val="00E50A4A"/>
    <w:rsid w:val="00E606DE"/>
    <w:rsid w:val="00E644FE"/>
    <w:rsid w:val="00E702AC"/>
    <w:rsid w:val="00E72733"/>
    <w:rsid w:val="00E742FA"/>
    <w:rsid w:val="00E76816"/>
    <w:rsid w:val="00E83DBF"/>
    <w:rsid w:val="00E87C13"/>
    <w:rsid w:val="00E94CD9"/>
    <w:rsid w:val="00EA1A76"/>
    <w:rsid w:val="00EA290B"/>
    <w:rsid w:val="00EA7A62"/>
    <w:rsid w:val="00EE0E90"/>
    <w:rsid w:val="00EF3BCA"/>
    <w:rsid w:val="00EF690B"/>
    <w:rsid w:val="00EF729B"/>
    <w:rsid w:val="00F001E5"/>
    <w:rsid w:val="00F01B0D"/>
    <w:rsid w:val="00F1238F"/>
    <w:rsid w:val="00F16485"/>
    <w:rsid w:val="00F228ED"/>
    <w:rsid w:val="00F26E31"/>
    <w:rsid w:val="00F27C6C"/>
    <w:rsid w:val="00F31BFF"/>
    <w:rsid w:val="00F3259A"/>
    <w:rsid w:val="00F34755"/>
    <w:rsid w:val="00F34A8D"/>
    <w:rsid w:val="00F429BE"/>
    <w:rsid w:val="00F50D25"/>
    <w:rsid w:val="00F535D8"/>
    <w:rsid w:val="00F61155"/>
    <w:rsid w:val="00F61F9F"/>
    <w:rsid w:val="00F708E3"/>
    <w:rsid w:val="00F76561"/>
    <w:rsid w:val="00F84736"/>
    <w:rsid w:val="00FB6E0B"/>
    <w:rsid w:val="00FC1F1E"/>
    <w:rsid w:val="00FC6C29"/>
    <w:rsid w:val="00FD58E0"/>
    <w:rsid w:val="00FD71AE"/>
    <w:rsid w:val="00FE0198"/>
    <w:rsid w:val="00FE3A7C"/>
    <w:rsid w:val="00FF1C0B"/>
    <w:rsid w:val="00FF232D"/>
    <w:rsid w:val="00FF5592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6F506A5-5D98-4E4B-930A-1B25A15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32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2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25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2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903" TargetMode="External" /><Relationship Id="rId6" Type="http://schemas.openxmlformats.org/officeDocument/2006/relationships/hyperlink" Target="https://www.fcc.gov/about-fcc/fcc-initiatives/bridging-digital-divide-all-americans" TargetMode="External" /><Relationship Id="rId7" Type="http://schemas.openxmlformats.org/officeDocument/2006/relationships/hyperlink" Target="https://www.fcc.gov/document/fcc-launches-20-billion-rural-digital-opportunity-fund-0" TargetMode="External" /><Relationship Id="rId8" Type="http://schemas.openxmlformats.org/officeDocument/2006/relationships/hyperlink" Target="https://www.fcc.gov/reports-research/maps/caf2-auction903-results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