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88E9DB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3B9F2E2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0071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A79D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C4A343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5C2FAE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0587</w:t>
            </w:r>
          </w:p>
          <w:p w:rsidR="00FF232D" w:rsidRPr="008A3940" w:rsidP="00BB4E29" w14:paraId="341F40BD" w14:textId="0C72E9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DD5824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E03529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83A8E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5F41F3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287AC6" w14:paraId="615DF3F1" w14:textId="7D0DDD1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40DA5">
              <w:rPr>
                <w:b/>
                <w:bCs/>
                <w:sz w:val="26"/>
                <w:szCs w:val="26"/>
              </w:rPr>
              <w:t xml:space="preserve">PROPOSES </w:t>
            </w:r>
            <w:r w:rsidR="00DC0FA2">
              <w:rPr>
                <w:b/>
                <w:bCs/>
                <w:sz w:val="26"/>
                <w:szCs w:val="26"/>
              </w:rPr>
              <w:t xml:space="preserve">UPDATES TO </w:t>
            </w:r>
            <w:r w:rsidR="009F1AB8">
              <w:rPr>
                <w:b/>
                <w:bCs/>
                <w:sz w:val="26"/>
                <w:szCs w:val="26"/>
              </w:rPr>
              <w:t>WHITE SPACE RULES</w:t>
            </w:r>
            <w:r w:rsidR="00925C2A">
              <w:rPr>
                <w:b/>
                <w:bCs/>
                <w:sz w:val="26"/>
                <w:szCs w:val="26"/>
              </w:rPr>
              <w:t xml:space="preserve"> TO</w:t>
            </w:r>
            <w:r w:rsidR="00DC0FA2">
              <w:rPr>
                <w:b/>
                <w:bCs/>
                <w:sz w:val="26"/>
                <w:szCs w:val="26"/>
              </w:rPr>
              <w:t xml:space="preserve"> HELP</w:t>
            </w:r>
            <w:r w:rsidR="00925C2A">
              <w:rPr>
                <w:b/>
                <w:bCs/>
                <w:sz w:val="26"/>
                <w:szCs w:val="26"/>
              </w:rPr>
              <w:t xml:space="preserve"> CLOSE DIGITAL DIVIDE</w:t>
            </w:r>
          </w:p>
          <w:p w:rsidR="00995A56" w:rsidRPr="00AF3108" w:rsidP="00287AC6" w14:paraId="14B6EC70" w14:textId="40C8B29D">
            <w:pPr>
              <w:jc w:val="center"/>
              <w:rPr>
                <w:b/>
                <w:bCs/>
                <w:i/>
                <w:iCs/>
              </w:rPr>
            </w:pPr>
            <w:r w:rsidRPr="00AF3108">
              <w:rPr>
                <w:b/>
                <w:bCs/>
                <w:i/>
                <w:iCs/>
              </w:rPr>
              <w:t xml:space="preserve">White Space Devices Operate </w:t>
            </w:r>
            <w:r w:rsidRPr="00AF3108" w:rsidR="000C3190">
              <w:rPr>
                <w:b/>
                <w:bCs/>
                <w:i/>
                <w:iCs/>
              </w:rPr>
              <w:t>on Vacant</w:t>
            </w:r>
            <w:r w:rsidRPr="00AF3108">
              <w:rPr>
                <w:b/>
                <w:bCs/>
                <w:i/>
                <w:iCs/>
              </w:rPr>
              <w:t xml:space="preserve"> TV Channels and </w:t>
            </w:r>
            <w:r w:rsidRPr="00AF3108" w:rsidR="0015529B">
              <w:rPr>
                <w:b/>
                <w:bCs/>
                <w:i/>
                <w:iCs/>
              </w:rPr>
              <w:t>Targeted Changes Would Enable Them to</w:t>
            </w:r>
            <w:r w:rsidRPr="00AF3108">
              <w:rPr>
                <w:b/>
                <w:bCs/>
                <w:i/>
                <w:iCs/>
              </w:rPr>
              <w:t xml:space="preserve"> Provide Improved Connectivity for Americans in Rural Areas</w:t>
            </w:r>
          </w:p>
          <w:p w:rsidR="00995A56" w:rsidP="002E165B" w14:paraId="6E9E36BF" w14:textId="77777777">
            <w:pPr>
              <w:rPr>
                <w:sz w:val="22"/>
                <w:szCs w:val="22"/>
              </w:rPr>
            </w:pPr>
          </w:p>
          <w:p w:rsidR="00DE1ADE" w:rsidP="004B2849" w14:paraId="1212AF27" w14:textId="41CA00B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F1AB8">
              <w:rPr>
                <w:sz w:val="22"/>
                <w:szCs w:val="22"/>
              </w:rPr>
              <w:t>February 28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3E3421">
              <w:rPr>
                <w:sz w:val="22"/>
                <w:szCs w:val="22"/>
              </w:rPr>
              <w:t xml:space="preserve">today </w:t>
            </w:r>
            <w:r w:rsidR="009F1AB8">
              <w:rPr>
                <w:sz w:val="22"/>
                <w:szCs w:val="22"/>
              </w:rPr>
              <w:t xml:space="preserve">proposed targeted changes to </w:t>
            </w:r>
            <w:r w:rsidR="008876AE">
              <w:rPr>
                <w:sz w:val="22"/>
                <w:szCs w:val="22"/>
              </w:rPr>
              <w:t xml:space="preserve">its </w:t>
            </w:r>
            <w:r w:rsidR="00BA0384">
              <w:rPr>
                <w:sz w:val="22"/>
                <w:szCs w:val="22"/>
              </w:rPr>
              <w:t>W</w:t>
            </w:r>
            <w:r w:rsidR="009F1AB8">
              <w:rPr>
                <w:sz w:val="22"/>
                <w:szCs w:val="22"/>
              </w:rPr>
              <w:t xml:space="preserve">hite </w:t>
            </w:r>
            <w:r w:rsidR="00BA0384">
              <w:rPr>
                <w:sz w:val="22"/>
                <w:szCs w:val="22"/>
              </w:rPr>
              <w:t>S</w:t>
            </w:r>
            <w:r w:rsidR="009F1AB8">
              <w:rPr>
                <w:sz w:val="22"/>
                <w:szCs w:val="22"/>
              </w:rPr>
              <w:t xml:space="preserve">pace device rules to </w:t>
            </w:r>
            <w:r w:rsidR="00327462">
              <w:rPr>
                <w:sz w:val="22"/>
                <w:szCs w:val="22"/>
              </w:rPr>
              <w:t xml:space="preserve">pave the way for </w:t>
            </w:r>
            <w:r w:rsidRPr="006F1434" w:rsidR="009F1AB8">
              <w:rPr>
                <w:sz w:val="22"/>
                <w:szCs w:val="22"/>
              </w:rPr>
              <w:t xml:space="preserve">improved broadband coverage </w:t>
            </w:r>
            <w:r w:rsidR="00407F7B">
              <w:rPr>
                <w:sz w:val="22"/>
                <w:szCs w:val="22"/>
              </w:rPr>
              <w:t>for rural Americans</w:t>
            </w:r>
            <w:r w:rsidR="008876AE">
              <w:rPr>
                <w:sz w:val="22"/>
                <w:szCs w:val="22"/>
              </w:rPr>
              <w:t xml:space="preserve">. </w:t>
            </w:r>
            <w:r w:rsidR="00A27D68">
              <w:rPr>
                <w:sz w:val="22"/>
                <w:szCs w:val="22"/>
              </w:rPr>
              <w:t xml:space="preserve"> </w:t>
            </w:r>
            <w:r w:rsidRPr="006F1434" w:rsidR="008876AE">
              <w:rPr>
                <w:sz w:val="22"/>
                <w:szCs w:val="22"/>
              </w:rPr>
              <w:t xml:space="preserve">White </w:t>
            </w:r>
            <w:r w:rsidR="00BA0384">
              <w:rPr>
                <w:sz w:val="22"/>
                <w:szCs w:val="22"/>
              </w:rPr>
              <w:t>S</w:t>
            </w:r>
            <w:r w:rsidRPr="006F1434" w:rsidR="008876AE">
              <w:rPr>
                <w:sz w:val="22"/>
                <w:szCs w:val="22"/>
              </w:rPr>
              <w:t xml:space="preserve">pace devices </w:t>
            </w:r>
            <w:r w:rsidRPr="004B2849" w:rsidR="004B2849">
              <w:rPr>
                <w:sz w:val="22"/>
                <w:szCs w:val="22"/>
              </w:rPr>
              <w:t>operate in portions of the broadcast</w:t>
            </w:r>
            <w:r w:rsidR="00327462">
              <w:rPr>
                <w:sz w:val="22"/>
                <w:szCs w:val="22"/>
              </w:rPr>
              <w:t xml:space="preserve"> </w:t>
            </w:r>
            <w:r w:rsidRPr="004B2849" w:rsidR="004B2849">
              <w:rPr>
                <w:sz w:val="22"/>
                <w:szCs w:val="22"/>
              </w:rPr>
              <w:t xml:space="preserve">television bands </w:t>
            </w:r>
            <w:r w:rsidR="00BA0384">
              <w:rPr>
                <w:sz w:val="22"/>
                <w:szCs w:val="22"/>
              </w:rPr>
              <w:t xml:space="preserve">that are not used by television stations </w:t>
            </w:r>
            <w:r>
              <w:rPr>
                <w:sz w:val="22"/>
                <w:szCs w:val="22"/>
              </w:rPr>
              <w:t xml:space="preserve">and </w:t>
            </w:r>
            <w:r w:rsidRPr="006F1434" w:rsidR="008876AE">
              <w:rPr>
                <w:sz w:val="22"/>
                <w:szCs w:val="22"/>
              </w:rPr>
              <w:t xml:space="preserve">can be used to provide </w:t>
            </w:r>
            <w:r w:rsidR="003A7992">
              <w:rPr>
                <w:sz w:val="22"/>
                <w:szCs w:val="22"/>
              </w:rPr>
              <w:t xml:space="preserve">broadband and other wireless services. </w:t>
            </w:r>
          </w:p>
          <w:p w:rsidR="00DE1ADE" w:rsidP="004B2849" w14:paraId="3EC70D16" w14:textId="77777777">
            <w:pPr>
              <w:rPr>
                <w:sz w:val="22"/>
                <w:szCs w:val="22"/>
              </w:rPr>
            </w:pPr>
          </w:p>
          <w:p w:rsidR="00BD19E8" w:rsidRPr="006F1434" w:rsidP="004B2849" w14:paraId="76C4EB4D" w14:textId="7098D1FC">
            <w:pPr>
              <w:rPr>
                <w:sz w:val="22"/>
                <w:szCs w:val="22"/>
              </w:rPr>
            </w:pPr>
            <w:r w:rsidRPr="00506957">
              <w:rPr>
                <w:sz w:val="22"/>
                <w:szCs w:val="22"/>
              </w:rPr>
              <w:t>In response to a petition filed by Microsoft Corporation, th</w:t>
            </w:r>
            <w:r w:rsidRPr="00506957" w:rsidR="00236EC5">
              <w:rPr>
                <w:sz w:val="22"/>
                <w:szCs w:val="22"/>
              </w:rPr>
              <w:t>e</w:t>
            </w:r>
            <w:r w:rsidRPr="00506957">
              <w:rPr>
                <w:sz w:val="22"/>
                <w:szCs w:val="22"/>
              </w:rPr>
              <w:t xml:space="preserve"> </w:t>
            </w:r>
            <w:r w:rsidRPr="00236EC5" w:rsidR="008876AE">
              <w:rPr>
                <w:sz w:val="22"/>
                <w:szCs w:val="22"/>
              </w:rPr>
              <w:t>Notice of Proposed Rulemaking</w:t>
            </w:r>
            <w:r w:rsidRPr="006F1434" w:rsidR="008876AE">
              <w:rPr>
                <w:sz w:val="22"/>
                <w:szCs w:val="22"/>
              </w:rPr>
              <w:t xml:space="preserve"> proposes updates to </w:t>
            </w:r>
            <w:r w:rsidR="00BA0384">
              <w:rPr>
                <w:sz w:val="22"/>
                <w:szCs w:val="22"/>
              </w:rPr>
              <w:t>the Commission’s</w:t>
            </w:r>
            <w:r w:rsidRPr="006F1434" w:rsidR="00BA0384">
              <w:rPr>
                <w:sz w:val="22"/>
                <w:szCs w:val="22"/>
              </w:rPr>
              <w:t xml:space="preserve"> </w:t>
            </w:r>
            <w:r w:rsidRPr="006F1434" w:rsidR="008876AE">
              <w:rPr>
                <w:sz w:val="22"/>
                <w:szCs w:val="22"/>
              </w:rPr>
              <w:t>rules</w:t>
            </w:r>
            <w:r w:rsidR="00F3587A">
              <w:rPr>
                <w:sz w:val="22"/>
                <w:szCs w:val="22"/>
              </w:rPr>
              <w:t xml:space="preserve"> that would</w:t>
            </w:r>
            <w:r w:rsidRPr="006F1434" w:rsidR="008876AE">
              <w:rPr>
                <w:sz w:val="22"/>
                <w:szCs w:val="22"/>
              </w:rPr>
              <w:t xml:space="preserve"> allow for more robust service and efficient use of</w:t>
            </w:r>
            <w:r w:rsidR="008876AE">
              <w:rPr>
                <w:sz w:val="22"/>
                <w:szCs w:val="22"/>
              </w:rPr>
              <w:t xml:space="preserve"> </w:t>
            </w:r>
            <w:r w:rsidR="00BA038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hite </w:t>
            </w:r>
            <w:r w:rsidR="00BA038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pace devices</w:t>
            </w:r>
            <w:r w:rsidRPr="006F1434" w:rsidR="008876AE">
              <w:rPr>
                <w:sz w:val="22"/>
                <w:szCs w:val="22"/>
              </w:rPr>
              <w:t xml:space="preserve"> particularly in rural areas, without increasing the risk of harmful interference to </w:t>
            </w:r>
            <w:r w:rsidR="000C3190">
              <w:rPr>
                <w:sz w:val="22"/>
                <w:szCs w:val="22"/>
              </w:rPr>
              <w:t>protected</w:t>
            </w:r>
            <w:r w:rsidRPr="006F1434" w:rsidR="008876AE">
              <w:rPr>
                <w:sz w:val="22"/>
                <w:szCs w:val="22"/>
              </w:rPr>
              <w:t xml:space="preserve"> services in the TV bands</w:t>
            </w:r>
            <w:r w:rsidR="008876AE">
              <w:rPr>
                <w:sz w:val="22"/>
                <w:szCs w:val="22"/>
              </w:rPr>
              <w:t xml:space="preserve">. </w:t>
            </w:r>
            <w:r w:rsidR="003A7992">
              <w:rPr>
                <w:sz w:val="22"/>
                <w:szCs w:val="22"/>
              </w:rPr>
              <w:t xml:space="preserve"> These updates would also</w:t>
            </w:r>
            <w:r w:rsidR="008876AE">
              <w:rPr>
                <w:sz w:val="22"/>
                <w:szCs w:val="22"/>
              </w:rPr>
              <w:t xml:space="preserve"> </w:t>
            </w:r>
            <w:r w:rsidR="00A27D68">
              <w:rPr>
                <w:sz w:val="22"/>
                <w:szCs w:val="22"/>
              </w:rPr>
              <w:t>provide flexibility for these devices to more fully participate in the Internet of Things</w:t>
            </w:r>
            <w:r w:rsidRPr="006F1434" w:rsidR="009F1AB8">
              <w:rPr>
                <w:sz w:val="22"/>
                <w:szCs w:val="22"/>
              </w:rPr>
              <w:t>.</w:t>
            </w:r>
          </w:p>
          <w:p w:rsidR="006961DA" w:rsidRPr="006F1434" w:rsidP="002E165B" w14:paraId="7B83DC82" w14:textId="77777777">
            <w:pPr>
              <w:rPr>
                <w:sz w:val="22"/>
                <w:szCs w:val="22"/>
              </w:rPr>
            </w:pPr>
          </w:p>
          <w:p w:rsidR="004A39AF" w:rsidP="004A39AF" w14:paraId="7847D596" w14:textId="77DFE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Specifically, the Notice proposes</w:t>
            </w:r>
            <w:r w:rsidR="007A2433">
              <w:rPr>
                <w:sz w:val="22"/>
                <w:szCs w:val="22"/>
              </w:rPr>
              <w:t xml:space="preserve"> </w:t>
            </w:r>
            <w:r w:rsidR="00234005">
              <w:rPr>
                <w:sz w:val="22"/>
                <w:szCs w:val="22"/>
              </w:rPr>
              <w:t>t</w:t>
            </w:r>
            <w:r w:rsidRPr="00287AC6" w:rsidR="00925C2A">
              <w:rPr>
                <w:sz w:val="22"/>
                <w:szCs w:val="22"/>
              </w:rPr>
              <w:t xml:space="preserve">o permit higher transmit power and antenna height above average terrain for fixed </w:t>
            </w:r>
            <w:r w:rsidR="00BA0384">
              <w:rPr>
                <w:sz w:val="22"/>
                <w:szCs w:val="22"/>
              </w:rPr>
              <w:t>W</w:t>
            </w:r>
            <w:r w:rsidRPr="00287AC6" w:rsidR="00925C2A">
              <w:rPr>
                <w:sz w:val="22"/>
                <w:szCs w:val="22"/>
              </w:rPr>
              <w:t xml:space="preserve">hite </w:t>
            </w:r>
            <w:r w:rsidR="00BA0384">
              <w:rPr>
                <w:sz w:val="22"/>
                <w:szCs w:val="22"/>
              </w:rPr>
              <w:t>S</w:t>
            </w:r>
            <w:r w:rsidRPr="00287AC6" w:rsidR="00925C2A">
              <w:rPr>
                <w:sz w:val="22"/>
                <w:szCs w:val="22"/>
              </w:rPr>
              <w:t>pace devices in less congested geographic areas</w:t>
            </w:r>
            <w:r w:rsidR="00234005">
              <w:rPr>
                <w:sz w:val="22"/>
                <w:szCs w:val="22"/>
              </w:rPr>
              <w:t xml:space="preserve">.  If adopted, these changes would allow </w:t>
            </w:r>
            <w:r w:rsidR="00BA0384">
              <w:rPr>
                <w:sz w:val="22"/>
                <w:szCs w:val="22"/>
              </w:rPr>
              <w:t>W</w:t>
            </w:r>
            <w:r w:rsidR="00234005">
              <w:rPr>
                <w:sz w:val="22"/>
                <w:szCs w:val="22"/>
              </w:rPr>
              <w:t xml:space="preserve">hite </w:t>
            </w:r>
            <w:r w:rsidR="00BA0384">
              <w:rPr>
                <w:sz w:val="22"/>
                <w:szCs w:val="22"/>
              </w:rPr>
              <w:t>S</w:t>
            </w:r>
            <w:r w:rsidR="00234005">
              <w:rPr>
                <w:sz w:val="22"/>
                <w:szCs w:val="22"/>
              </w:rPr>
              <w:t>pace devices to reach users at greater distances, resulting in better broadband coverage.  It would also p</w:t>
            </w:r>
            <w:r w:rsidR="00925C2A">
              <w:rPr>
                <w:sz w:val="22"/>
                <w:szCs w:val="22"/>
              </w:rPr>
              <w:t xml:space="preserve">ermit higher power mobile operation within </w:t>
            </w:r>
            <w:r w:rsidR="00725A6F">
              <w:rPr>
                <w:sz w:val="22"/>
                <w:szCs w:val="22"/>
              </w:rPr>
              <w:t>defined geographical</w:t>
            </w:r>
            <w:r w:rsidR="00925C2A">
              <w:rPr>
                <w:sz w:val="22"/>
                <w:szCs w:val="22"/>
              </w:rPr>
              <w:t xml:space="preserve"> areas</w:t>
            </w:r>
            <w:r w:rsidR="00234005">
              <w:rPr>
                <w:sz w:val="22"/>
                <w:szCs w:val="22"/>
              </w:rPr>
              <w:t xml:space="preserve"> and r</w:t>
            </w:r>
            <w:r w:rsidR="00925C2A">
              <w:rPr>
                <w:sz w:val="22"/>
                <w:szCs w:val="22"/>
              </w:rPr>
              <w:t xml:space="preserve">evise the rules to </w:t>
            </w:r>
            <w:r>
              <w:rPr>
                <w:sz w:val="22"/>
                <w:szCs w:val="22"/>
              </w:rPr>
              <w:t>provide flexibility for these devices to more fully participate in the Internet of Things</w:t>
            </w:r>
            <w:r w:rsidRPr="006F1434">
              <w:rPr>
                <w:sz w:val="22"/>
                <w:szCs w:val="22"/>
              </w:rPr>
              <w:t>.</w:t>
            </w:r>
          </w:p>
          <w:p w:rsidR="00506957" w:rsidRPr="006F1434" w:rsidP="004A39AF" w14:paraId="145F9E0B" w14:textId="77777777">
            <w:pPr>
              <w:rPr>
                <w:sz w:val="22"/>
                <w:szCs w:val="22"/>
              </w:rPr>
            </w:pPr>
          </w:p>
          <w:p w:rsidR="00925C2A" w:rsidP="00925C2A" w14:paraId="2CAC9768" w14:textId="7C70B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Additionally, the Commission </w:t>
            </w:r>
            <w:r w:rsidR="002D566F">
              <w:rPr>
                <w:sz w:val="22"/>
                <w:szCs w:val="22"/>
              </w:rPr>
              <w:t xml:space="preserve">is seeking </w:t>
            </w:r>
            <w:r>
              <w:rPr>
                <w:sz w:val="22"/>
                <w:szCs w:val="22"/>
              </w:rPr>
              <w:t xml:space="preserve">comment on methods that could be used to allow higher power operation by </w:t>
            </w:r>
            <w:r w:rsidR="002D566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hite </w:t>
            </w:r>
            <w:r w:rsidR="002D566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pace devices when adjacent TV channels are occupied.</w:t>
            </w:r>
          </w:p>
          <w:p w:rsidR="00925C2A" w:rsidP="00925C2A" w14:paraId="7F758020" w14:textId="59C1581D">
            <w:pPr>
              <w:rPr>
                <w:sz w:val="22"/>
                <w:szCs w:val="22"/>
              </w:rPr>
            </w:pPr>
          </w:p>
          <w:p w:rsidR="00925C2A" w:rsidP="00925C2A" w14:paraId="695E408D" w14:textId="1723F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action proposed today </w:t>
            </w:r>
            <w:r w:rsidR="002D566F">
              <w:rPr>
                <w:sz w:val="22"/>
                <w:szCs w:val="22"/>
              </w:rPr>
              <w:t xml:space="preserve">could </w:t>
            </w:r>
            <w:r>
              <w:rPr>
                <w:sz w:val="22"/>
                <w:szCs w:val="22"/>
              </w:rPr>
              <w:t xml:space="preserve">provide additional opportunities for unlicensed </w:t>
            </w:r>
            <w:r w:rsidR="002D566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hite </w:t>
            </w:r>
            <w:r w:rsidR="002D566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pace </w:t>
            </w:r>
            <w:r w:rsidR="00AF310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evices operating in the TV bands and spur continued growth of the </w:t>
            </w:r>
            <w:r w:rsidR="002D566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hite </w:t>
            </w:r>
            <w:r w:rsidR="002D566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pace device ecosystem, </w:t>
            </w:r>
            <w:r w:rsidR="002D566F">
              <w:rPr>
                <w:sz w:val="22"/>
                <w:szCs w:val="22"/>
              </w:rPr>
              <w:t>which could</w:t>
            </w:r>
            <w:r>
              <w:rPr>
                <w:sz w:val="22"/>
                <w:szCs w:val="22"/>
              </w:rPr>
              <w:t xml:space="preserve"> provid</w:t>
            </w:r>
            <w:r w:rsidR="002D566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affordable broadband service to </w:t>
            </w:r>
            <w:r w:rsidR="002D566F">
              <w:rPr>
                <w:sz w:val="22"/>
                <w:szCs w:val="22"/>
              </w:rPr>
              <w:t xml:space="preserve">more </w:t>
            </w:r>
            <w:r>
              <w:rPr>
                <w:sz w:val="22"/>
                <w:szCs w:val="22"/>
              </w:rPr>
              <w:t xml:space="preserve">rural and underserved communities </w:t>
            </w:r>
            <w:r w:rsidR="002D566F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help close the digital divide.</w:t>
            </w:r>
          </w:p>
          <w:p w:rsidR="00C40DA5" w:rsidP="002E165B" w14:paraId="4044E0B8" w14:textId="1BC45169">
            <w:pPr>
              <w:rPr>
                <w:sz w:val="22"/>
                <w:szCs w:val="22"/>
              </w:rPr>
            </w:pPr>
          </w:p>
          <w:p w:rsidR="000B7126" w:rsidRPr="000B7126" w:rsidP="000B7126" w14:paraId="7CCFBA99" w14:textId="4CE5D7FE">
            <w:pPr>
              <w:rPr>
                <w:sz w:val="22"/>
                <w:szCs w:val="22"/>
              </w:rPr>
            </w:pPr>
            <w:r w:rsidRPr="000B7126">
              <w:rPr>
                <w:sz w:val="22"/>
                <w:szCs w:val="22"/>
              </w:rPr>
              <w:t>Action by the Commission February 28, 2020 by Notice of Proposed Rulemaking (FCC 20-17).  Chairman Pai, Commissioners O’Rielly, Carr, Rosenworcel, and Starks approving and issuing separate statements.</w:t>
            </w:r>
          </w:p>
          <w:p w:rsidR="000B7126" w:rsidRPr="000B7126" w:rsidP="000B7126" w14:paraId="48366A6E" w14:textId="77777777">
            <w:pPr>
              <w:rPr>
                <w:sz w:val="22"/>
                <w:szCs w:val="22"/>
              </w:rPr>
            </w:pPr>
          </w:p>
          <w:p w:rsidR="000B7126" w:rsidP="000B7126" w14:paraId="5573E024" w14:textId="448F2398">
            <w:pPr>
              <w:rPr>
                <w:sz w:val="22"/>
                <w:szCs w:val="22"/>
              </w:rPr>
            </w:pPr>
            <w:r w:rsidRPr="000B7126">
              <w:rPr>
                <w:sz w:val="22"/>
                <w:szCs w:val="22"/>
              </w:rPr>
              <w:t>ET Docket No. 20-36</w:t>
            </w:r>
          </w:p>
          <w:p w:rsidR="000B7126" w:rsidRPr="002E165B" w:rsidP="000B7126" w14:paraId="42554C8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D6DCC4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843C7E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B5863D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8FA620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245A87C" w14:textId="77777777">
      <w:pPr>
        <w:rPr>
          <w:b/>
          <w:bCs/>
          <w:sz w:val="2"/>
          <w:szCs w:val="2"/>
        </w:rPr>
      </w:pPr>
    </w:p>
    <w:sectPr w:rsidSect="00D7242A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CE6A06"/>
    <w:multiLevelType w:val="hybridMultilevel"/>
    <w:tmpl w:val="589A7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67AFE"/>
    <w:rsid w:val="00081232"/>
    <w:rsid w:val="00091E65"/>
    <w:rsid w:val="00096D4A"/>
    <w:rsid w:val="000A38EA"/>
    <w:rsid w:val="000A4467"/>
    <w:rsid w:val="000A7787"/>
    <w:rsid w:val="000B7126"/>
    <w:rsid w:val="000C1E47"/>
    <w:rsid w:val="000C26F3"/>
    <w:rsid w:val="000C3190"/>
    <w:rsid w:val="000D583C"/>
    <w:rsid w:val="000E049E"/>
    <w:rsid w:val="0010799B"/>
    <w:rsid w:val="00117DB2"/>
    <w:rsid w:val="00123ED2"/>
    <w:rsid w:val="00125BE0"/>
    <w:rsid w:val="00142C13"/>
    <w:rsid w:val="00152776"/>
    <w:rsid w:val="00153222"/>
    <w:rsid w:val="0015529B"/>
    <w:rsid w:val="001577D3"/>
    <w:rsid w:val="00164307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4005"/>
    <w:rsid w:val="00236EC5"/>
    <w:rsid w:val="00240345"/>
    <w:rsid w:val="002421F0"/>
    <w:rsid w:val="00247274"/>
    <w:rsid w:val="00266966"/>
    <w:rsid w:val="00285C36"/>
    <w:rsid w:val="00287AC6"/>
    <w:rsid w:val="00294C0C"/>
    <w:rsid w:val="002A0934"/>
    <w:rsid w:val="002A1D50"/>
    <w:rsid w:val="002B1013"/>
    <w:rsid w:val="002D03E5"/>
    <w:rsid w:val="002D566F"/>
    <w:rsid w:val="002E165B"/>
    <w:rsid w:val="002E3F1D"/>
    <w:rsid w:val="002F31D0"/>
    <w:rsid w:val="00300359"/>
    <w:rsid w:val="0031773E"/>
    <w:rsid w:val="00327462"/>
    <w:rsid w:val="00333871"/>
    <w:rsid w:val="00347716"/>
    <w:rsid w:val="003506E1"/>
    <w:rsid w:val="003727E3"/>
    <w:rsid w:val="00385A93"/>
    <w:rsid w:val="003910F1"/>
    <w:rsid w:val="003914C7"/>
    <w:rsid w:val="003A7992"/>
    <w:rsid w:val="003E3421"/>
    <w:rsid w:val="003E42FC"/>
    <w:rsid w:val="003E5991"/>
    <w:rsid w:val="003F344A"/>
    <w:rsid w:val="00403FF0"/>
    <w:rsid w:val="00407F7B"/>
    <w:rsid w:val="0042046D"/>
    <w:rsid w:val="0042116E"/>
    <w:rsid w:val="00425AEF"/>
    <w:rsid w:val="00426518"/>
    <w:rsid w:val="00427B06"/>
    <w:rsid w:val="00441F59"/>
    <w:rsid w:val="0044207A"/>
    <w:rsid w:val="00444E07"/>
    <w:rsid w:val="00444FA9"/>
    <w:rsid w:val="00473E9C"/>
    <w:rsid w:val="00480099"/>
    <w:rsid w:val="004941A2"/>
    <w:rsid w:val="00497858"/>
    <w:rsid w:val="004A39AF"/>
    <w:rsid w:val="004A729A"/>
    <w:rsid w:val="004B2849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6957"/>
    <w:rsid w:val="0050757F"/>
    <w:rsid w:val="00516AD2"/>
    <w:rsid w:val="00545DAE"/>
    <w:rsid w:val="00562A5E"/>
    <w:rsid w:val="00571B83"/>
    <w:rsid w:val="00575A00"/>
    <w:rsid w:val="00586417"/>
    <w:rsid w:val="0058673C"/>
    <w:rsid w:val="005A7972"/>
    <w:rsid w:val="005B17E7"/>
    <w:rsid w:val="005B2643"/>
    <w:rsid w:val="005D17FD"/>
    <w:rsid w:val="005D7017"/>
    <w:rsid w:val="005F0D55"/>
    <w:rsid w:val="005F183E"/>
    <w:rsid w:val="00600DDA"/>
    <w:rsid w:val="00603A30"/>
    <w:rsid w:val="00604211"/>
    <w:rsid w:val="00613498"/>
    <w:rsid w:val="00617B94"/>
    <w:rsid w:val="00620BED"/>
    <w:rsid w:val="006363AB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0CB3"/>
    <w:rsid w:val="0069420F"/>
    <w:rsid w:val="006961DA"/>
    <w:rsid w:val="006A2A67"/>
    <w:rsid w:val="006A2FC5"/>
    <w:rsid w:val="006A4ACE"/>
    <w:rsid w:val="006A7D75"/>
    <w:rsid w:val="006B0A70"/>
    <w:rsid w:val="006B606A"/>
    <w:rsid w:val="006C33AF"/>
    <w:rsid w:val="006D16EF"/>
    <w:rsid w:val="006D5D22"/>
    <w:rsid w:val="006E0324"/>
    <w:rsid w:val="006E4A76"/>
    <w:rsid w:val="006F1434"/>
    <w:rsid w:val="006F1DBD"/>
    <w:rsid w:val="00700556"/>
    <w:rsid w:val="0070377E"/>
    <w:rsid w:val="0070589A"/>
    <w:rsid w:val="00707A94"/>
    <w:rsid w:val="00715141"/>
    <w:rsid w:val="007167DD"/>
    <w:rsid w:val="0072478B"/>
    <w:rsid w:val="00725A6F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2433"/>
    <w:rsid w:val="007A44F8"/>
    <w:rsid w:val="007D11D5"/>
    <w:rsid w:val="007D21BF"/>
    <w:rsid w:val="007E6313"/>
    <w:rsid w:val="007F1C94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7491"/>
    <w:rsid w:val="008876AE"/>
    <w:rsid w:val="008960E4"/>
    <w:rsid w:val="008A3940"/>
    <w:rsid w:val="008B13C9"/>
    <w:rsid w:val="008B67BF"/>
    <w:rsid w:val="008C248C"/>
    <w:rsid w:val="008C429A"/>
    <w:rsid w:val="008C5432"/>
    <w:rsid w:val="008C7BF1"/>
    <w:rsid w:val="008D00D6"/>
    <w:rsid w:val="008D4D00"/>
    <w:rsid w:val="008D4E5E"/>
    <w:rsid w:val="008D7ABD"/>
    <w:rsid w:val="008E55A2"/>
    <w:rsid w:val="008F1609"/>
    <w:rsid w:val="008F2D72"/>
    <w:rsid w:val="008F6D0F"/>
    <w:rsid w:val="008F78D8"/>
    <w:rsid w:val="00925C2A"/>
    <w:rsid w:val="0093373C"/>
    <w:rsid w:val="00961620"/>
    <w:rsid w:val="009734B6"/>
    <w:rsid w:val="00975D2B"/>
    <w:rsid w:val="0098096F"/>
    <w:rsid w:val="0098437A"/>
    <w:rsid w:val="00986C92"/>
    <w:rsid w:val="00993C47"/>
    <w:rsid w:val="00995A56"/>
    <w:rsid w:val="009972BC"/>
    <w:rsid w:val="009B4B16"/>
    <w:rsid w:val="009E54A1"/>
    <w:rsid w:val="009F1AB8"/>
    <w:rsid w:val="009F4E25"/>
    <w:rsid w:val="009F5B1F"/>
    <w:rsid w:val="00A225A9"/>
    <w:rsid w:val="00A27D68"/>
    <w:rsid w:val="00A3308E"/>
    <w:rsid w:val="00A35DFD"/>
    <w:rsid w:val="00A55CE7"/>
    <w:rsid w:val="00A66E4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2374"/>
    <w:rsid w:val="00AF3108"/>
    <w:rsid w:val="00B037A2"/>
    <w:rsid w:val="00B22DBF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007E"/>
    <w:rsid w:val="00BA0384"/>
    <w:rsid w:val="00BA6350"/>
    <w:rsid w:val="00BB4E29"/>
    <w:rsid w:val="00BB74C9"/>
    <w:rsid w:val="00BC2DCF"/>
    <w:rsid w:val="00BC3AB6"/>
    <w:rsid w:val="00BD19E8"/>
    <w:rsid w:val="00BD4273"/>
    <w:rsid w:val="00C31ED8"/>
    <w:rsid w:val="00C40DA5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3C6"/>
    <w:rsid w:val="00D46CB1"/>
    <w:rsid w:val="00D723F0"/>
    <w:rsid w:val="00D7242A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6E30"/>
    <w:rsid w:val="00DC0FA2"/>
    <w:rsid w:val="00DC15A9"/>
    <w:rsid w:val="00DC40AA"/>
    <w:rsid w:val="00DD1750"/>
    <w:rsid w:val="00DD5824"/>
    <w:rsid w:val="00DE1AD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2AD8"/>
    <w:rsid w:val="00EE0E90"/>
    <w:rsid w:val="00EF0033"/>
    <w:rsid w:val="00EF3BCA"/>
    <w:rsid w:val="00EF729B"/>
    <w:rsid w:val="00F01B0D"/>
    <w:rsid w:val="00F1238F"/>
    <w:rsid w:val="00F16485"/>
    <w:rsid w:val="00F21DA8"/>
    <w:rsid w:val="00F228ED"/>
    <w:rsid w:val="00F26E31"/>
    <w:rsid w:val="00F27C6C"/>
    <w:rsid w:val="00F34A8D"/>
    <w:rsid w:val="00F3587A"/>
    <w:rsid w:val="00F50D25"/>
    <w:rsid w:val="00F535D8"/>
    <w:rsid w:val="00F54D1B"/>
    <w:rsid w:val="00F61155"/>
    <w:rsid w:val="00F708E3"/>
    <w:rsid w:val="00F76561"/>
    <w:rsid w:val="00F84736"/>
    <w:rsid w:val="00FC6C29"/>
    <w:rsid w:val="00FC7A58"/>
    <w:rsid w:val="00FD316A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02DD53C-8F79-4C18-B89E-ACD8B917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373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3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3C6"/>
    <w:rPr>
      <w:b/>
      <w:bCs/>
    </w:rPr>
  </w:style>
  <w:style w:type="paragraph" w:styleId="ListParagraph">
    <w:name w:val="List Paragraph"/>
    <w:basedOn w:val="Normal"/>
    <w:uiPriority w:val="34"/>
    <w:qFormat/>
    <w:rsid w:val="00925C2A"/>
    <w:pPr>
      <w:ind w:left="720"/>
      <w:contextualSpacing/>
    </w:pPr>
  </w:style>
  <w:style w:type="paragraph" w:styleId="Revision">
    <w:name w:val="Revision"/>
    <w:hidden/>
    <w:uiPriority w:val="99"/>
    <w:semiHidden/>
    <w:rsid w:val="007A2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