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8670" w:type="dxa"/>
        <w:tblLook w:val="0000"/>
      </w:tblPr>
      <w:tblGrid>
        <w:gridCol w:w="8886"/>
      </w:tblGrid>
      <w:tr w14:paraId="167B0F56" w14:textId="77777777" w:rsidTr="007328F3">
        <w:tblPrEx>
          <w:tblW w:w="8670" w:type="dxa"/>
          <w:tblLook w:val="0000"/>
        </w:tblPrEx>
        <w:trPr>
          <w:trHeight w:val="2181"/>
        </w:trPr>
        <w:tc>
          <w:tcPr>
            <w:tcW w:w="8670" w:type="dxa"/>
          </w:tcPr>
          <w:p w:rsidR="00FF232D" w:rsidP="006A7D75" w14:paraId="522FF4E3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28871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4D27F4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A6AC12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C81E67E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 Wise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8165</w:t>
            </w:r>
          </w:p>
          <w:p w:rsidR="00FF232D" w:rsidRPr="008A3940" w:rsidP="00BB4E29" w14:paraId="3E742F03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janice.wise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A3C6B9F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AF96AF5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D891BAF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P="004C0D41" w14:paraId="135247FA" w14:textId="077107FF">
            <w:pPr>
              <w:tabs>
                <w:tab w:val="left" w:pos="8625"/>
              </w:tabs>
              <w:spacing w:after="120"/>
              <w:jc w:val="center"/>
              <w:rPr>
                <w:b/>
                <w:i/>
              </w:rPr>
            </w:pPr>
            <w:r w:rsidRPr="00F90AD1">
              <w:rPr>
                <w:b/>
                <w:sz w:val="26"/>
                <w:szCs w:val="26"/>
              </w:rPr>
              <w:t xml:space="preserve">FCC </w:t>
            </w:r>
            <w:r w:rsidR="004D4981">
              <w:rPr>
                <w:b/>
                <w:sz w:val="26"/>
                <w:szCs w:val="26"/>
              </w:rPr>
              <w:t xml:space="preserve">SEEKS TO UPDATE </w:t>
            </w:r>
            <w:r w:rsidRPr="007D712B" w:rsidR="007D712B">
              <w:rPr>
                <w:b/>
                <w:sz w:val="26"/>
                <w:szCs w:val="26"/>
              </w:rPr>
              <w:t>RECORD</w:t>
            </w:r>
            <w:r w:rsidR="007D712B">
              <w:rPr>
                <w:b/>
                <w:sz w:val="26"/>
                <w:szCs w:val="26"/>
              </w:rPr>
              <w:t>KEEPING</w:t>
            </w:r>
            <w:r w:rsidRPr="007D712B" w:rsidR="007D712B">
              <w:rPr>
                <w:b/>
                <w:sz w:val="26"/>
                <w:szCs w:val="26"/>
              </w:rPr>
              <w:t xml:space="preserve"> RULES ON CABLE OPERATOR INTERESTS IN </w:t>
            </w:r>
            <w:r w:rsidR="007D712B">
              <w:rPr>
                <w:b/>
                <w:sz w:val="26"/>
                <w:szCs w:val="26"/>
              </w:rPr>
              <w:t xml:space="preserve">VIDEO </w:t>
            </w:r>
            <w:r w:rsidRPr="007D712B" w:rsidR="007D712B">
              <w:rPr>
                <w:b/>
                <w:sz w:val="26"/>
                <w:szCs w:val="26"/>
              </w:rPr>
              <w:t>PROGRAMMING</w:t>
            </w:r>
          </w:p>
          <w:p w:rsidR="001A6B5C" w:rsidRPr="00EE2C3D" w:rsidP="00C12A19" w14:paraId="30EDC7CE" w14:textId="77777777">
            <w:pPr>
              <w:jc w:val="center"/>
              <w:rPr>
                <w:b/>
                <w:i/>
              </w:rPr>
            </w:pPr>
          </w:p>
          <w:p w:rsidR="001F07BD" w:rsidP="001F07BD" w14:paraId="20F6398E" w14:textId="720F7AA4">
            <w:pPr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>
              <w:rPr>
                <w:sz w:val="22"/>
                <w:szCs w:val="22"/>
              </w:rPr>
              <w:t>February</w:t>
            </w:r>
            <w:r w:rsidRPr="007328F3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8, 2020—</w:t>
            </w:r>
            <w:r w:rsidRPr="00B93D2F">
              <w:rPr>
                <w:sz w:val="22"/>
                <w:szCs w:val="22"/>
              </w:rPr>
              <w:t xml:space="preserve">The Federal Communications Commission today </w:t>
            </w:r>
            <w:r w:rsidR="00061696">
              <w:rPr>
                <w:sz w:val="22"/>
                <w:szCs w:val="22"/>
              </w:rPr>
              <w:t xml:space="preserve">adopted a Notice of Proposed Rulemaking </w:t>
            </w:r>
            <w:r w:rsidR="003839E3">
              <w:rPr>
                <w:sz w:val="22"/>
                <w:szCs w:val="22"/>
              </w:rPr>
              <w:t>seeking comment on</w:t>
            </w:r>
            <w:r>
              <w:rPr>
                <w:sz w:val="22"/>
                <w:szCs w:val="22"/>
              </w:rPr>
              <w:t xml:space="preserve"> whether to eliminate or modify its rules that require </w:t>
            </w:r>
            <w:r w:rsidRPr="00CC6D2D">
              <w:rPr>
                <w:sz w:val="22"/>
                <w:szCs w:val="22"/>
              </w:rPr>
              <w:t xml:space="preserve">cable operators </w:t>
            </w:r>
            <w:r>
              <w:rPr>
                <w:sz w:val="22"/>
                <w:szCs w:val="22"/>
              </w:rPr>
              <w:t xml:space="preserve">to </w:t>
            </w:r>
            <w:r w:rsidRPr="00CC6D2D">
              <w:rPr>
                <w:sz w:val="22"/>
                <w:szCs w:val="22"/>
              </w:rPr>
              <w:t>maintain records in their online public inspection files regardin</w:t>
            </w:r>
            <w:r>
              <w:rPr>
                <w:sz w:val="22"/>
                <w:szCs w:val="22"/>
              </w:rPr>
              <w:t>g</w:t>
            </w:r>
            <w:r w:rsidRPr="00CC6D2D">
              <w:rPr>
                <w:sz w:val="22"/>
                <w:szCs w:val="22"/>
              </w:rPr>
              <w:t xml:space="preserve"> their interests in video programming services</w:t>
            </w:r>
            <w:r w:rsidR="00C92244">
              <w:rPr>
                <w:sz w:val="22"/>
                <w:szCs w:val="22"/>
              </w:rPr>
              <w:t>,</w:t>
            </w:r>
            <w:r w:rsidRPr="00CC6D2D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s well as </w:t>
            </w:r>
            <w:r w:rsidRPr="00CC6D2D">
              <w:rPr>
                <w:sz w:val="22"/>
                <w:szCs w:val="22"/>
              </w:rPr>
              <w:t xml:space="preserve">their carriage of </w:t>
            </w:r>
            <w:r>
              <w:rPr>
                <w:sz w:val="22"/>
                <w:szCs w:val="22"/>
              </w:rPr>
              <w:t>these</w:t>
            </w:r>
            <w:r w:rsidRPr="00CC6D2D">
              <w:rPr>
                <w:sz w:val="22"/>
                <w:szCs w:val="22"/>
              </w:rPr>
              <w:t xml:space="preserve"> services on cable systems </w:t>
            </w:r>
            <w:r>
              <w:rPr>
                <w:sz w:val="22"/>
                <w:szCs w:val="22"/>
              </w:rPr>
              <w:t>they own</w:t>
            </w:r>
            <w:r w:rsidR="00C922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The </w:t>
            </w:r>
            <w:r w:rsidR="003839E3">
              <w:rPr>
                <w:sz w:val="22"/>
                <w:szCs w:val="22"/>
              </w:rPr>
              <w:t xml:space="preserve">Notice of Proposed Rulemaking </w:t>
            </w:r>
            <w:r>
              <w:rPr>
                <w:sz w:val="22"/>
                <w:szCs w:val="22"/>
              </w:rPr>
              <w:t xml:space="preserve">reflects comments received in the Commission’s </w:t>
            </w:r>
            <w:r w:rsidRPr="0007138C">
              <w:rPr>
                <w:i/>
                <w:iCs/>
                <w:sz w:val="22"/>
                <w:szCs w:val="22"/>
              </w:rPr>
              <w:t>Modernization of Media Regulation Initiative</w:t>
            </w:r>
            <w:r>
              <w:rPr>
                <w:sz w:val="22"/>
                <w:szCs w:val="22"/>
              </w:rPr>
              <w:t xml:space="preserve">.  </w:t>
            </w:r>
          </w:p>
          <w:p w:rsidR="001F07BD" w:rsidP="001F07BD" w14:paraId="210ACEA2" w14:textId="77777777">
            <w:pPr>
              <w:rPr>
                <w:sz w:val="22"/>
                <w:szCs w:val="22"/>
              </w:rPr>
            </w:pPr>
          </w:p>
          <w:p w:rsidR="001F07BD" w:rsidP="001F07BD" w14:paraId="36A5F2B8" w14:textId="5DA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These </w:t>
            </w:r>
            <w:r w:rsidR="00E46D2D">
              <w:rPr>
                <w:sz w:val="22"/>
                <w:szCs w:val="22"/>
              </w:rPr>
              <w:t xml:space="preserve">recordkeeping </w:t>
            </w:r>
            <w:r>
              <w:rPr>
                <w:sz w:val="22"/>
                <w:szCs w:val="22"/>
              </w:rPr>
              <w:t>rules</w:t>
            </w:r>
            <w:r w:rsidR="00E46D2D">
              <w:rPr>
                <w:sz w:val="22"/>
                <w:szCs w:val="22"/>
              </w:rPr>
              <w:t xml:space="preserve"> were</w:t>
            </w:r>
            <w:r w:rsidR="00246D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originally adopted to aid compliance with </w:t>
            </w:r>
            <w:r w:rsidR="00246D94">
              <w:rPr>
                <w:sz w:val="22"/>
                <w:szCs w:val="22"/>
              </w:rPr>
              <w:t>FCC</w:t>
            </w:r>
            <w:r>
              <w:rPr>
                <w:sz w:val="22"/>
                <w:szCs w:val="22"/>
              </w:rPr>
              <w:t xml:space="preserve"> </w:t>
            </w:r>
            <w:r w:rsidR="00A8358C">
              <w:rPr>
                <w:sz w:val="22"/>
                <w:szCs w:val="22"/>
              </w:rPr>
              <w:t xml:space="preserve">cable </w:t>
            </w:r>
            <w:r>
              <w:rPr>
                <w:sz w:val="22"/>
                <w:szCs w:val="22"/>
              </w:rPr>
              <w:t>channel occupancy limits</w:t>
            </w:r>
            <w:r w:rsidR="00E46D2D">
              <w:rPr>
                <w:sz w:val="22"/>
                <w:szCs w:val="22"/>
              </w:rPr>
              <w:t>, which</w:t>
            </w:r>
            <w:r w:rsidRPr="00CC6D2D">
              <w:rPr>
                <w:sz w:val="22"/>
                <w:szCs w:val="22"/>
              </w:rPr>
              <w:t xml:space="preserve"> were reversed and remanded by the U.S. Court of Appeals for the D.C. Circuit in 2001</w:t>
            </w:r>
            <w:r w:rsidR="00C922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Therefore, the Commission is seeking comment on whether </w:t>
            </w:r>
            <w:r w:rsidRPr="00987094">
              <w:rPr>
                <w:sz w:val="22"/>
                <w:szCs w:val="22"/>
              </w:rPr>
              <w:t>there is any remaining purpose for th</w:t>
            </w:r>
            <w:r>
              <w:rPr>
                <w:sz w:val="22"/>
                <w:szCs w:val="22"/>
              </w:rPr>
              <w:t>e</w:t>
            </w:r>
            <w:r w:rsidR="00A8358C">
              <w:rPr>
                <w:sz w:val="22"/>
                <w:szCs w:val="22"/>
              </w:rPr>
              <w:t>se</w:t>
            </w:r>
            <w:r w:rsidRPr="00987094">
              <w:rPr>
                <w:sz w:val="22"/>
                <w:szCs w:val="22"/>
              </w:rPr>
              <w:t xml:space="preserve"> </w:t>
            </w:r>
            <w:r w:rsidR="00E46D2D">
              <w:rPr>
                <w:sz w:val="22"/>
                <w:szCs w:val="22"/>
              </w:rPr>
              <w:t xml:space="preserve">recordkeeping </w:t>
            </w:r>
            <w:r w:rsidRPr="00987094">
              <w:rPr>
                <w:sz w:val="22"/>
                <w:szCs w:val="22"/>
              </w:rPr>
              <w:t>rule</w:t>
            </w:r>
            <w:r w:rsidR="00E46D2D">
              <w:rPr>
                <w:sz w:val="22"/>
                <w:szCs w:val="22"/>
              </w:rPr>
              <w:t>s</w:t>
            </w:r>
            <w:r w:rsidRPr="00987094">
              <w:rPr>
                <w:sz w:val="22"/>
                <w:szCs w:val="22"/>
              </w:rPr>
              <w:t xml:space="preserve">, </w:t>
            </w:r>
            <w:r w:rsidR="004D4981">
              <w:rPr>
                <w:sz w:val="22"/>
                <w:szCs w:val="22"/>
              </w:rPr>
              <w:t xml:space="preserve">whether there are </w:t>
            </w:r>
            <w:r w:rsidRPr="00987094">
              <w:rPr>
                <w:sz w:val="22"/>
                <w:szCs w:val="22"/>
              </w:rPr>
              <w:t xml:space="preserve">other potential sources for </w:t>
            </w:r>
            <w:r>
              <w:rPr>
                <w:sz w:val="22"/>
                <w:szCs w:val="22"/>
              </w:rPr>
              <w:t>similar</w:t>
            </w:r>
            <w:r w:rsidRPr="00987094">
              <w:rPr>
                <w:sz w:val="22"/>
                <w:szCs w:val="22"/>
              </w:rPr>
              <w:t xml:space="preserve"> information, the burdens this requirement places on cable operators, and possible modifications to the rule</w:t>
            </w:r>
            <w:r w:rsidR="00E46D2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.  This is the FCC’s 20th </w:t>
            </w:r>
            <w:r w:rsidR="00061696">
              <w:rPr>
                <w:sz w:val="22"/>
                <w:szCs w:val="22"/>
              </w:rPr>
              <w:t xml:space="preserve">proceeding as part of the </w:t>
            </w:r>
            <w:r w:rsidRPr="0007138C" w:rsidR="00061696">
              <w:rPr>
                <w:i/>
                <w:iCs/>
                <w:sz w:val="22"/>
                <w:szCs w:val="22"/>
              </w:rPr>
              <w:t>Modernization of Media Regulation Initiative</w:t>
            </w:r>
            <w:r w:rsidR="000616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eliminate or modify media regulations that are outdated, unnecessary, or unduly burdensome.</w:t>
            </w:r>
          </w:p>
          <w:p w:rsidR="001F07BD" w:rsidP="007D712B" w14:paraId="175D5CD4" w14:textId="77777777">
            <w:pPr>
              <w:rPr>
                <w:sz w:val="22"/>
                <w:szCs w:val="22"/>
              </w:rPr>
            </w:pPr>
          </w:p>
          <w:p w:rsidR="00EE4709" w:rsidRPr="00EE4709" w:rsidP="00EE4709" w14:paraId="4CB7D3E2" w14:textId="27205CCA">
            <w:pPr>
              <w:rPr>
                <w:sz w:val="22"/>
                <w:szCs w:val="22"/>
              </w:rPr>
            </w:pPr>
            <w:r w:rsidRPr="00EE4709">
              <w:rPr>
                <w:sz w:val="22"/>
                <w:szCs w:val="22"/>
              </w:rPr>
              <w:t>Action by the Commission February 28, 2020 by Notice of Proposed Rulemaking (FCC 20-19).  Chairman Pai, Commissioners O’Rielly and Carr</w:t>
            </w:r>
            <w:r>
              <w:rPr>
                <w:sz w:val="22"/>
                <w:szCs w:val="22"/>
              </w:rPr>
              <w:t xml:space="preserve"> approving</w:t>
            </w:r>
            <w:r w:rsidRPr="00EE4709">
              <w:rPr>
                <w:sz w:val="22"/>
                <w:szCs w:val="22"/>
              </w:rPr>
              <w:t>.  Commissioners Rosenworcel and Starks concurring.  Chairman Pai, Commissioners O’Rielly, Rosenworcel, and Starks issuing separate statements.</w:t>
            </w:r>
          </w:p>
          <w:p w:rsidR="00EE4709" w:rsidRPr="00EE4709" w:rsidP="00EE4709" w14:paraId="43487113" w14:textId="77777777">
            <w:pPr>
              <w:rPr>
                <w:sz w:val="22"/>
                <w:szCs w:val="22"/>
              </w:rPr>
            </w:pPr>
          </w:p>
          <w:p w:rsidR="007D712B" w:rsidP="00EE4709" w14:paraId="3FFCA84C" w14:textId="611E1EA3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EE4709">
              <w:rPr>
                <w:sz w:val="22"/>
                <w:szCs w:val="22"/>
              </w:rPr>
              <w:t>MB Docket Nos. 20-35, 17-105</w:t>
            </w:r>
          </w:p>
          <w:p w:rsidR="00EE4709" w:rsidP="00EE4709" w14:paraId="5B8A2F60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7328F3" w14:paraId="6EBCDB1B" w14:textId="77777777">
            <w:pPr>
              <w:tabs>
                <w:tab w:val="left" w:pos="8640"/>
              </w:tabs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B7160A" w:rsidRPr="004C0D41" w:rsidP="00B7160A" w14:paraId="0BEEDE1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C0D41">
              <w:rPr>
                <w:b/>
                <w:bCs/>
                <w:sz w:val="17"/>
                <w:szCs w:val="17"/>
              </w:rPr>
              <w:br/>
            </w:r>
            <w:r w:rsidRPr="004C0D41"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 w:rsidRPr="004C0D41">
              <w:rPr>
                <w:b/>
                <w:sz w:val="17"/>
                <w:szCs w:val="17"/>
              </w:rPr>
              <w:t>www.fcc.gov</w:t>
            </w:r>
            <w:r w:rsidRPr="004C0D41">
              <w:rPr>
                <w:b/>
                <w:bCs/>
                <w:sz w:val="17"/>
                <w:szCs w:val="17"/>
              </w:rPr>
              <w:t xml:space="preserve"> </w:t>
            </w:r>
          </w:p>
          <w:p w:rsidR="00B7160A" w:rsidRPr="004C0D41" w:rsidP="00B7160A" w14:paraId="65CB63A2" w14:textId="77777777">
            <w:pPr>
              <w:ind w:right="72"/>
              <w:jc w:val="center"/>
              <w:rPr>
                <w:sz w:val="17"/>
                <w:szCs w:val="17"/>
              </w:rPr>
            </w:pPr>
          </w:p>
          <w:p w:rsidR="00B7160A" w:rsidRPr="004C0D41" w:rsidP="00B7160A" w14:paraId="46BA3609" w14:textId="77777777">
            <w:pPr>
              <w:ind w:right="72"/>
              <w:jc w:val="center"/>
              <w:rPr>
                <w:sz w:val="17"/>
                <w:szCs w:val="17"/>
              </w:rPr>
            </w:pPr>
            <w:r w:rsidRPr="004C0D41">
              <w:rPr>
                <w:bCs/>
                <w:i/>
                <w:sz w:val="17"/>
                <w:szCs w:val="17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:rsidR="00B7160A" w:rsidRPr="0069420F" w:rsidP="00B7160A" w14:paraId="5E2E7A57" w14:textId="2EE8A45B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  <w:p w:rsidR="00EE0E90" w:rsidRPr="0069420F" w:rsidP="00850E26" w14:paraId="51F09B1A" w14:textId="6A4C95D0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</w:tc>
      </w:tr>
    </w:tbl>
    <w:p w:rsidR="00D24C3D" w:rsidRPr="007528A5" w14:paraId="0A081662" w14:textId="77777777">
      <w:pPr>
        <w:rPr>
          <w:b/>
          <w:bCs/>
          <w:sz w:val="2"/>
          <w:szCs w:val="2"/>
        </w:rPr>
      </w:pPr>
    </w:p>
    <w:sectPr w:rsidSect="00BE47B2">
      <w:pgSz w:w="12240" w:h="15840"/>
      <w:pgMar w:top="634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9A"/>
    <w:rsid w:val="00024671"/>
    <w:rsid w:val="0002500C"/>
    <w:rsid w:val="000311FC"/>
    <w:rsid w:val="00040127"/>
    <w:rsid w:val="00061696"/>
    <w:rsid w:val="000659BF"/>
    <w:rsid w:val="0007018B"/>
    <w:rsid w:val="0007138C"/>
    <w:rsid w:val="00077FDA"/>
    <w:rsid w:val="00081232"/>
    <w:rsid w:val="000814B5"/>
    <w:rsid w:val="00091E65"/>
    <w:rsid w:val="00096D4A"/>
    <w:rsid w:val="000A38EA"/>
    <w:rsid w:val="000A3B59"/>
    <w:rsid w:val="000C1E47"/>
    <w:rsid w:val="000C26F3"/>
    <w:rsid w:val="000E049E"/>
    <w:rsid w:val="000F6BB0"/>
    <w:rsid w:val="0010799B"/>
    <w:rsid w:val="00117DB2"/>
    <w:rsid w:val="00123ED2"/>
    <w:rsid w:val="00125BE0"/>
    <w:rsid w:val="001347E2"/>
    <w:rsid w:val="00142C13"/>
    <w:rsid w:val="00152776"/>
    <w:rsid w:val="00153222"/>
    <w:rsid w:val="001577D3"/>
    <w:rsid w:val="001733A6"/>
    <w:rsid w:val="00184CCB"/>
    <w:rsid w:val="00185B0E"/>
    <w:rsid w:val="001865A9"/>
    <w:rsid w:val="00187DB2"/>
    <w:rsid w:val="001A6B5C"/>
    <w:rsid w:val="001B20BB"/>
    <w:rsid w:val="001B7F72"/>
    <w:rsid w:val="001C4370"/>
    <w:rsid w:val="001C6EDF"/>
    <w:rsid w:val="001D3779"/>
    <w:rsid w:val="001F0469"/>
    <w:rsid w:val="001F07BD"/>
    <w:rsid w:val="00203A98"/>
    <w:rsid w:val="00206EDD"/>
    <w:rsid w:val="0021247E"/>
    <w:rsid w:val="002146F6"/>
    <w:rsid w:val="00231C32"/>
    <w:rsid w:val="00240345"/>
    <w:rsid w:val="002421F0"/>
    <w:rsid w:val="00246D94"/>
    <w:rsid w:val="00247274"/>
    <w:rsid w:val="00255A5C"/>
    <w:rsid w:val="002636C6"/>
    <w:rsid w:val="00266966"/>
    <w:rsid w:val="00292275"/>
    <w:rsid w:val="00294C0C"/>
    <w:rsid w:val="002A0934"/>
    <w:rsid w:val="002B1013"/>
    <w:rsid w:val="002D03E5"/>
    <w:rsid w:val="002E3F1D"/>
    <w:rsid w:val="002F31D0"/>
    <w:rsid w:val="00300359"/>
    <w:rsid w:val="0031773E"/>
    <w:rsid w:val="00333871"/>
    <w:rsid w:val="003345CC"/>
    <w:rsid w:val="00344E56"/>
    <w:rsid w:val="00347716"/>
    <w:rsid w:val="003506E1"/>
    <w:rsid w:val="00367A96"/>
    <w:rsid w:val="003727E3"/>
    <w:rsid w:val="003839E3"/>
    <w:rsid w:val="00385A93"/>
    <w:rsid w:val="003910F1"/>
    <w:rsid w:val="003A7268"/>
    <w:rsid w:val="003C6894"/>
    <w:rsid w:val="003D00FC"/>
    <w:rsid w:val="003E019D"/>
    <w:rsid w:val="003E42FC"/>
    <w:rsid w:val="003E5991"/>
    <w:rsid w:val="003F344A"/>
    <w:rsid w:val="00402F7F"/>
    <w:rsid w:val="00403FF0"/>
    <w:rsid w:val="00417567"/>
    <w:rsid w:val="0042046D"/>
    <w:rsid w:val="0042116E"/>
    <w:rsid w:val="00425AEF"/>
    <w:rsid w:val="00426518"/>
    <w:rsid w:val="00427B06"/>
    <w:rsid w:val="00441F59"/>
    <w:rsid w:val="0044456F"/>
    <w:rsid w:val="00444E07"/>
    <w:rsid w:val="00444FA9"/>
    <w:rsid w:val="00471F1E"/>
    <w:rsid w:val="00473E9C"/>
    <w:rsid w:val="004748F7"/>
    <w:rsid w:val="00480099"/>
    <w:rsid w:val="004836FD"/>
    <w:rsid w:val="00497858"/>
    <w:rsid w:val="004A729A"/>
    <w:rsid w:val="004B4FEA"/>
    <w:rsid w:val="004B7534"/>
    <w:rsid w:val="004C0ADA"/>
    <w:rsid w:val="004C0D41"/>
    <w:rsid w:val="004C433E"/>
    <w:rsid w:val="004C4512"/>
    <w:rsid w:val="004C4F36"/>
    <w:rsid w:val="004D3D85"/>
    <w:rsid w:val="004D4981"/>
    <w:rsid w:val="004E11BB"/>
    <w:rsid w:val="004E2BD8"/>
    <w:rsid w:val="004F0F1F"/>
    <w:rsid w:val="005022AA"/>
    <w:rsid w:val="00504845"/>
    <w:rsid w:val="0050757F"/>
    <w:rsid w:val="00510053"/>
    <w:rsid w:val="00516AD2"/>
    <w:rsid w:val="00545DAE"/>
    <w:rsid w:val="00565154"/>
    <w:rsid w:val="00571B83"/>
    <w:rsid w:val="00575A00"/>
    <w:rsid w:val="00584C6A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1E9C"/>
    <w:rsid w:val="00652019"/>
    <w:rsid w:val="00657EC9"/>
    <w:rsid w:val="0066388F"/>
    <w:rsid w:val="00665633"/>
    <w:rsid w:val="006667BF"/>
    <w:rsid w:val="00674C86"/>
    <w:rsid w:val="0068015E"/>
    <w:rsid w:val="006861AB"/>
    <w:rsid w:val="00686B89"/>
    <w:rsid w:val="0069420F"/>
    <w:rsid w:val="006A2FC5"/>
    <w:rsid w:val="006A4976"/>
    <w:rsid w:val="006A7D75"/>
    <w:rsid w:val="006B0A70"/>
    <w:rsid w:val="006B3B98"/>
    <w:rsid w:val="006B606A"/>
    <w:rsid w:val="006B700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03DA"/>
    <w:rsid w:val="007328F3"/>
    <w:rsid w:val="0073414D"/>
    <w:rsid w:val="00741D76"/>
    <w:rsid w:val="00752331"/>
    <w:rsid w:val="0075235E"/>
    <w:rsid w:val="007528A5"/>
    <w:rsid w:val="007732CC"/>
    <w:rsid w:val="00774079"/>
    <w:rsid w:val="0077752B"/>
    <w:rsid w:val="00793D6F"/>
    <w:rsid w:val="00794090"/>
    <w:rsid w:val="007A44F8"/>
    <w:rsid w:val="007B54C1"/>
    <w:rsid w:val="007D21BF"/>
    <w:rsid w:val="007D712B"/>
    <w:rsid w:val="007F3C12"/>
    <w:rsid w:val="007F5205"/>
    <w:rsid w:val="00801673"/>
    <w:rsid w:val="008215E7"/>
    <w:rsid w:val="0082279F"/>
    <w:rsid w:val="00830FC6"/>
    <w:rsid w:val="008354DF"/>
    <w:rsid w:val="00842F25"/>
    <w:rsid w:val="00850E26"/>
    <w:rsid w:val="0086422E"/>
    <w:rsid w:val="00865EAA"/>
    <w:rsid w:val="00866F06"/>
    <w:rsid w:val="008728F5"/>
    <w:rsid w:val="008824C2"/>
    <w:rsid w:val="0089050D"/>
    <w:rsid w:val="008907D9"/>
    <w:rsid w:val="008960E4"/>
    <w:rsid w:val="008A3940"/>
    <w:rsid w:val="008A7CEC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E6894"/>
    <w:rsid w:val="008F1609"/>
    <w:rsid w:val="008F78D8"/>
    <w:rsid w:val="00900E37"/>
    <w:rsid w:val="00920037"/>
    <w:rsid w:val="0093373C"/>
    <w:rsid w:val="009400C6"/>
    <w:rsid w:val="00961620"/>
    <w:rsid w:val="00966879"/>
    <w:rsid w:val="00972350"/>
    <w:rsid w:val="009734B6"/>
    <w:rsid w:val="0098096F"/>
    <w:rsid w:val="0098437A"/>
    <w:rsid w:val="00986C92"/>
    <w:rsid w:val="00987094"/>
    <w:rsid w:val="00993C47"/>
    <w:rsid w:val="009972BC"/>
    <w:rsid w:val="009B4B16"/>
    <w:rsid w:val="009D14E3"/>
    <w:rsid w:val="009E54A1"/>
    <w:rsid w:val="009F4E25"/>
    <w:rsid w:val="009F5B1F"/>
    <w:rsid w:val="00A225A9"/>
    <w:rsid w:val="00A35DFD"/>
    <w:rsid w:val="00A702DF"/>
    <w:rsid w:val="00A769B8"/>
    <w:rsid w:val="00A775A3"/>
    <w:rsid w:val="00A81700"/>
    <w:rsid w:val="00A81B5B"/>
    <w:rsid w:val="00A82FAD"/>
    <w:rsid w:val="00A8358C"/>
    <w:rsid w:val="00A84816"/>
    <w:rsid w:val="00A8590C"/>
    <w:rsid w:val="00A9673A"/>
    <w:rsid w:val="00A96EF2"/>
    <w:rsid w:val="00AA5C35"/>
    <w:rsid w:val="00AA5ED9"/>
    <w:rsid w:val="00AB60A0"/>
    <w:rsid w:val="00AC0A38"/>
    <w:rsid w:val="00AC0F50"/>
    <w:rsid w:val="00AC4E0E"/>
    <w:rsid w:val="00AC517B"/>
    <w:rsid w:val="00AD0D19"/>
    <w:rsid w:val="00AE640C"/>
    <w:rsid w:val="00AF051B"/>
    <w:rsid w:val="00AF3EA9"/>
    <w:rsid w:val="00B037A2"/>
    <w:rsid w:val="00B112F0"/>
    <w:rsid w:val="00B31870"/>
    <w:rsid w:val="00B320B8"/>
    <w:rsid w:val="00B35EE2"/>
    <w:rsid w:val="00B36DEF"/>
    <w:rsid w:val="00B57131"/>
    <w:rsid w:val="00B62F2C"/>
    <w:rsid w:val="00B7005C"/>
    <w:rsid w:val="00B7075A"/>
    <w:rsid w:val="00B7160A"/>
    <w:rsid w:val="00B727C9"/>
    <w:rsid w:val="00B735C8"/>
    <w:rsid w:val="00B76A63"/>
    <w:rsid w:val="00B93D2F"/>
    <w:rsid w:val="00B93D64"/>
    <w:rsid w:val="00B96362"/>
    <w:rsid w:val="00BA1283"/>
    <w:rsid w:val="00BA6350"/>
    <w:rsid w:val="00BB099D"/>
    <w:rsid w:val="00BB4E29"/>
    <w:rsid w:val="00BB577F"/>
    <w:rsid w:val="00BB74C9"/>
    <w:rsid w:val="00BC3AB6"/>
    <w:rsid w:val="00BD19E8"/>
    <w:rsid w:val="00BD4273"/>
    <w:rsid w:val="00BD48CF"/>
    <w:rsid w:val="00BE47B2"/>
    <w:rsid w:val="00BF2808"/>
    <w:rsid w:val="00BF2FAC"/>
    <w:rsid w:val="00BF38D5"/>
    <w:rsid w:val="00C12A19"/>
    <w:rsid w:val="00C13060"/>
    <w:rsid w:val="00C1703D"/>
    <w:rsid w:val="00C208FE"/>
    <w:rsid w:val="00C22062"/>
    <w:rsid w:val="00C432E4"/>
    <w:rsid w:val="00C56C62"/>
    <w:rsid w:val="00C57A9E"/>
    <w:rsid w:val="00C70C26"/>
    <w:rsid w:val="00C72001"/>
    <w:rsid w:val="00C772B7"/>
    <w:rsid w:val="00C80347"/>
    <w:rsid w:val="00C92244"/>
    <w:rsid w:val="00CB2201"/>
    <w:rsid w:val="00CB7C1A"/>
    <w:rsid w:val="00CC5E08"/>
    <w:rsid w:val="00CC6D2D"/>
    <w:rsid w:val="00CE14FD"/>
    <w:rsid w:val="00CF6860"/>
    <w:rsid w:val="00D02AC6"/>
    <w:rsid w:val="00D03F0C"/>
    <w:rsid w:val="00D04312"/>
    <w:rsid w:val="00D1494A"/>
    <w:rsid w:val="00D16A7F"/>
    <w:rsid w:val="00D16AD2"/>
    <w:rsid w:val="00D17CDB"/>
    <w:rsid w:val="00D22596"/>
    <w:rsid w:val="00D22691"/>
    <w:rsid w:val="00D24C3D"/>
    <w:rsid w:val="00D46CB1"/>
    <w:rsid w:val="00D723F0"/>
    <w:rsid w:val="00D779B1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0344E"/>
    <w:rsid w:val="00E25922"/>
    <w:rsid w:val="00E349AA"/>
    <w:rsid w:val="00E36473"/>
    <w:rsid w:val="00E41390"/>
    <w:rsid w:val="00E41CA0"/>
    <w:rsid w:val="00E4366B"/>
    <w:rsid w:val="00E46D2D"/>
    <w:rsid w:val="00E50A4A"/>
    <w:rsid w:val="00E6034F"/>
    <w:rsid w:val="00E606DE"/>
    <w:rsid w:val="00E644FE"/>
    <w:rsid w:val="00E72733"/>
    <w:rsid w:val="00E73B7D"/>
    <w:rsid w:val="00E742FA"/>
    <w:rsid w:val="00E76816"/>
    <w:rsid w:val="00E83DBF"/>
    <w:rsid w:val="00E87C13"/>
    <w:rsid w:val="00E94CD9"/>
    <w:rsid w:val="00EA1A76"/>
    <w:rsid w:val="00EA290B"/>
    <w:rsid w:val="00EB50A3"/>
    <w:rsid w:val="00EE0E90"/>
    <w:rsid w:val="00EE2C3D"/>
    <w:rsid w:val="00EE4709"/>
    <w:rsid w:val="00EF20E4"/>
    <w:rsid w:val="00EF3BCA"/>
    <w:rsid w:val="00F01B0D"/>
    <w:rsid w:val="00F07D64"/>
    <w:rsid w:val="00F1238F"/>
    <w:rsid w:val="00F16485"/>
    <w:rsid w:val="00F228ED"/>
    <w:rsid w:val="00F26E31"/>
    <w:rsid w:val="00F27C6C"/>
    <w:rsid w:val="00F34A8D"/>
    <w:rsid w:val="00F50D25"/>
    <w:rsid w:val="00F52B1C"/>
    <w:rsid w:val="00F535D8"/>
    <w:rsid w:val="00F61155"/>
    <w:rsid w:val="00F708E3"/>
    <w:rsid w:val="00F76561"/>
    <w:rsid w:val="00F84736"/>
    <w:rsid w:val="00F9006A"/>
    <w:rsid w:val="00F90AD1"/>
    <w:rsid w:val="00FA3466"/>
    <w:rsid w:val="00FB6841"/>
    <w:rsid w:val="00FC6C29"/>
    <w:rsid w:val="00FC7B4A"/>
    <w:rsid w:val="00FD58E0"/>
    <w:rsid w:val="00FD71AE"/>
    <w:rsid w:val="00FE0198"/>
    <w:rsid w:val="00FE3A7C"/>
    <w:rsid w:val="00FF1C0B"/>
    <w:rsid w:val="00FF232D"/>
    <w:rsid w:val="00FF3C0E"/>
    <w:rsid w:val="00FF7713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211CE07-9857-4B74-9152-8C3BE2EE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D48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48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905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0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05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0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0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