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078B1FC5" w14:textId="77777777" w:rsidTr="006D5D22">
        <w:tblPrEx>
          <w:tblW w:w="0" w:type="auto"/>
          <w:tblLook w:val="0000"/>
        </w:tblPrEx>
        <w:trPr>
          <w:trHeight w:val="2181"/>
        </w:trPr>
        <w:tc>
          <w:tcPr>
            <w:tcW w:w="8856" w:type="dxa"/>
          </w:tcPr>
          <w:p w:rsidR="00FF232D" w:rsidP="006A7D75" w14:paraId="716188D6"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2527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5CB78AC" w14:textId="77777777">
            <w:pPr>
              <w:rPr>
                <w:b/>
                <w:bCs/>
                <w:sz w:val="12"/>
                <w:szCs w:val="12"/>
              </w:rPr>
            </w:pPr>
          </w:p>
          <w:p w:rsidR="007A44F8" w:rsidRPr="008A3940" w:rsidP="00BB4E29" w14:paraId="29E12CF0" w14:textId="77777777">
            <w:pPr>
              <w:rPr>
                <w:b/>
                <w:bCs/>
                <w:sz w:val="22"/>
                <w:szCs w:val="22"/>
              </w:rPr>
            </w:pPr>
            <w:r w:rsidRPr="008A3940">
              <w:rPr>
                <w:b/>
                <w:bCs/>
                <w:sz w:val="22"/>
                <w:szCs w:val="22"/>
              </w:rPr>
              <w:t xml:space="preserve">Media Contact: </w:t>
            </w:r>
          </w:p>
          <w:p w:rsidR="007A44F8" w:rsidRPr="008A3940" w:rsidP="00BB4E29" w14:paraId="3E85AD7B"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295D2DAA" w14:textId="77777777">
            <w:pPr>
              <w:rPr>
                <w:bCs/>
                <w:sz w:val="22"/>
                <w:szCs w:val="22"/>
              </w:rPr>
            </w:pPr>
            <w:r w:rsidRPr="008A3940">
              <w:rPr>
                <w:bCs/>
                <w:sz w:val="22"/>
                <w:szCs w:val="22"/>
              </w:rPr>
              <w:t>will.wiquist@fcc.gov</w:t>
            </w:r>
          </w:p>
          <w:p w:rsidR="007A44F8" w:rsidRPr="008A3940" w:rsidP="00BB4E29" w14:paraId="76AD8E66" w14:textId="77777777">
            <w:pPr>
              <w:rPr>
                <w:bCs/>
                <w:sz w:val="22"/>
                <w:szCs w:val="22"/>
              </w:rPr>
            </w:pPr>
          </w:p>
          <w:p w:rsidR="007A44F8" w:rsidRPr="008A3940" w:rsidP="00BB4E29" w14:paraId="7B3CCF5E" w14:textId="77777777">
            <w:pPr>
              <w:rPr>
                <w:b/>
                <w:sz w:val="22"/>
                <w:szCs w:val="22"/>
              </w:rPr>
            </w:pPr>
            <w:r w:rsidRPr="008A3940">
              <w:rPr>
                <w:b/>
                <w:sz w:val="22"/>
                <w:szCs w:val="22"/>
              </w:rPr>
              <w:t>For Immediate Release</w:t>
            </w:r>
          </w:p>
          <w:p w:rsidR="007A44F8" w:rsidRPr="004A729A" w:rsidP="00BB4E29" w14:paraId="66EC5423" w14:textId="77777777">
            <w:pPr>
              <w:jc w:val="center"/>
              <w:rPr>
                <w:b/>
                <w:bCs/>
                <w:sz w:val="22"/>
                <w:szCs w:val="22"/>
              </w:rPr>
            </w:pPr>
          </w:p>
          <w:p w:rsidR="000E049E" w:rsidP="00D861EE" w14:paraId="1364C0D2" w14:textId="241B6241">
            <w:pPr>
              <w:tabs>
                <w:tab w:val="left" w:pos="8625"/>
              </w:tabs>
              <w:spacing w:after="120"/>
              <w:jc w:val="center"/>
              <w:rPr>
                <w:b/>
                <w:bCs/>
                <w:sz w:val="26"/>
                <w:szCs w:val="26"/>
              </w:rPr>
            </w:pPr>
            <w:r w:rsidRPr="000E049E">
              <w:rPr>
                <w:b/>
                <w:bCs/>
                <w:sz w:val="26"/>
                <w:szCs w:val="26"/>
              </w:rPr>
              <w:t xml:space="preserve">FCC </w:t>
            </w:r>
            <w:r w:rsidR="00F82171">
              <w:rPr>
                <w:b/>
                <w:bCs/>
                <w:sz w:val="26"/>
                <w:szCs w:val="26"/>
              </w:rPr>
              <w:t>PROPOSES OVER $</w:t>
            </w:r>
            <w:r w:rsidRPr="00AF7C1A" w:rsidR="00F82171">
              <w:rPr>
                <w:b/>
                <w:bCs/>
                <w:sz w:val="26"/>
                <w:szCs w:val="26"/>
              </w:rPr>
              <w:t>2</w:t>
            </w:r>
            <w:r w:rsidRPr="00AF7C1A" w:rsidR="008B6A09">
              <w:rPr>
                <w:b/>
                <w:bCs/>
                <w:sz w:val="26"/>
                <w:szCs w:val="26"/>
              </w:rPr>
              <w:t>0</w:t>
            </w:r>
            <w:r w:rsidRPr="00AF7C1A" w:rsidR="009A5DB6">
              <w:rPr>
                <w:b/>
                <w:bCs/>
                <w:sz w:val="26"/>
                <w:szCs w:val="26"/>
              </w:rPr>
              <w:t>0</w:t>
            </w:r>
            <w:r w:rsidRPr="00AF7C1A" w:rsidR="00F82171">
              <w:rPr>
                <w:b/>
                <w:bCs/>
                <w:sz w:val="26"/>
                <w:szCs w:val="26"/>
              </w:rPr>
              <w:t xml:space="preserve"> </w:t>
            </w:r>
            <w:r w:rsidR="00F82171">
              <w:rPr>
                <w:b/>
                <w:bCs/>
                <w:sz w:val="26"/>
                <w:szCs w:val="26"/>
              </w:rPr>
              <w:t xml:space="preserve">MILLION IN FINES AGAINST FOUR </w:t>
            </w:r>
            <w:r w:rsidR="00750165">
              <w:rPr>
                <w:b/>
                <w:bCs/>
                <w:sz w:val="26"/>
                <w:szCs w:val="26"/>
              </w:rPr>
              <w:t xml:space="preserve">LARGEST </w:t>
            </w:r>
            <w:r w:rsidR="00F82171">
              <w:rPr>
                <w:b/>
                <w:bCs/>
                <w:sz w:val="26"/>
                <w:szCs w:val="26"/>
              </w:rPr>
              <w:t xml:space="preserve">WIRELESS CARRIERS FOR </w:t>
            </w:r>
            <w:r w:rsidR="009A0EE5">
              <w:rPr>
                <w:b/>
                <w:bCs/>
                <w:sz w:val="26"/>
                <w:szCs w:val="26"/>
              </w:rPr>
              <w:t xml:space="preserve">APPARENTLY </w:t>
            </w:r>
            <w:r w:rsidR="009A5DB6">
              <w:rPr>
                <w:b/>
                <w:bCs/>
                <w:sz w:val="26"/>
                <w:szCs w:val="26"/>
              </w:rPr>
              <w:t xml:space="preserve">FAILING TO ADEQUATELY PROTECT </w:t>
            </w:r>
            <w:r w:rsidR="00F82171">
              <w:rPr>
                <w:b/>
                <w:bCs/>
                <w:sz w:val="26"/>
                <w:szCs w:val="26"/>
              </w:rPr>
              <w:t xml:space="preserve">CONSUMER </w:t>
            </w:r>
            <w:r w:rsidR="0054725E">
              <w:rPr>
                <w:b/>
                <w:bCs/>
                <w:sz w:val="26"/>
                <w:szCs w:val="26"/>
              </w:rPr>
              <w:t xml:space="preserve">LOCATION </w:t>
            </w:r>
            <w:r w:rsidR="00F82171">
              <w:rPr>
                <w:b/>
                <w:bCs/>
                <w:sz w:val="26"/>
                <w:szCs w:val="26"/>
              </w:rPr>
              <w:t xml:space="preserve">DATA </w:t>
            </w:r>
          </w:p>
          <w:p w:rsidR="00CC5E08" w:rsidRPr="008A3940" w:rsidP="00040127" w14:paraId="1B4606AB" w14:textId="0B6CF362">
            <w:pPr>
              <w:tabs>
                <w:tab w:val="left" w:pos="8625"/>
              </w:tabs>
              <w:jc w:val="center"/>
              <w:rPr>
                <w:i/>
              </w:rPr>
            </w:pPr>
            <w:r>
              <w:rPr>
                <w:b/>
                <w:bCs/>
                <w:i/>
              </w:rPr>
              <w:t>Carriers</w:t>
            </w:r>
            <w:r w:rsidR="00F82171">
              <w:rPr>
                <w:b/>
                <w:bCs/>
                <w:i/>
              </w:rPr>
              <w:t xml:space="preserve"> Apparently </w:t>
            </w:r>
            <w:r>
              <w:rPr>
                <w:b/>
                <w:bCs/>
                <w:i/>
              </w:rPr>
              <w:t>Disclosed Their Customers’ Location Information Without Their Consent and Continued to Sell Access to That Information Without Reasonable Safeguards</w:t>
            </w:r>
          </w:p>
          <w:p w:rsidR="00F61155" w:rsidRPr="006B0A70" w:rsidP="00BB4E29" w14:paraId="687A8172"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P="002E165B" w14:paraId="3EC4DC83" w14:textId="11A80809">
            <w:pPr>
              <w:rPr>
                <w:sz w:val="22"/>
                <w:szCs w:val="22"/>
              </w:rPr>
            </w:pPr>
            <w:r w:rsidRPr="002E165B">
              <w:rPr>
                <w:sz w:val="22"/>
                <w:szCs w:val="22"/>
              </w:rPr>
              <w:t xml:space="preserve">WASHINGTON, </w:t>
            </w:r>
            <w:r w:rsidRPr="00B87470" w:rsidR="0054725E">
              <w:rPr>
                <w:sz w:val="22"/>
                <w:szCs w:val="22"/>
              </w:rPr>
              <w:t>February 28</w:t>
            </w:r>
            <w:r w:rsidRPr="00B87470" w:rsidR="00065E2D">
              <w:rPr>
                <w:sz w:val="22"/>
                <w:szCs w:val="22"/>
              </w:rPr>
              <w:t>, 20</w:t>
            </w:r>
            <w:r w:rsidRPr="00B87470" w:rsidR="006D16EF">
              <w:rPr>
                <w:sz w:val="22"/>
                <w:szCs w:val="22"/>
              </w:rPr>
              <w:t>20</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756FC3">
              <w:rPr>
                <w:sz w:val="22"/>
                <w:szCs w:val="22"/>
              </w:rPr>
              <w:t xml:space="preserve">proposed fines against </w:t>
            </w:r>
            <w:r w:rsidR="009A5DB6">
              <w:rPr>
                <w:sz w:val="22"/>
                <w:szCs w:val="22"/>
              </w:rPr>
              <w:t xml:space="preserve">the nation’s four largest </w:t>
            </w:r>
            <w:r w:rsidR="00756FC3">
              <w:rPr>
                <w:sz w:val="22"/>
                <w:szCs w:val="22"/>
              </w:rPr>
              <w:t xml:space="preserve">wireless </w:t>
            </w:r>
            <w:r w:rsidR="009A5DB6">
              <w:rPr>
                <w:sz w:val="22"/>
                <w:szCs w:val="22"/>
              </w:rPr>
              <w:t xml:space="preserve">carriers </w:t>
            </w:r>
            <w:r w:rsidR="00756FC3">
              <w:rPr>
                <w:sz w:val="22"/>
                <w:szCs w:val="22"/>
              </w:rPr>
              <w:t>for</w:t>
            </w:r>
            <w:r w:rsidR="002666A4">
              <w:rPr>
                <w:sz w:val="22"/>
                <w:szCs w:val="22"/>
              </w:rPr>
              <w:t xml:space="preserve"> </w:t>
            </w:r>
            <w:r w:rsidR="00DB6FE1">
              <w:rPr>
                <w:sz w:val="22"/>
                <w:szCs w:val="22"/>
              </w:rPr>
              <w:t xml:space="preserve">apparently </w:t>
            </w:r>
            <w:r w:rsidR="002666A4">
              <w:rPr>
                <w:sz w:val="22"/>
                <w:szCs w:val="22"/>
              </w:rPr>
              <w:t xml:space="preserve">selling access to their customers’ location information without </w:t>
            </w:r>
            <w:r w:rsidR="00750165">
              <w:rPr>
                <w:sz w:val="22"/>
                <w:szCs w:val="22"/>
              </w:rPr>
              <w:t>taking</w:t>
            </w:r>
            <w:r w:rsidR="002666A4">
              <w:rPr>
                <w:sz w:val="22"/>
                <w:szCs w:val="22"/>
              </w:rPr>
              <w:t xml:space="preserve"> reasonable </w:t>
            </w:r>
            <w:r w:rsidR="00750165">
              <w:rPr>
                <w:sz w:val="22"/>
                <w:szCs w:val="22"/>
              </w:rPr>
              <w:t xml:space="preserve">measures </w:t>
            </w:r>
            <w:r w:rsidR="002666A4">
              <w:rPr>
                <w:sz w:val="22"/>
                <w:szCs w:val="22"/>
              </w:rPr>
              <w:t xml:space="preserve">to protect against unauthorized access to </w:t>
            </w:r>
            <w:r w:rsidR="00A0312A">
              <w:rPr>
                <w:sz w:val="22"/>
                <w:szCs w:val="22"/>
              </w:rPr>
              <w:t>that</w:t>
            </w:r>
            <w:r w:rsidR="002666A4">
              <w:rPr>
                <w:sz w:val="22"/>
                <w:szCs w:val="22"/>
              </w:rPr>
              <w:t xml:space="preserve"> information.</w:t>
            </w:r>
            <w:r w:rsidR="00756FC3">
              <w:rPr>
                <w:sz w:val="22"/>
                <w:szCs w:val="22"/>
              </w:rPr>
              <w:t xml:space="preserve">  As a result, </w:t>
            </w:r>
            <w:r w:rsidRPr="00750165" w:rsidR="00103CD3">
              <w:rPr>
                <w:sz w:val="22"/>
                <w:szCs w:val="22"/>
              </w:rPr>
              <w:t>T-Mobile faces a proposed fine of more than $91 million</w:t>
            </w:r>
            <w:r w:rsidR="00103CD3">
              <w:rPr>
                <w:sz w:val="22"/>
                <w:szCs w:val="22"/>
              </w:rPr>
              <w:t xml:space="preserve">; </w:t>
            </w:r>
            <w:r w:rsidR="00756FC3">
              <w:rPr>
                <w:sz w:val="22"/>
                <w:szCs w:val="22"/>
              </w:rPr>
              <w:t>AT&amp;T faces a proposed fine of more than $</w:t>
            </w:r>
            <w:r w:rsidRPr="00750165" w:rsidR="008B6A09">
              <w:rPr>
                <w:sz w:val="22"/>
                <w:szCs w:val="22"/>
              </w:rPr>
              <w:t>57</w:t>
            </w:r>
            <w:r w:rsidRPr="00750165" w:rsidR="00756FC3">
              <w:rPr>
                <w:sz w:val="22"/>
                <w:szCs w:val="22"/>
              </w:rPr>
              <w:t xml:space="preserve"> million; </w:t>
            </w:r>
            <w:r w:rsidRPr="00750165" w:rsidR="00103CD3">
              <w:rPr>
                <w:sz w:val="22"/>
                <w:szCs w:val="22"/>
              </w:rPr>
              <w:t>Verizon faces a proposed fine of more than $48 million</w:t>
            </w:r>
            <w:r w:rsidR="00103CD3">
              <w:rPr>
                <w:sz w:val="22"/>
                <w:szCs w:val="22"/>
              </w:rPr>
              <w:t xml:space="preserve">; and </w:t>
            </w:r>
            <w:r w:rsidRPr="00750165" w:rsidR="00F93CB1">
              <w:rPr>
                <w:sz w:val="22"/>
                <w:szCs w:val="22"/>
              </w:rPr>
              <w:t>Sprint</w:t>
            </w:r>
            <w:r w:rsidRPr="00750165" w:rsidR="00756FC3">
              <w:rPr>
                <w:sz w:val="22"/>
                <w:szCs w:val="22"/>
              </w:rPr>
              <w:t xml:space="preserve"> faces a proposed fine of more than $</w:t>
            </w:r>
            <w:r w:rsidRPr="00750165" w:rsidR="00F93CB1">
              <w:rPr>
                <w:sz w:val="22"/>
                <w:szCs w:val="22"/>
              </w:rPr>
              <w:t>12</w:t>
            </w:r>
            <w:r w:rsidRPr="00750165" w:rsidR="00756FC3">
              <w:rPr>
                <w:sz w:val="22"/>
                <w:szCs w:val="22"/>
              </w:rPr>
              <w:t xml:space="preserve"> million.</w:t>
            </w:r>
            <w:r w:rsidR="00750165">
              <w:rPr>
                <w:sz w:val="22"/>
                <w:szCs w:val="22"/>
              </w:rPr>
              <w:t xml:space="preserve">  The FCC also admonished these carriers for </w:t>
            </w:r>
            <w:r w:rsidR="00DB6FE1">
              <w:rPr>
                <w:sz w:val="22"/>
                <w:szCs w:val="22"/>
              </w:rPr>
              <w:t xml:space="preserve">apparently </w:t>
            </w:r>
            <w:r w:rsidR="00750165">
              <w:rPr>
                <w:sz w:val="22"/>
                <w:szCs w:val="22"/>
              </w:rPr>
              <w:t>disclosing their customers’ location information, without their authorization, to a third party.</w:t>
            </w:r>
          </w:p>
          <w:p w:rsidR="00750165" w:rsidP="002E165B" w14:paraId="73766499" w14:textId="1FFE36D9">
            <w:pPr>
              <w:rPr>
                <w:sz w:val="22"/>
                <w:szCs w:val="22"/>
              </w:rPr>
            </w:pPr>
          </w:p>
          <w:p w:rsidR="00750165" w:rsidRPr="002E165B" w:rsidP="002E165B" w14:paraId="768AE0A5" w14:textId="43EF8266">
            <w:pPr>
              <w:rPr>
                <w:sz w:val="22"/>
                <w:szCs w:val="22"/>
              </w:rPr>
            </w:pPr>
            <w:r>
              <w:rPr>
                <w:sz w:val="22"/>
                <w:szCs w:val="22"/>
              </w:rPr>
              <w:t xml:space="preserve">The FCC’s Enforcement Bureau opened this investigation following public reports </w:t>
            </w:r>
            <w:r w:rsidR="00103CD3">
              <w:rPr>
                <w:sz w:val="22"/>
                <w:szCs w:val="22"/>
              </w:rPr>
              <w:t>that</w:t>
            </w:r>
            <w:r>
              <w:rPr>
                <w:sz w:val="22"/>
                <w:szCs w:val="22"/>
              </w:rPr>
              <w:t xml:space="preserve"> a Missouri Sheriff, Cory Hutcheson, </w:t>
            </w:r>
            <w:r w:rsidR="006E61EA">
              <w:rPr>
                <w:sz w:val="22"/>
                <w:szCs w:val="22"/>
              </w:rPr>
              <w:t>used a “location-finding service” operated by Securus, a provider of communications services to correctional facilities, to access the location information of the wireless carriers’ customers without their consent</w:t>
            </w:r>
            <w:r w:rsidR="00103CD3">
              <w:rPr>
                <w:sz w:val="22"/>
                <w:szCs w:val="22"/>
              </w:rPr>
              <w:t xml:space="preserve"> between 2014 and 2017</w:t>
            </w:r>
            <w:r w:rsidR="006E61EA">
              <w:rPr>
                <w:sz w:val="22"/>
                <w:szCs w:val="22"/>
              </w:rPr>
              <w:t xml:space="preserve">.  In some cases, Hutcheson </w:t>
            </w:r>
            <w:r w:rsidR="005E4EA5">
              <w:rPr>
                <w:sz w:val="22"/>
                <w:szCs w:val="22"/>
              </w:rPr>
              <w:t xml:space="preserve">provided Securus with </w:t>
            </w:r>
            <w:r w:rsidR="006E61EA">
              <w:rPr>
                <w:sz w:val="22"/>
                <w:szCs w:val="22"/>
              </w:rPr>
              <w:t xml:space="preserve">irrelevant documents like his health insurance policy, his auto insurance policy, and pages from Sheriff training manuals </w:t>
            </w:r>
            <w:r w:rsidR="005E4EA5">
              <w:rPr>
                <w:sz w:val="22"/>
                <w:szCs w:val="22"/>
              </w:rPr>
              <w:t xml:space="preserve">as </w:t>
            </w:r>
            <w:r w:rsidR="00BF499C">
              <w:rPr>
                <w:sz w:val="22"/>
                <w:szCs w:val="22"/>
              </w:rPr>
              <w:t xml:space="preserve">evidence of his </w:t>
            </w:r>
            <w:r w:rsidR="005E4EA5">
              <w:rPr>
                <w:sz w:val="22"/>
                <w:szCs w:val="22"/>
              </w:rPr>
              <w:t>authori</w:t>
            </w:r>
            <w:r w:rsidR="00AF7C1A">
              <w:rPr>
                <w:sz w:val="22"/>
                <w:szCs w:val="22"/>
              </w:rPr>
              <w:t>zation</w:t>
            </w:r>
            <w:r w:rsidR="005E4EA5">
              <w:rPr>
                <w:sz w:val="22"/>
                <w:szCs w:val="22"/>
              </w:rPr>
              <w:t xml:space="preserve"> </w:t>
            </w:r>
            <w:r w:rsidR="006E61EA">
              <w:rPr>
                <w:sz w:val="22"/>
                <w:szCs w:val="22"/>
              </w:rPr>
              <w:t xml:space="preserve">to access </w:t>
            </w:r>
            <w:r w:rsidR="00AF7C1A">
              <w:rPr>
                <w:sz w:val="22"/>
                <w:szCs w:val="22"/>
              </w:rPr>
              <w:t xml:space="preserve">wireless </w:t>
            </w:r>
            <w:r w:rsidR="006E61EA">
              <w:rPr>
                <w:sz w:val="22"/>
                <w:szCs w:val="22"/>
              </w:rPr>
              <w:t>customer location data.</w:t>
            </w:r>
            <w:r w:rsidR="00103CD3">
              <w:rPr>
                <w:sz w:val="22"/>
                <w:szCs w:val="22"/>
              </w:rPr>
              <w:t xml:space="preserve">  </w:t>
            </w:r>
          </w:p>
          <w:p w:rsidR="00040127" w:rsidP="002E165B" w14:paraId="214C6F39" w14:textId="77777777">
            <w:pPr>
              <w:rPr>
                <w:sz w:val="22"/>
                <w:szCs w:val="22"/>
              </w:rPr>
            </w:pPr>
          </w:p>
          <w:p w:rsidR="00850E26" w:rsidRPr="002E165B" w:rsidP="002E165B" w14:paraId="6C23C5D5" w14:textId="3AFA9747">
            <w:pPr>
              <w:rPr>
                <w:sz w:val="22"/>
                <w:szCs w:val="22"/>
              </w:rPr>
            </w:pPr>
            <w:r w:rsidRPr="002E165B">
              <w:rPr>
                <w:sz w:val="22"/>
                <w:szCs w:val="22"/>
              </w:rPr>
              <w:t>“</w:t>
            </w:r>
            <w:r w:rsidR="009A0EE5">
              <w:rPr>
                <w:sz w:val="22"/>
                <w:szCs w:val="22"/>
              </w:rPr>
              <w:t xml:space="preserve">American consumers take their wireless phones with them wherever they go.  And information about a wireless customer’s location is highly personal and sensitive.  </w:t>
            </w:r>
            <w:r w:rsidR="00DB6FE1">
              <w:rPr>
                <w:sz w:val="22"/>
                <w:szCs w:val="22"/>
              </w:rPr>
              <w:t>T</w:t>
            </w:r>
            <w:r w:rsidR="009A0EE5">
              <w:rPr>
                <w:sz w:val="22"/>
                <w:szCs w:val="22"/>
              </w:rPr>
              <w:t>he FCC has long had clear rules on the books requiring all phone companies to protect their customers’ personal information.  And since 2007, these companies have been on notice that they must take reasonable precaution</w:t>
            </w:r>
            <w:r w:rsidR="00DB6FE1">
              <w:rPr>
                <w:sz w:val="22"/>
                <w:szCs w:val="22"/>
              </w:rPr>
              <w:t>s</w:t>
            </w:r>
            <w:r w:rsidR="009A0EE5">
              <w:rPr>
                <w:sz w:val="22"/>
                <w:szCs w:val="22"/>
              </w:rPr>
              <w:t xml:space="preserve"> to safeguard this data and that the FCC will take strong enforcement action if they don’t.  Today, we do just that</w:t>
            </w:r>
            <w:r w:rsidR="00143AD5">
              <w:rPr>
                <w:sz w:val="22"/>
                <w:szCs w:val="22"/>
              </w:rPr>
              <w:t>,” said FCC Chairman Ajit Pai.  “This FCC will not tolerate phone companies putting Americans’ privacy at risk.”</w:t>
            </w:r>
            <w:r w:rsidR="00887E17">
              <w:rPr>
                <w:sz w:val="22"/>
                <w:szCs w:val="22"/>
              </w:rPr>
              <w:t xml:space="preserve"> </w:t>
            </w:r>
          </w:p>
          <w:p w:rsidR="00850E26" w:rsidP="002E165B" w14:paraId="33697FE1" w14:textId="36D3B2E8">
            <w:pPr>
              <w:rPr>
                <w:sz w:val="22"/>
                <w:szCs w:val="22"/>
              </w:rPr>
            </w:pPr>
          </w:p>
          <w:p w:rsidR="0054725E" w:rsidP="002E165B" w14:paraId="715BB7B9" w14:textId="04B4356A">
            <w:pPr>
              <w:rPr>
                <w:sz w:val="22"/>
                <w:szCs w:val="22"/>
              </w:rPr>
            </w:pPr>
            <w:r>
              <w:rPr>
                <w:sz w:val="22"/>
                <w:szCs w:val="22"/>
              </w:rPr>
              <w:t>The</w:t>
            </w:r>
            <w:r w:rsidRPr="0054725E">
              <w:rPr>
                <w:sz w:val="22"/>
                <w:szCs w:val="22"/>
              </w:rPr>
              <w:t xml:space="preserve"> Communications Act requires </w:t>
            </w:r>
            <w:r w:rsidR="006E61EA">
              <w:rPr>
                <w:sz w:val="22"/>
                <w:szCs w:val="22"/>
              </w:rPr>
              <w:t xml:space="preserve">telecommunications </w:t>
            </w:r>
            <w:r w:rsidRPr="0054725E">
              <w:rPr>
                <w:sz w:val="22"/>
                <w:szCs w:val="22"/>
              </w:rPr>
              <w:t>carriers to protect the confidentiality of certain customer data related to the provision of telecommunications service, including location information.</w:t>
            </w:r>
            <w:r>
              <w:rPr>
                <w:sz w:val="22"/>
                <w:szCs w:val="22"/>
              </w:rPr>
              <w:t xml:space="preserve">  </w:t>
            </w:r>
            <w:r w:rsidR="00BF499C">
              <w:rPr>
                <w:sz w:val="22"/>
                <w:szCs w:val="22"/>
              </w:rPr>
              <w:t>T</w:t>
            </w:r>
            <w:r w:rsidR="006E61EA">
              <w:rPr>
                <w:sz w:val="22"/>
                <w:szCs w:val="22"/>
              </w:rPr>
              <w:t xml:space="preserve">he FCC’s rules </w:t>
            </w:r>
            <w:r w:rsidR="00BF499C">
              <w:rPr>
                <w:sz w:val="22"/>
                <w:szCs w:val="22"/>
              </w:rPr>
              <w:t xml:space="preserve">make clear that </w:t>
            </w:r>
            <w:r w:rsidR="006E61EA">
              <w:rPr>
                <w:sz w:val="22"/>
                <w:szCs w:val="22"/>
              </w:rPr>
              <w:t xml:space="preserve">carriers </w:t>
            </w:r>
            <w:r w:rsidR="00BF499C">
              <w:rPr>
                <w:sz w:val="22"/>
                <w:szCs w:val="22"/>
              </w:rPr>
              <w:t xml:space="preserve">must </w:t>
            </w:r>
            <w:r w:rsidR="006E61EA">
              <w:rPr>
                <w:sz w:val="22"/>
                <w:szCs w:val="22"/>
              </w:rPr>
              <w:t xml:space="preserve">take reasonable measures to discover and protect against attempts to gain unauthorized access to this data.  </w:t>
            </w:r>
            <w:r w:rsidR="00BF499C">
              <w:rPr>
                <w:sz w:val="22"/>
                <w:szCs w:val="22"/>
              </w:rPr>
              <w:t>The rules also require that c</w:t>
            </w:r>
            <w:r w:rsidR="00103CD3">
              <w:rPr>
                <w:sz w:val="22"/>
                <w:szCs w:val="22"/>
              </w:rPr>
              <w:t xml:space="preserve">arriers or those acting on their behalf generally must obtain affirmative, express consent from a customer before using, disclosing, or </w:t>
            </w:r>
            <w:r w:rsidR="00060262">
              <w:rPr>
                <w:sz w:val="22"/>
                <w:szCs w:val="22"/>
              </w:rPr>
              <w:t xml:space="preserve">allowing </w:t>
            </w:r>
            <w:r w:rsidR="00103CD3">
              <w:rPr>
                <w:sz w:val="22"/>
                <w:szCs w:val="22"/>
              </w:rPr>
              <w:t>access</w:t>
            </w:r>
            <w:r w:rsidR="00060262">
              <w:rPr>
                <w:sz w:val="22"/>
                <w:szCs w:val="22"/>
              </w:rPr>
              <w:t xml:space="preserve"> to</w:t>
            </w:r>
            <w:r w:rsidR="00103CD3">
              <w:rPr>
                <w:sz w:val="22"/>
                <w:szCs w:val="22"/>
              </w:rPr>
              <w:t xml:space="preserve"> this data.  And carriers are liable for the actions of those acting on their behalf.</w:t>
            </w:r>
          </w:p>
          <w:p w:rsidR="004D20E5" w:rsidP="002E165B" w14:paraId="42A776DA" w14:textId="2D8773E5">
            <w:pPr>
              <w:rPr>
                <w:sz w:val="22"/>
                <w:szCs w:val="22"/>
              </w:rPr>
            </w:pPr>
          </w:p>
          <w:p w:rsidR="001D233C" w:rsidP="000F42A3" w14:paraId="54595D78" w14:textId="0E11E5BF">
            <w:pPr>
              <w:rPr>
                <w:sz w:val="22"/>
                <w:szCs w:val="22"/>
              </w:rPr>
            </w:pPr>
            <w:r>
              <w:rPr>
                <w:sz w:val="22"/>
                <w:szCs w:val="22"/>
              </w:rPr>
              <w:t>All four carriers</w:t>
            </w:r>
            <w:r w:rsidR="00D44FEF">
              <w:rPr>
                <w:sz w:val="22"/>
                <w:szCs w:val="22"/>
              </w:rPr>
              <w:t xml:space="preserve"> </w:t>
            </w:r>
            <w:r w:rsidR="00DE4FE4">
              <w:rPr>
                <w:sz w:val="22"/>
                <w:szCs w:val="22"/>
              </w:rPr>
              <w:t xml:space="preserve">mentioned above </w:t>
            </w:r>
            <w:r w:rsidR="004D20E5">
              <w:rPr>
                <w:sz w:val="22"/>
                <w:szCs w:val="22"/>
              </w:rPr>
              <w:t xml:space="preserve">sold </w:t>
            </w:r>
            <w:r w:rsidR="002666A4">
              <w:rPr>
                <w:sz w:val="22"/>
                <w:szCs w:val="22"/>
              </w:rPr>
              <w:t xml:space="preserve">access to </w:t>
            </w:r>
            <w:r w:rsidR="00D44FEF">
              <w:rPr>
                <w:sz w:val="22"/>
                <w:szCs w:val="22"/>
              </w:rPr>
              <w:t xml:space="preserve">their </w:t>
            </w:r>
            <w:r w:rsidR="002666A4">
              <w:rPr>
                <w:sz w:val="22"/>
                <w:szCs w:val="22"/>
              </w:rPr>
              <w:t>customer</w:t>
            </w:r>
            <w:r w:rsidR="00D44FEF">
              <w:rPr>
                <w:sz w:val="22"/>
                <w:szCs w:val="22"/>
              </w:rPr>
              <w:t>s’</w:t>
            </w:r>
            <w:r w:rsidR="002666A4">
              <w:rPr>
                <w:sz w:val="22"/>
                <w:szCs w:val="22"/>
              </w:rPr>
              <w:t xml:space="preserve"> </w:t>
            </w:r>
            <w:r w:rsidR="004D20E5">
              <w:rPr>
                <w:sz w:val="22"/>
                <w:szCs w:val="22"/>
              </w:rPr>
              <w:t xml:space="preserve">location </w:t>
            </w:r>
            <w:r w:rsidR="002666A4">
              <w:rPr>
                <w:sz w:val="22"/>
                <w:szCs w:val="22"/>
              </w:rPr>
              <w:t xml:space="preserve">information </w:t>
            </w:r>
            <w:r w:rsidR="004D20E5">
              <w:rPr>
                <w:sz w:val="22"/>
                <w:szCs w:val="22"/>
              </w:rPr>
              <w:t xml:space="preserve">to </w:t>
            </w:r>
            <w:r>
              <w:rPr>
                <w:sz w:val="22"/>
                <w:szCs w:val="22"/>
              </w:rPr>
              <w:t>“</w:t>
            </w:r>
            <w:r w:rsidR="004D20E5">
              <w:rPr>
                <w:sz w:val="22"/>
                <w:szCs w:val="22"/>
              </w:rPr>
              <w:t>aggregators</w:t>
            </w:r>
            <w:r>
              <w:rPr>
                <w:sz w:val="22"/>
                <w:szCs w:val="22"/>
              </w:rPr>
              <w:t>,”</w:t>
            </w:r>
            <w:r w:rsidR="004D20E5">
              <w:rPr>
                <w:sz w:val="22"/>
                <w:szCs w:val="22"/>
              </w:rPr>
              <w:t xml:space="preserve"> </w:t>
            </w:r>
            <w:r w:rsidR="002666A4">
              <w:rPr>
                <w:sz w:val="22"/>
                <w:szCs w:val="22"/>
              </w:rPr>
              <w:t xml:space="preserve">who </w:t>
            </w:r>
            <w:r w:rsidR="004D20E5">
              <w:rPr>
                <w:sz w:val="22"/>
                <w:szCs w:val="22"/>
              </w:rPr>
              <w:t>then</w:t>
            </w:r>
            <w:r w:rsidR="00D44FEF">
              <w:rPr>
                <w:sz w:val="22"/>
                <w:szCs w:val="22"/>
              </w:rPr>
              <w:t xml:space="preserve"> </w:t>
            </w:r>
            <w:r>
              <w:rPr>
                <w:sz w:val="22"/>
                <w:szCs w:val="22"/>
              </w:rPr>
              <w:t>re</w:t>
            </w:r>
            <w:r w:rsidR="004D20E5">
              <w:rPr>
                <w:sz w:val="22"/>
                <w:szCs w:val="22"/>
              </w:rPr>
              <w:t xml:space="preserve">sold </w:t>
            </w:r>
            <w:r w:rsidR="002666A4">
              <w:rPr>
                <w:sz w:val="22"/>
                <w:szCs w:val="22"/>
              </w:rPr>
              <w:t xml:space="preserve">access </w:t>
            </w:r>
            <w:r w:rsidR="004D20E5">
              <w:rPr>
                <w:sz w:val="22"/>
                <w:szCs w:val="22"/>
              </w:rPr>
              <w:t>to</w:t>
            </w:r>
            <w:r w:rsidR="006E61EA">
              <w:rPr>
                <w:sz w:val="22"/>
                <w:szCs w:val="22"/>
              </w:rPr>
              <w:t xml:space="preserve"> </w:t>
            </w:r>
            <w:r>
              <w:rPr>
                <w:sz w:val="22"/>
                <w:szCs w:val="22"/>
              </w:rPr>
              <w:t xml:space="preserve">such information to third-party </w:t>
            </w:r>
            <w:r w:rsidR="00431A86">
              <w:rPr>
                <w:sz w:val="22"/>
                <w:szCs w:val="22"/>
              </w:rPr>
              <w:t>location-based service providers</w:t>
            </w:r>
            <w:r w:rsidR="006E61EA">
              <w:rPr>
                <w:sz w:val="22"/>
                <w:szCs w:val="22"/>
              </w:rPr>
              <w:t xml:space="preserve"> (like Securus)</w:t>
            </w:r>
            <w:r w:rsidR="004D20E5">
              <w:rPr>
                <w:sz w:val="22"/>
                <w:szCs w:val="22"/>
              </w:rPr>
              <w:t xml:space="preserve">.  </w:t>
            </w:r>
            <w:r w:rsidR="00D44FEF">
              <w:rPr>
                <w:sz w:val="22"/>
                <w:szCs w:val="22"/>
              </w:rPr>
              <w:t xml:space="preserve">Although their exact practices varied, each carrier relied heavily on contract-based assurances </w:t>
            </w:r>
            <w:r w:rsidR="00B768F4">
              <w:rPr>
                <w:sz w:val="22"/>
                <w:szCs w:val="22"/>
              </w:rPr>
              <w:t>that the location-based services providers</w:t>
            </w:r>
            <w:r w:rsidR="00AA030C">
              <w:rPr>
                <w:sz w:val="22"/>
                <w:szCs w:val="22"/>
              </w:rPr>
              <w:t xml:space="preserve"> (acting on the carriers’ behalf)</w:t>
            </w:r>
            <w:r w:rsidR="00B768F4">
              <w:rPr>
                <w:sz w:val="22"/>
                <w:szCs w:val="22"/>
              </w:rPr>
              <w:t xml:space="preserve"> would </w:t>
            </w:r>
            <w:r>
              <w:rPr>
                <w:sz w:val="22"/>
                <w:szCs w:val="22"/>
              </w:rPr>
              <w:t>obtain</w:t>
            </w:r>
            <w:r w:rsidR="00B768F4">
              <w:rPr>
                <w:sz w:val="22"/>
                <w:szCs w:val="22"/>
              </w:rPr>
              <w:t xml:space="preserve"> consent from </w:t>
            </w:r>
            <w:r>
              <w:rPr>
                <w:sz w:val="22"/>
                <w:szCs w:val="22"/>
              </w:rPr>
              <w:t xml:space="preserve">the </w:t>
            </w:r>
            <w:r w:rsidR="009E4330">
              <w:rPr>
                <w:sz w:val="22"/>
                <w:szCs w:val="22"/>
              </w:rPr>
              <w:t xml:space="preserve">wireless </w:t>
            </w:r>
            <w:r>
              <w:rPr>
                <w:sz w:val="22"/>
                <w:szCs w:val="22"/>
              </w:rPr>
              <w:t xml:space="preserve">carrier’s </w:t>
            </w:r>
            <w:r w:rsidR="009E4330">
              <w:rPr>
                <w:sz w:val="22"/>
                <w:szCs w:val="22"/>
              </w:rPr>
              <w:t>customer</w:t>
            </w:r>
            <w:r w:rsidR="00B768F4">
              <w:rPr>
                <w:sz w:val="22"/>
                <w:szCs w:val="22"/>
              </w:rPr>
              <w:t xml:space="preserve"> before accessing that customer’s location</w:t>
            </w:r>
            <w:r>
              <w:rPr>
                <w:sz w:val="22"/>
                <w:szCs w:val="22"/>
              </w:rPr>
              <w:t xml:space="preserve"> </w:t>
            </w:r>
            <w:r w:rsidR="00B768F4">
              <w:rPr>
                <w:sz w:val="22"/>
                <w:szCs w:val="22"/>
              </w:rPr>
              <w:t xml:space="preserve">information.  </w:t>
            </w:r>
          </w:p>
          <w:p w:rsidR="001D233C" w:rsidP="000F42A3" w14:paraId="22963968" w14:textId="77777777">
            <w:pPr>
              <w:rPr>
                <w:sz w:val="22"/>
                <w:szCs w:val="22"/>
              </w:rPr>
            </w:pPr>
          </w:p>
          <w:p w:rsidR="000F42A3" w:rsidP="000F42A3" w14:paraId="1042D298" w14:textId="5628993D">
            <w:pPr>
              <w:rPr>
                <w:sz w:val="22"/>
                <w:szCs w:val="22"/>
              </w:rPr>
            </w:pPr>
            <w:r>
              <w:rPr>
                <w:sz w:val="22"/>
                <w:szCs w:val="22"/>
              </w:rPr>
              <w:t xml:space="preserve">Hutcheson’s unauthorized access </w:t>
            </w:r>
            <w:r w:rsidR="00AF7C1A">
              <w:rPr>
                <w:sz w:val="22"/>
                <w:szCs w:val="22"/>
              </w:rPr>
              <w:t xml:space="preserve">of </w:t>
            </w:r>
            <w:r>
              <w:rPr>
                <w:sz w:val="22"/>
                <w:szCs w:val="22"/>
              </w:rPr>
              <w:t xml:space="preserve">hundreds of wireless customers’ </w:t>
            </w:r>
            <w:r w:rsidR="001D233C">
              <w:rPr>
                <w:sz w:val="22"/>
                <w:szCs w:val="22"/>
              </w:rPr>
              <w:t xml:space="preserve">location </w:t>
            </w:r>
            <w:r>
              <w:rPr>
                <w:sz w:val="22"/>
                <w:szCs w:val="22"/>
              </w:rPr>
              <w:t xml:space="preserve">information made clear that the carriers’ existing </w:t>
            </w:r>
            <w:r w:rsidR="001D233C">
              <w:rPr>
                <w:sz w:val="22"/>
                <w:szCs w:val="22"/>
              </w:rPr>
              <w:t xml:space="preserve">measures to </w:t>
            </w:r>
            <w:r>
              <w:rPr>
                <w:sz w:val="22"/>
                <w:szCs w:val="22"/>
              </w:rPr>
              <w:t xml:space="preserve">safeguard </w:t>
            </w:r>
            <w:r w:rsidR="001D233C">
              <w:rPr>
                <w:sz w:val="22"/>
                <w:szCs w:val="22"/>
              </w:rPr>
              <w:t xml:space="preserve">this data </w:t>
            </w:r>
            <w:r>
              <w:rPr>
                <w:sz w:val="22"/>
                <w:szCs w:val="22"/>
              </w:rPr>
              <w:t xml:space="preserve">were inadequate. </w:t>
            </w:r>
            <w:r w:rsidR="009A5DB6">
              <w:rPr>
                <w:sz w:val="22"/>
                <w:szCs w:val="22"/>
              </w:rPr>
              <w:t xml:space="preserve"> </w:t>
            </w:r>
            <w:r>
              <w:rPr>
                <w:sz w:val="22"/>
                <w:szCs w:val="22"/>
              </w:rPr>
              <w:t xml:space="preserve">Yet all four carriers </w:t>
            </w:r>
            <w:r w:rsidR="00DB6FE1">
              <w:rPr>
                <w:sz w:val="22"/>
                <w:szCs w:val="22"/>
              </w:rPr>
              <w:t xml:space="preserve">apparently </w:t>
            </w:r>
            <w:r>
              <w:rPr>
                <w:sz w:val="22"/>
                <w:szCs w:val="22"/>
              </w:rPr>
              <w:t xml:space="preserve">continued to sell access to their customers’ location information without </w:t>
            </w:r>
            <w:r w:rsidR="001D233C">
              <w:rPr>
                <w:sz w:val="22"/>
                <w:szCs w:val="22"/>
              </w:rPr>
              <w:t>putting in place reasonable safeguards</w:t>
            </w:r>
            <w:r w:rsidR="00AA030C">
              <w:rPr>
                <w:sz w:val="22"/>
                <w:szCs w:val="22"/>
              </w:rPr>
              <w:t xml:space="preserve"> to ensure that the dozens of location-based services providers acting on their behalf were actually obtaining consumer consent</w:t>
            </w:r>
            <w:r w:rsidR="001D233C">
              <w:rPr>
                <w:sz w:val="22"/>
                <w:szCs w:val="22"/>
              </w:rPr>
              <w:t xml:space="preserve">.  </w:t>
            </w:r>
            <w:r w:rsidR="00AA030C">
              <w:rPr>
                <w:sz w:val="22"/>
                <w:szCs w:val="22"/>
              </w:rPr>
              <w:t>Although t</w:t>
            </w:r>
            <w:r w:rsidR="001D233C">
              <w:rPr>
                <w:sz w:val="22"/>
                <w:szCs w:val="22"/>
              </w:rPr>
              <w:t xml:space="preserve">he carriers </w:t>
            </w:r>
            <w:r w:rsidR="00AA030C">
              <w:rPr>
                <w:sz w:val="22"/>
                <w:szCs w:val="22"/>
              </w:rPr>
              <w:t>had several</w:t>
            </w:r>
            <w:r w:rsidR="001D233C">
              <w:rPr>
                <w:sz w:val="22"/>
                <w:szCs w:val="22"/>
              </w:rPr>
              <w:t xml:space="preserve"> commonsense </w:t>
            </w:r>
            <w:r w:rsidR="00AA030C">
              <w:rPr>
                <w:sz w:val="22"/>
                <w:szCs w:val="22"/>
              </w:rPr>
              <w:t xml:space="preserve">options to impose reasonable safeguards (such as verifying </w:t>
            </w:r>
            <w:r w:rsidR="001D233C">
              <w:rPr>
                <w:sz w:val="22"/>
                <w:szCs w:val="22"/>
              </w:rPr>
              <w:t>consent directly with customers</w:t>
            </w:r>
            <w:r w:rsidR="00AA030C">
              <w:rPr>
                <w:sz w:val="22"/>
                <w:szCs w:val="22"/>
              </w:rPr>
              <w:t xml:space="preserve"> via text message or app),</w:t>
            </w:r>
            <w:r w:rsidR="001D233C">
              <w:rPr>
                <w:sz w:val="22"/>
                <w:szCs w:val="22"/>
              </w:rPr>
              <w:t xml:space="preserve"> </w:t>
            </w:r>
            <w:r w:rsidR="00AA030C">
              <w:rPr>
                <w:sz w:val="22"/>
                <w:szCs w:val="22"/>
              </w:rPr>
              <w:t xml:space="preserve">the carriers </w:t>
            </w:r>
            <w:r w:rsidR="007231F9">
              <w:rPr>
                <w:sz w:val="22"/>
                <w:szCs w:val="22"/>
              </w:rPr>
              <w:t xml:space="preserve">apparently </w:t>
            </w:r>
            <w:r w:rsidR="00AA030C">
              <w:rPr>
                <w:sz w:val="22"/>
                <w:szCs w:val="22"/>
              </w:rPr>
              <w:t>failed to take the reasonable steps needed to protect customers from unreasonable risk of unauthorized disclosure</w:t>
            </w:r>
            <w:r w:rsidR="001D233C">
              <w:rPr>
                <w:sz w:val="22"/>
                <w:szCs w:val="22"/>
              </w:rPr>
              <w:t xml:space="preserve">.  The size of the proposed fines for the four wireless carriers differs based on the length of time each carrier </w:t>
            </w:r>
            <w:r w:rsidR="007231F9">
              <w:rPr>
                <w:sz w:val="22"/>
                <w:szCs w:val="22"/>
              </w:rPr>
              <w:t xml:space="preserve">apparently </w:t>
            </w:r>
            <w:r w:rsidR="001D233C">
              <w:rPr>
                <w:sz w:val="22"/>
                <w:szCs w:val="22"/>
              </w:rPr>
              <w:t xml:space="preserve">continued to sell access to its customer location information without reasonable safeguards and the number of entities to which each carrier continued to sell such access.  </w:t>
            </w:r>
          </w:p>
          <w:p w:rsidR="00AB2D09" w:rsidP="002E165B" w14:paraId="0A36E573" w14:textId="4B5080F6">
            <w:pPr>
              <w:rPr>
                <w:sz w:val="22"/>
                <w:szCs w:val="22"/>
              </w:rPr>
            </w:pPr>
          </w:p>
          <w:p w:rsidR="00AB2D09" w:rsidP="002E165B" w14:paraId="0ABDBC7F" w14:textId="279C9A20">
            <w:pPr>
              <w:rPr>
                <w:sz w:val="22"/>
                <w:szCs w:val="22"/>
              </w:rPr>
            </w:pPr>
            <w:r w:rsidRPr="00AB2D09">
              <w:rPr>
                <w:sz w:val="22"/>
                <w:szCs w:val="22"/>
              </w:rPr>
              <w:t>The proposed action</w:t>
            </w:r>
            <w:r w:rsidR="0054725E">
              <w:rPr>
                <w:sz w:val="22"/>
                <w:szCs w:val="22"/>
              </w:rPr>
              <w:t>s</w:t>
            </w:r>
            <w:r w:rsidRPr="00AB2D09">
              <w:rPr>
                <w:sz w:val="22"/>
                <w:szCs w:val="22"/>
              </w:rPr>
              <w:t>, formally called Notice</w:t>
            </w:r>
            <w:r w:rsidR="0054725E">
              <w:rPr>
                <w:sz w:val="22"/>
                <w:szCs w:val="22"/>
              </w:rPr>
              <w:t>s</w:t>
            </w:r>
            <w:r w:rsidRPr="00AB2D09">
              <w:rPr>
                <w:sz w:val="22"/>
                <w:szCs w:val="22"/>
              </w:rPr>
              <w:t xml:space="preserve"> of Apparent Liability for Forfeiture</w:t>
            </w:r>
            <w:r w:rsidR="00750165">
              <w:rPr>
                <w:sz w:val="22"/>
                <w:szCs w:val="22"/>
              </w:rPr>
              <w:t xml:space="preserve"> and Admonishment</w:t>
            </w:r>
            <w:r w:rsidRPr="00AB2D09">
              <w:rPr>
                <w:sz w:val="22"/>
                <w:szCs w:val="22"/>
              </w:rPr>
              <w:t>, or NAL</w:t>
            </w:r>
            <w:r w:rsidR="00C44BF6">
              <w:rPr>
                <w:sz w:val="22"/>
                <w:szCs w:val="22"/>
              </w:rPr>
              <w:t>s</w:t>
            </w:r>
            <w:r w:rsidRPr="00AB2D09">
              <w:rPr>
                <w:sz w:val="22"/>
                <w:szCs w:val="22"/>
              </w:rPr>
              <w:t xml:space="preserve">, contain allegations that advise </w:t>
            </w:r>
            <w:r w:rsidR="0054725E">
              <w:rPr>
                <w:sz w:val="22"/>
                <w:szCs w:val="22"/>
              </w:rPr>
              <w:t>the</w:t>
            </w:r>
            <w:r w:rsidRPr="00AB2D09">
              <w:rPr>
                <w:sz w:val="22"/>
                <w:szCs w:val="22"/>
              </w:rPr>
              <w:t xml:space="preserve"> part</w:t>
            </w:r>
            <w:r w:rsidR="0054725E">
              <w:rPr>
                <w:sz w:val="22"/>
                <w:szCs w:val="22"/>
              </w:rPr>
              <w:t>ies</w:t>
            </w:r>
            <w:r w:rsidRPr="00AB2D09">
              <w:rPr>
                <w:sz w:val="22"/>
                <w:szCs w:val="22"/>
              </w:rPr>
              <w:t xml:space="preserve"> on how </w:t>
            </w:r>
            <w:r w:rsidR="0054725E">
              <w:rPr>
                <w:sz w:val="22"/>
                <w:szCs w:val="22"/>
              </w:rPr>
              <w:t>they</w:t>
            </w:r>
            <w:r w:rsidRPr="00AB2D09">
              <w:rPr>
                <w:sz w:val="22"/>
                <w:szCs w:val="22"/>
              </w:rPr>
              <w:t xml:space="preserve"> ha</w:t>
            </w:r>
            <w:r w:rsidR="0054725E">
              <w:rPr>
                <w:sz w:val="22"/>
                <w:szCs w:val="22"/>
              </w:rPr>
              <w:t>ve</w:t>
            </w:r>
            <w:r w:rsidRPr="00AB2D09">
              <w:rPr>
                <w:sz w:val="22"/>
                <w:szCs w:val="22"/>
              </w:rPr>
              <w:t xml:space="preserve"> apparently violated the law and set forth a proposed monetary penalty.  Neither the allegations nor the proposed sanctions in the NAL</w:t>
            </w:r>
            <w:r w:rsidR="0054725E">
              <w:rPr>
                <w:sz w:val="22"/>
                <w:szCs w:val="22"/>
              </w:rPr>
              <w:t>s</w:t>
            </w:r>
            <w:r w:rsidRPr="00AB2D09">
              <w:rPr>
                <w:sz w:val="22"/>
                <w:szCs w:val="22"/>
              </w:rPr>
              <w:t xml:space="preserve"> are final Commission actions.  The part</w:t>
            </w:r>
            <w:r w:rsidR="0054725E">
              <w:rPr>
                <w:sz w:val="22"/>
                <w:szCs w:val="22"/>
              </w:rPr>
              <w:t>ies</w:t>
            </w:r>
            <w:r w:rsidRPr="00AB2D09">
              <w:rPr>
                <w:sz w:val="22"/>
                <w:szCs w:val="22"/>
              </w:rPr>
              <w:t xml:space="preserve"> will be given an opportunity to respond and the Commission will consider the part</w:t>
            </w:r>
            <w:r w:rsidR="0054725E">
              <w:rPr>
                <w:sz w:val="22"/>
                <w:szCs w:val="22"/>
              </w:rPr>
              <w:t>ies</w:t>
            </w:r>
            <w:r w:rsidRPr="00AB2D09">
              <w:rPr>
                <w:sz w:val="22"/>
                <w:szCs w:val="22"/>
              </w:rPr>
              <w:t xml:space="preserve">’ evidence and legal arguments before </w:t>
            </w:r>
            <w:r w:rsidR="00DE4FE4">
              <w:rPr>
                <w:sz w:val="22"/>
                <w:szCs w:val="22"/>
              </w:rPr>
              <w:t xml:space="preserve">taking further </w:t>
            </w:r>
            <w:r w:rsidRPr="00AB2D09">
              <w:rPr>
                <w:sz w:val="22"/>
                <w:szCs w:val="22"/>
              </w:rPr>
              <w:t>acti</w:t>
            </w:r>
            <w:r w:rsidR="00DE4FE4">
              <w:rPr>
                <w:sz w:val="22"/>
                <w:szCs w:val="22"/>
              </w:rPr>
              <w:t>on</w:t>
            </w:r>
            <w:r w:rsidRPr="00AB2D09">
              <w:rPr>
                <w:sz w:val="22"/>
                <w:szCs w:val="22"/>
              </w:rPr>
              <w:t xml:space="preserve"> to resolve the</w:t>
            </w:r>
            <w:r w:rsidR="0054725E">
              <w:rPr>
                <w:sz w:val="22"/>
                <w:szCs w:val="22"/>
              </w:rPr>
              <w:t>se</w:t>
            </w:r>
            <w:r w:rsidRPr="00AB2D09">
              <w:rPr>
                <w:sz w:val="22"/>
                <w:szCs w:val="22"/>
              </w:rPr>
              <w:t xml:space="preserve"> matter</w:t>
            </w:r>
            <w:r w:rsidR="0054725E">
              <w:rPr>
                <w:sz w:val="22"/>
                <w:szCs w:val="22"/>
              </w:rPr>
              <w:t>s</w:t>
            </w:r>
            <w:r w:rsidRPr="00AB2D09">
              <w:rPr>
                <w:sz w:val="22"/>
                <w:szCs w:val="22"/>
              </w:rPr>
              <w:t>.</w:t>
            </w:r>
            <w:r w:rsidR="008E6A4A">
              <w:rPr>
                <w:sz w:val="22"/>
                <w:szCs w:val="22"/>
              </w:rPr>
              <w:t xml:space="preserve">  </w:t>
            </w:r>
            <w:r w:rsidRPr="00AB2D09" w:rsidR="008E6A4A">
              <w:rPr>
                <w:sz w:val="22"/>
                <w:szCs w:val="22"/>
              </w:rPr>
              <w:t xml:space="preserve">The Commission may not impose a greater monetary penalty in </w:t>
            </w:r>
            <w:r w:rsidR="008E6A4A">
              <w:rPr>
                <w:sz w:val="22"/>
                <w:szCs w:val="22"/>
              </w:rPr>
              <w:t xml:space="preserve">its final </w:t>
            </w:r>
            <w:r w:rsidR="00C44BF6">
              <w:rPr>
                <w:sz w:val="22"/>
                <w:szCs w:val="22"/>
              </w:rPr>
              <w:t xml:space="preserve">resolution of </w:t>
            </w:r>
            <w:r w:rsidR="008E6A4A">
              <w:rPr>
                <w:sz w:val="22"/>
                <w:szCs w:val="22"/>
              </w:rPr>
              <w:t xml:space="preserve">whether the parties have violated the law </w:t>
            </w:r>
            <w:r w:rsidRPr="00AB2D09" w:rsidR="008E6A4A">
              <w:rPr>
                <w:sz w:val="22"/>
                <w:szCs w:val="22"/>
              </w:rPr>
              <w:t xml:space="preserve">than the amount proposed in the NAL.  </w:t>
            </w:r>
          </w:p>
          <w:p w:rsidR="00BD19E8" w:rsidRPr="002E165B" w:rsidP="002E165B" w14:paraId="5273F65C" w14:textId="77777777">
            <w:pPr>
              <w:rPr>
                <w:sz w:val="22"/>
                <w:szCs w:val="22"/>
              </w:rPr>
            </w:pPr>
          </w:p>
          <w:p w:rsidR="004F0F1F" w:rsidRPr="007475A1" w:rsidP="00850E26" w14:paraId="45BF15A4" w14:textId="77777777">
            <w:pPr>
              <w:ind w:right="72"/>
              <w:jc w:val="center"/>
              <w:rPr>
                <w:sz w:val="22"/>
                <w:szCs w:val="22"/>
              </w:rPr>
            </w:pPr>
            <w:r w:rsidRPr="007475A1">
              <w:rPr>
                <w:sz w:val="22"/>
                <w:szCs w:val="22"/>
              </w:rPr>
              <w:t>###</w:t>
            </w:r>
          </w:p>
          <w:p w:rsidR="00CC5E08" w:rsidRPr="0080486B" w:rsidP="00850E26" w14:paraId="4EAE15D6"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78883BE" w14:textId="77777777">
            <w:pPr>
              <w:ind w:right="72"/>
              <w:jc w:val="center"/>
              <w:rPr>
                <w:b/>
                <w:bCs/>
                <w:sz w:val="18"/>
                <w:szCs w:val="18"/>
              </w:rPr>
            </w:pPr>
          </w:p>
          <w:p w:rsidR="00EE0E90" w:rsidRPr="00EF729B" w:rsidP="00850E26" w14:paraId="1B32D110"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F4E6A95" w14:textId="77777777">
      <w:pPr>
        <w:rPr>
          <w:b/>
          <w:bCs/>
          <w:sz w:val="2"/>
          <w:szCs w:val="2"/>
        </w:rPr>
      </w:pPr>
    </w:p>
    <w:sectPr w:rsidSect="000F42A3">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733C25"/>
    <w:multiLevelType w:val="hybridMultilevel"/>
    <w:tmpl w:val="537629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525C6"/>
    <w:rsid w:val="00054D5B"/>
    <w:rsid w:val="00060262"/>
    <w:rsid w:val="00065E2D"/>
    <w:rsid w:val="00081232"/>
    <w:rsid w:val="00091E65"/>
    <w:rsid w:val="00096D4A"/>
    <w:rsid w:val="000A38EA"/>
    <w:rsid w:val="000C1E47"/>
    <w:rsid w:val="000C26F3"/>
    <w:rsid w:val="000E049E"/>
    <w:rsid w:val="000F42A3"/>
    <w:rsid w:val="00103CD3"/>
    <w:rsid w:val="0010799B"/>
    <w:rsid w:val="00117DB2"/>
    <w:rsid w:val="00123ED2"/>
    <w:rsid w:val="00125BE0"/>
    <w:rsid w:val="00142C13"/>
    <w:rsid w:val="00143AD5"/>
    <w:rsid w:val="00152776"/>
    <w:rsid w:val="00153222"/>
    <w:rsid w:val="001577D3"/>
    <w:rsid w:val="001733A6"/>
    <w:rsid w:val="001865A9"/>
    <w:rsid w:val="00187DB2"/>
    <w:rsid w:val="001926B8"/>
    <w:rsid w:val="001A4C0A"/>
    <w:rsid w:val="001B20BB"/>
    <w:rsid w:val="001B2F9C"/>
    <w:rsid w:val="001C4370"/>
    <w:rsid w:val="001D233C"/>
    <w:rsid w:val="001D3779"/>
    <w:rsid w:val="001E64B6"/>
    <w:rsid w:val="001F0469"/>
    <w:rsid w:val="00203A98"/>
    <w:rsid w:val="00206EDD"/>
    <w:rsid w:val="0021247E"/>
    <w:rsid w:val="002146F6"/>
    <w:rsid w:val="00231C32"/>
    <w:rsid w:val="00240345"/>
    <w:rsid w:val="002421F0"/>
    <w:rsid w:val="00247274"/>
    <w:rsid w:val="00253A3A"/>
    <w:rsid w:val="002666A4"/>
    <w:rsid w:val="00266966"/>
    <w:rsid w:val="00285C36"/>
    <w:rsid w:val="00294264"/>
    <w:rsid w:val="00294C0C"/>
    <w:rsid w:val="002A0934"/>
    <w:rsid w:val="002B1013"/>
    <w:rsid w:val="002D03E5"/>
    <w:rsid w:val="002D0D95"/>
    <w:rsid w:val="002E165B"/>
    <w:rsid w:val="002E3F1D"/>
    <w:rsid w:val="002F31D0"/>
    <w:rsid w:val="00300359"/>
    <w:rsid w:val="0031773E"/>
    <w:rsid w:val="00333871"/>
    <w:rsid w:val="00347716"/>
    <w:rsid w:val="003506E1"/>
    <w:rsid w:val="003727E3"/>
    <w:rsid w:val="00385A93"/>
    <w:rsid w:val="003910F1"/>
    <w:rsid w:val="003A78F6"/>
    <w:rsid w:val="003E3900"/>
    <w:rsid w:val="003E42FC"/>
    <w:rsid w:val="003E5991"/>
    <w:rsid w:val="003F344A"/>
    <w:rsid w:val="00403FF0"/>
    <w:rsid w:val="0042046D"/>
    <w:rsid w:val="0042116E"/>
    <w:rsid w:val="00425AEF"/>
    <w:rsid w:val="00426518"/>
    <w:rsid w:val="00427B06"/>
    <w:rsid w:val="00431A86"/>
    <w:rsid w:val="00441F59"/>
    <w:rsid w:val="00444E07"/>
    <w:rsid w:val="00444FA9"/>
    <w:rsid w:val="0045404A"/>
    <w:rsid w:val="00473E9C"/>
    <w:rsid w:val="0047468D"/>
    <w:rsid w:val="00480099"/>
    <w:rsid w:val="00485174"/>
    <w:rsid w:val="004941A2"/>
    <w:rsid w:val="00497858"/>
    <w:rsid w:val="004A729A"/>
    <w:rsid w:val="004B4FEA"/>
    <w:rsid w:val="004C0ADA"/>
    <w:rsid w:val="004C433E"/>
    <w:rsid w:val="004C4512"/>
    <w:rsid w:val="004C4F36"/>
    <w:rsid w:val="004D20E5"/>
    <w:rsid w:val="004D3D85"/>
    <w:rsid w:val="004E2BD8"/>
    <w:rsid w:val="004F0F1F"/>
    <w:rsid w:val="005022AA"/>
    <w:rsid w:val="00504845"/>
    <w:rsid w:val="0050757F"/>
    <w:rsid w:val="00516AD2"/>
    <w:rsid w:val="005265D1"/>
    <w:rsid w:val="00545DAE"/>
    <w:rsid w:val="0054725E"/>
    <w:rsid w:val="00571B83"/>
    <w:rsid w:val="00575A00"/>
    <w:rsid w:val="00586417"/>
    <w:rsid w:val="0058673C"/>
    <w:rsid w:val="00595036"/>
    <w:rsid w:val="005A7972"/>
    <w:rsid w:val="005B17E7"/>
    <w:rsid w:val="005B2643"/>
    <w:rsid w:val="005D17FD"/>
    <w:rsid w:val="005E3B7C"/>
    <w:rsid w:val="005E4EA5"/>
    <w:rsid w:val="005F0D55"/>
    <w:rsid w:val="005F183E"/>
    <w:rsid w:val="00600DDA"/>
    <w:rsid w:val="00603A30"/>
    <w:rsid w:val="00604211"/>
    <w:rsid w:val="00613498"/>
    <w:rsid w:val="00617B94"/>
    <w:rsid w:val="00620BED"/>
    <w:rsid w:val="006415B4"/>
    <w:rsid w:val="00644E3D"/>
    <w:rsid w:val="0065082C"/>
    <w:rsid w:val="00651B9E"/>
    <w:rsid w:val="00652019"/>
    <w:rsid w:val="00656E6B"/>
    <w:rsid w:val="00657EC9"/>
    <w:rsid w:val="006609AF"/>
    <w:rsid w:val="006647DF"/>
    <w:rsid w:val="00665633"/>
    <w:rsid w:val="00674C86"/>
    <w:rsid w:val="0068015E"/>
    <w:rsid w:val="006861AB"/>
    <w:rsid w:val="00686B89"/>
    <w:rsid w:val="0069420F"/>
    <w:rsid w:val="006A2FC5"/>
    <w:rsid w:val="006A7D75"/>
    <w:rsid w:val="006B0A70"/>
    <w:rsid w:val="006B606A"/>
    <w:rsid w:val="006C33AF"/>
    <w:rsid w:val="006C5722"/>
    <w:rsid w:val="006D16EF"/>
    <w:rsid w:val="006D5D22"/>
    <w:rsid w:val="006E0324"/>
    <w:rsid w:val="006E4A76"/>
    <w:rsid w:val="006E61EA"/>
    <w:rsid w:val="006F1DBD"/>
    <w:rsid w:val="00700556"/>
    <w:rsid w:val="0070589A"/>
    <w:rsid w:val="007167DD"/>
    <w:rsid w:val="007231F9"/>
    <w:rsid w:val="0072478B"/>
    <w:rsid w:val="0073414D"/>
    <w:rsid w:val="007475A1"/>
    <w:rsid w:val="00750165"/>
    <w:rsid w:val="0075235E"/>
    <w:rsid w:val="007528A5"/>
    <w:rsid w:val="00756FC3"/>
    <w:rsid w:val="007732CC"/>
    <w:rsid w:val="00774079"/>
    <w:rsid w:val="0077752B"/>
    <w:rsid w:val="00793D6F"/>
    <w:rsid w:val="00794090"/>
    <w:rsid w:val="007A44F8"/>
    <w:rsid w:val="007C04AF"/>
    <w:rsid w:val="007D21BF"/>
    <w:rsid w:val="007E7F38"/>
    <w:rsid w:val="007F3C12"/>
    <w:rsid w:val="007F5205"/>
    <w:rsid w:val="007F54D9"/>
    <w:rsid w:val="0080486B"/>
    <w:rsid w:val="008215E7"/>
    <w:rsid w:val="00830FC6"/>
    <w:rsid w:val="00850E26"/>
    <w:rsid w:val="00865EAA"/>
    <w:rsid w:val="00866F06"/>
    <w:rsid w:val="008728F5"/>
    <w:rsid w:val="008824C2"/>
    <w:rsid w:val="00887E17"/>
    <w:rsid w:val="008960E4"/>
    <w:rsid w:val="008A3940"/>
    <w:rsid w:val="008B00A9"/>
    <w:rsid w:val="008B13C9"/>
    <w:rsid w:val="008B30C8"/>
    <w:rsid w:val="008B6A09"/>
    <w:rsid w:val="008B6FAC"/>
    <w:rsid w:val="008B775F"/>
    <w:rsid w:val="008C248C"/>
    <w:rsid w:val="008C5432"/>
    <w:rsid w:val="008C7BF1"/>
    <w:rsid w:val="008D00D6"/>
    <w:rsid w:val="008D4D00"/>
    <w:rsid w:val="008D4E5E"/>
    <w:rsid w:val="008D7ABD"/>
    <w:rsid w:val="008E55A2"/>
    <w:rsid w:val="008E6A4A"/>
    <w:rsid w:val="008F1609"/>
    <w:rsid w:val="008F78D8"/>
    <w:rsid w:val="0093373C"/>
    <w:rsid w:val="00961620"/>
    <w:rsid w:val="009734B6"/>
    <w:rsid w:val="0098096F"/>
    <w:rsid w:val="0098437A"/>
    <w:rsid w:val="00986C92"/>
    <w:rsid w:val="00993C47"/>
    <w:rsid w:val="009972BC"/>
    <w:rsid w:val="009A0EE5"/>
    <w:rsid w:val="009A5DB6"/>
    <w:rsid w:val="009B4B16"/>
    <w:rsid w:val="009D0B65"/>
    <w:rsid w:val="009E4330"/>
    <w:rsid w:val="009E54A1"/>
    <w:rsid w:val="009F4E25"/>
    <w:rsid w:val="009F5B1F"/>
    <w:rsid w:val="00A0312A"/>
    <w:rsid w:val="00A20540"/>
    <w:rsid w:val="00A225A9"/>
    <w:rsid w:val="00A3308E"/>
    <w:rsid w:val="00A35DFD"/>
    <w:rsid w:val="00A702DF"/>
    <w:rsid w:val="00A775A3"/>
    <w:rsid w:val="00A81700"/>
    <w:rsid w:val="00A81B5B"/>
    <w:rsid w:val="00A82FAD"/>
    <w:rsid w:val="00A9673A"/>
    <w:rsid w:val="00A96EF2"/>
    <w:rsid w:val="00AA030C"/>
    <w:rsid w:val="00AA5C35"/>
    <w:rsid w:val="00AA5ED9"/>
    <w:rsid w:val="00AB2D09"/>
    <w:rsid w:val="00AC0A38"/>
    <w:rsid w:val="00AC4E0E"/>
    <w:rsid w:val="00AC517B"/>
    <w:rsid w:val="00AD0D19"/>
    <w:rsid w:val="00AD4184"/>
    <w:rsid w:val="00AF051B"/>
    <w:rsid w:val="00AF7C1A"/>
    <w:rsid w:val="00B037A2"/>
    <w:rsid w:val="00B22A18"/>
    <w:rsid w:val="00B26A84"/>
    <w:rsid w:val="00B31870"/>
    <w:rsid w:val="00B320B8"/>
    <w:rsid w:val="00B35EE2"/>
    <w:rsid w:val="00B36DEF"/>
    <w:rsid w:val="00B536E6"/>
    <w:rsid w:val="00B57131"/>
    <w:rsid w:val="00B62F2C"/>
    <w:rsid w:val="00B727C9"/>
    <w:rsid w:val="00B735C8"/>
    <w:rsid w:val="00B768F4"/>
    <w:rsid w:val="00B76A63"/>
    <w:rsid w:val="00B87470"/>
    <w:rsid w:val="00BA6350"/>
    <w:rsid w:val="00BB46C3"/>
    <w:rsid w:val="00BB4E29"/>
    <w:rsid w:val="00BB74C9"/>
    <w:rsid w:val="00BC3AB6"/>
    <w:rsid w:val="00BC7726"/>
    <w:rsid w:val="00BD19E8"/>
    <w:rsid w:val="00BD4273"/>
    <w:rsid w:val="00BF499C"/>
    <w:rsid w:val="00C31ED8"/>
    <w:rsid w:val="00C432E4"/>
    <w:rsid w:val="00C44BF6"/>
    <w:rsid w:val="00C70C26"/>
    <w:rsid w:val="00C72001"/>
    <w:rsid w:val="00C772B7"/>
    <w:rsid w:val="00C80347"/>
    <w:rsid w:val="00C9036C"/>
    <w:rsid w:val="00CB24D2"/>
    <w:rsid w:val="00CB7C1A"/>
    <w:rsid w:val="00CC5E08"/>
    <w:rsid w:val="00CE14FD"/>
    <w:rsid w:val="00CF6860"/>
    <w:rsid w:val="00D02AC6"/>
    <w:rsid w:val="00D03F0C"/>
    <w:rsid w:val="00D04312"/>
    <w:rsid w:val="00D149C9"/>
    <w:rsid w:val="00D16A7F"/>
    <w:rsid w:val="00D16AD2"/>
    <w:rsid w:val="00D22596"/>
    <w:rsid w:val="00D22691"/>
    <w:rsid w:val="00D24C3D"/>
    <w:rsid w:val="00D44FEF"/>
    <w:rsid w:val="00D46CB1"/>
    <w:rsid w:val="00D723F0"/>
    <w:rsid w:val="00D8133F"/>
    <w:rsid w:val="00D861EE"/>
    <w:rsid w:val="00D95B05"/>
    <w:rsid w:val="00D97E2D"/>
    <w:rsid w:val="00DA0BCE"/>
    <w:rsid w:val="00DA103D"/>
    <w:rsid w:val="00DA45D3"/>
    <w:rsid w:val="00DA4772"/>
    <w:rsid w:val="00DA7B44"/>
    <w:rsid w:val="00DB2667"/>
    <w:rsid w:val="00DB67B7"/>
    <w:rsid w:val="00DB6FE1"/>
    <w:rsid w:val="00DC15A9"/>
    <w:rsid w:val="00DC1755"/>
    <w:rsid w:val="00DC37A2"/>
    <w:rsid w:val="00DC40AA"/>
    <w:rsid w:val="00DD1750"/>
    <w:rsid w:val="00DE4FE4"/>
    <w:rsid w:val="00DF366E"/>
    <w:rsid w:val="00E24D54"/>
    <w:rsid w:val="00E349AA"/>
    <w:rsid w:val="00E41390"/>
    <w:rsid w:val="00E41CA0"/>
    <w:rsid w:val="00E4366B"/>
    <w:rsid w:val="00E50A4A"/>
    <w:rsid w:val="00E606DE"/>
    <w:rsid w:val="00E644FE"/>
    <w:rsid w:val="00E71D34"/>
    <w:rsid w:val="00E72733"/>
    <w:rsid w:val="00E742FA"/>
    <w:rsid w:val="00E76816"/>
    <w:rsid w:val="00E83DBF"/>
    <w:rsid w:val="00E87C13"/>
    <w:rsid w:val="00E94CD9"/>
    <w:rsid w:val="00EA1A76"/>
    <w:rsid w:val="00EA290B"/>
    <w:rsid w:val="00EE0E90"/>
    <w:rsid w:val="00EF3BCA"/>
    <w:rsid w:val="00EF729B"/>
    <w:rsid w:val="00F01B0D"/>
    <w:rsid w:val="00F1238F"/>
    <w:rsid w:val="00F13349"/>
    <w:rsid w:val="00F16485"/>
    <w:rsid w:val="00F21A53"/>
    <w:rsid w:val="00F228ED"/>
    <w:rsid w:val="00F24FA3"/>
    <w:rsid w:val="00F26E31"/>
    <w:rsid w:val="00F27C6C"/>
    <w:rsid w:val="00F34A8D"/>
    <w:rsid w:val="00F50D25"/>
    <w:rsid w:val="00F535D8"/>
    <w:rsid w:val="00F61155"/>
    <w:rsid w:val="00F708E3"/>
    <w:rsid w:val="00F76561"/>
    <w:rsid w:val="00F82171"/>
    <w:rsid w:val="00F84736"/>
    <w:rsid w:val="00F93CB1"/>
    <w:rsid w:val="00FA2EDA"/>
    <w:rsid w:val="00FB22B1"/>
    <w:rsid w:val="00FC6C29"/>
    <w:rsid w:val="00FD58E0"/>
    <w:rsid w:val="00FD71AE"/>
    <w:rsid w:val="00FE0198"/>
    <w:rsid w:val="00FE3A7C"/>
    <w:rsid w:val="00FE623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6F506A5-5D98-4E4B-930A-1B25A15E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F82171"/>
    <w:pPr>
      <w:ind w:left="720"/>
      <w:contextualSpacing/>
    </w:pPr>
  </w:style>
  <w:style w:type="character" w:styleId="CommentReference">
    <w:name w:val="annotation reference"/>
    <w:basedOn w:val="DefaultParagraphFont"/>
    <w:semiHidden/>
    <w:unhideWhenUsed/>
    <w:rsid w:val="00DF366E"/>
    <w:rPr>
      <w:sz w:val="16"/>
      <w:szCs w:val="16"/>
    </w:rPr>
  </w:style>
  <w:style w:type="paragraph" w:styleId="CommentText">
    <w:name w:val="annotation text"/>
    <w:basedOn w:val="Normal"/>
    <w:link w:val="CommentTextChar"/>
    <w:semiHidden/>
    <w:unhideWhenUsed/>
    <w:rsid w:val="00DF366E"/>
    <w:rPr>
      <w:sz w:val="20"/>
      <w:szCs w:val="20"/>
    </w:rPr>
  </w:style>
  <w:style w:type="character" w:customStyle="1" w:styleId="CommentTextChar">
    <w:name w:val="Comment Text Char"/>
    <w:basedOn w:val="DefaultParagraphFont"/>
    <w:link w:val="CommentText"/>
    <w:semiHidden/>
    <w:rsid w:val="00DF366E"/>
  </w:style>
  <w:style w:type="paragraph" w:styleId="CommentSubject">
    <w:name w:val="annotation subject"/>
    <w:basedOn w:val="CommentText"/>
    <w:next w:val="CommentText"/>
    <w:link w:val="CommentSubjectChar"/>
    <w:semiHidden/>
    <w:unhideWhenUsed/>
    <w:rsid w:val="00DF366E"/>
    <w:rPr>
      <w:b/>
      <w:bCs/>
    </w:rPr>
  </w:style>
  <w:style w:type="character" w:customStyle="1" w:styleId="CommentSubjectChar">
    <w:name w:val="Comment Subject Char"/>
    <w:basedOn w:val="CommentTextChar"/>
    <w:link w:val="CommentSubject"/>
    <w:semiHidden/>
    <w:rsid w:val="00DF3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