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28B" w14:paraId="53D9D947" w14:textId="77777777">
      <w:pPr>
        <w:jc w:val="center"/>
        <w:rPr>
          <w:b/>
        </w:rPr>
      </w:pPr>
      <w:bookmarkStart w:id="0" w:name="_GoBack"/>
      <w:bookmarkEnd w:id="0"/>
      <w:r>
        <w:rPr>
          <w:b/>
        </w:rPr>
        <w:t>Before the</w:t>
      </w:r>
    </w:p>
    <w:p w:rsidR="0060228B" w14:paraId="67714D4F" w14:textId="77777777">
      <w:pPr>
        <w:jc w:val="center"/>
        <w:rPr>
          <w:b/>
        </w:rPr>
      </w:pPr>
      <w:r>
        <w:rPr>
          <w:b/>
        </w:rPr>
        <w:t>Federal Communications Commission</w:t>
      </w:r>
    </w:p>
    <w:p w:rsidR="0060228B" w14:paraId="00AFCBB6"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7326A9D4" w14:textId="77777777"/>
    <w:p w:rsidR="0060228B" w14:paraId="2D4E2A5F" w14:textId="77777777"/>
    <w:tbl>
      <w:tblPr>
        <w:tblW w:w="0" w:type="auto"/>
        <w:tblLayout w:type="fixed"/>
        <w:tblLook w:val="0000"/>
      </w:tblPr>
      <w:tblGrid>
        <w:gridCol w:w="4698"/>
        <w:gridCol w:w="720"/>
        <w:gridCol w:w="4230"/>
      </w:tblGrid>
      <w:tr w14:paraId="08E08DAC" w14:textId="77777777">
        <w:tblPrEx>
          <w:tblW w:w="0" w:type="auto"/>
          <w:tblLayout w:type="fixed"/>
          <w:tblLook w:val="0000"/>
        </w:tblPrEx>
        <w:tc>
          <w:tcPr>
            <w:tcW w:w="4698" w:type="dxa"/>
          </w:tcPr>
          <w:p w:rsidR="0060228B" w14:paraId="2ABC435F" w14:textId="77777777">
            <w:pPr>
              <w:ind w:right="-18"/>
            </w:pPr>
            <w:r>
              <w:t xml:space="preserve">In the </w:t>
            </w:r>
            <w:r w:rsidR="002A29D2">
              <w:t>M</w:t>
            </w:r>
            <w:r>
              <w:t>atter of</w:t>
            </w:r>
          </w:p>
          <w:p w:rsidR="0060228B" w14:paraId="13716A95" w14:textId="77777777">
            <w:pPr>
              <w:ind w:right="-18"/>
            </w:pPr>
          </w:p>
          <w:p w:rsidR="0060228B" w14:paraId="01128C28" w14:textId="77777777">
            <w:pPr>
              <w:ind w:right="-18"/>
            </w:pPr>
            <w:r>
              <w:t>Expanding Flexible Use of the 3.7 to 4.2 GHz Band</w:t>
            </w:r>
          </w:p>
        </w:tc>
        <w:tc>
          <w:tcPr>
            <w:tcW w:w="720" w:type="dxa"/>
          </w:tcPr>
          <w:p w:rsidR="0060228B" w14:paraId="3F978C95" w14:textId="77777777">
            <w:pPr>
              <w:rPr>
                <w:b/>
              </w:rPr>
            </w:pPr>
            <w:r>
              <w:rPr>
                <w:b/>
              </w:rPr>
              <w:t>)</w:t>
            </w:r>
          </w:p>
          <w:p w:rsidR="0060228B" w14:paraId="33F916DC" w14:textId="77777777">
            <w:pPr>
              <w:rPr>
                <w:b/>
              </w:rPr>
            </w:pPr>
            <w:r>
              <w:rPr>
                <w:b/>
              </w:rPr>
              <w:t>)</w:t>
            </w:r>
          </w:p>
          <w:p w:rsidR="0060228B" w14:paraId="75EEB5FC" w14:textId="77777777">
            <w:pPr>
              <w:rPr>
                <w:b/>
              </w:rPr>
            </w:pPr>
            <w:r>
              <w:rPr>
                <w:b/>
              </w:rPr>
              <w:t>)</w:t>
            </w:r>
          </w:p>
          <w:p w:rsidR="0060228B" w14:paraId="61C86A00" w14:textId="77777777">
            <w:pPr>
              <w:rPr>
                <w:b/>
              </w:rPr>
            </w:pPr>
            <w:r>
              <w:rPr>
                <w:b/>
              </w:rPr>
              <w:t>)</w:t>
            </w:r>
          </w:p>
          <w:p w:rsidR="0060228B" w:rsidP="00653213" w14:paraId="609759BD" w14:textId="77777777">
            <w:pPr>
              <w:rPr>
                <w:b/>
              </w:rPr>
            </w:pPr>
          </w:p>
        </w:tc>
        <w:tc>
          <w:tcPr>
            <w:tcW w:w="4230" w:type="dxa"/>
          </w:tcPr>
          <w:p w:rsidR="0060228B" w14:paraId="295A9C66" w14:textId="77777777"/>
          <w:p w:rsidR="0060228B" w14:paraId="142ECEBF" w14:textId="77777777"/>
          <w:p w:rsidR="0060228B" w:rsidRPr="00BE7A36" w14:paraId="62BE391F" w14:textId="77777777">
            <w:pPr>
              <w:rPr>
                <w:bCs/>
              </w:rPr>
            </w:pPr>
            <w:r w:rsidRPr="00024815">
              <w:rPr>
                <w:bCs/>
              </w:rPr>
              <w:t>GN Docket No. 18-122</w:t>
            </w:r>
          </w:p>
          <w:p w:rsidR="0060228B" w:rsidRPr="00EB1A95" w:rsidP="00F25801" w14:paraId="36A23BE5" w14:textId="77777777">
            <w:pPr>
              <w:rPr>
                <w:b/>
              </w:rPr>
            </w:pPr>
          </w:p>
        </w:tc>
      </w:tr>
    </w:tbl>
    <w:p w:rsidR="0060228B" w:rsidP="002A4E36" w14:paraId="29A7ABEB" w14:textId="77777777">
      <w:pPr>
        <w:spacing w:before="120"/>
        <w:jc w:val="center"/>
        <w:rPr>
          <w:b/>
          <w:spacing w:val="-2"/>
        </w:rPr>
      </w:pPr>
      <w:r>
        <w:rPr>
          <w:b/>
          <w:spacing w:val="-2"/>
        </w:rPr>
        <w:t>ERRATUM</w:t>
      </w:r>
      <w:r w:rsidR="00E00E22">
        <w:rPr>
          <w:b/>
          <w:spacing w:val="-2"/>
        </w:rPr>
        <w:t xml:space="preserve"> </w:t>
      </w:r>
    </w:p>
    <w:p w:rsidR="0060228B" w:rsidP="002A29D2" w14:paraId="207B2533" w14:textId="77777777">
      <w:pPr>
        <w:jc w:val="right"/>
        <w:rPr>
          <w:b/>
        </w:rPr>
      </w:pPr>
      <w:r>
        <w:rPr>
          <w:b/>
        </w:rPr>
        <w:t xml:space="preserve">Released:  </w:t>
      </w:r>
      <w:r w:rsidR="00BE7A36">
        <w:rPr>
          <w:b/>
        </w:rPr>
        <w:t>March 27, 2020</w:t>
      </w:r>
    </w:p>
    <w:p w:rsidR="0060228B" w14:paraId="2F4ECC4D" w14:textId="77777777">
      <w:pPr>
        <w:tabs>
          <w:tab w:val="left" w:pos="5760"/>
        </w:tabs>
        <w:rPr>
          <w:b/>
        </w:rPr>
      </w:pPr>
    </w:p>
    <w:p w:rsidR="0060228B" w14:paraId="7D007757" w14:textId="77777777">
      <w:pPr>
        <w:tabs>
          <w:tab w:val="left" w:pos="5760"/>
        </w:tabs>
      </w:pPr>
      <w:r>
        <w:t xml:space="preserve">By the </w:t>
      </w:r>
      <w:r w:rsidR="00B008B1">
        <w:rPr>
          <w:spacing w:val="-2"/>
        </w:rPr>
        <w:t>Wireless Telecommunications Bureau</w:t>
      </w:r>
      <w:r>
        <w:rPr>
          <w:spacing w:val="-2"/>
        </w:rPr>
        <w:t>:</w:t>
      </w:r>
    </w:p>
    <w:p w:rsidR="0060228B" w14:paraId="15EF4EDA" w14:textId="77777777"/>
    <w:p w:rsidR="00926114" w:rsidP="00131E15" w14:paraId="18B0B99E" w14:textId="77777777">
      <w:pPr>
        <w:pStyle w:val="ParaNum"/>
        <w:numPr>
          <w:ilvl w:val="0"/>
          <w:numId w:val="0"/>
        </w:numPr>
        <w:ind w:firstLine="720"/>
      </w:pPr>
      <w:r>
        <w:t xml:space="preserve"> </w:t>
      </w:r>
      <w:r w:rsidR="00B07300">
        <w:t xml:space="preserve">On </w:t>
      </w:r>
      <w:r w:rsidR="00E1019A">
        <w:t xml:space="preserve">March 3, 2020, </w:t>
      </w:r>
      <w:r w:rsidR="00B07300">
        <w:t xml:space="preserve">the </w:t>
      </w:r>
      <w:r w:rsidR="00B008B1">
        <w:t xml:space="preserve">Commission </w:t>
      </w:r>
      <w:r w:rsidR="00B07300">
        <w:t>released a</w:t>
      </w:r>
      <w:r w:rsidRPr="00A6678A" w:rsidR="00B07300">
        <w:t xml:space="preserve"> </w:t>
      </w:r>
      <w:r w:rsidR="00B008B1">
        <w:t>Report</w:t>
      </w:r>
      <w:r w:rsidRPr="00A6678A" w:rsidR="00B07300">
        <w:t xml:space="preserve"> and Order</w:t>
      </w:r>
      <w:r w:rsidR="00E1019A">
        <w:t xml:space="preserve"> and Order of Proposed Modification (</w:t>
      </w:r>
      <w:r w:rsidR="00E1019A">
        <w:rPr>
          <w:i/>
          <w:iCs/>
        </w:rPr>
        <w:t>Report and Order</w:t>
      </w:r>
      <w:r w:rsidR="00E1019A">
        <w:t>)</w:t>
      </w:r>
      <w:r w:rsidRPr="00400DE5" w:rsidR="00B07300">
        <w:rPr>
          <w:iCs/>
        </w:rPr>
        <w:t>,</w:t>
      </w:r>
      <w:r w:rsidR="00B07300">
        <w:rPr>
          <w:i/>
        </w:rPr>
        <w:t xml:space="preserve"> </w:t>
      </w:r>
      <w:r w:rsidR="00B008B1">
        <w:t>FCC 20-22,</w:t>
      </w:r>
      <w:r w:rsidR="00B07300">
        <w:t xml:space="preserve"> in the above captioned proceeding.  This Erratum </w:t>
      </w:r>
      <w:r w:rsidR="00E1019A">
        <w:t xml:space="preserve">amends the </w:t>
      </w:r>
      <w:r w:rsidR="00E1019A">
        <w:rPr>
          <w:i/>
          <w:iCs/>
        </w:rPr>
        <w:t>Report and Order</w:t>
      </w:r>
      <w:r w:rsidR="00E1019A">
        <w:t xml:space="preserve"> </w:t>
      </w:r>
      <w:r>
        <w:t>as indicated below:</w:t>
      </w:r>
    </w:p>
    <w:p w:rsidR="00BC4603" w:rsidP="0081312E" w14:paraId="4ECDB39F" w14:textId="77777777">
      <w:pPr>
        <w:pStyle w:val="ParaNum"/>
        <w:numPr>
          <w:ilvl w:val="0"/>
          <w:numId w:val="28"/>
        </w:numPr>
        <w:ind w:left="0" w:firstLine="360"/>
      </w:pPr>
      <w:r>
        <w:t>In footnote 601, the second sentence is corrected to read as follows:</w:t>
      </w:r>
    </w:p>
    <w:p w:rsidR="00BC4603" w14:paraId="4470B0B4" w14:textId="77777777">
      <w:pPr>
        <w:pStyle w:val="ParaNum"/>
        <w:numPr>
          <w:ilvl w:val="0"/>
          <w:numId w:val="0"/>
        </w:numPr>
        <w:ind w:left="720"/>
      </w:pPr>
      <w:r>
        <w:t>“</w:t>
      </w:r>
      <w:r w:rsidRPr="00495B2A">
        <w:t xml:space="preserve">Star One, which says on its own website that the EIRP threshold of 37 </w:t>
      </w:r>
      <w:r w:rsidRPr="00495B2A">
        <w:t>dBW</w:t>
      </w:r>
      <w:r w:rsidRPr="00495B2A">
        <w:t xml:space="preserve"> constitutes typical service, only covers roughly the state of Florida at this power level.</w:t>
      </w:r>
      <w:r>
        <w:t>”</w:t>
      </w:r>
    </w:p>
    <w:p w:rsidR="00FD3F20" w:rsidP="00024815" w14:paraId="3237D058" w14:textId="77777777">
      <w:pPr>
        <w:pStyle w:val="ParaNum"/>
        <w:numPr>
          <w:ilvl w:val="0"/>
          <w:numId w:val="28"/>
        </w:numPr>
        <w:ind w:left="0" w:firstLine="360"/>
      </w:pPr>
      <w:r>
        <w:t xml:space="preserve">In paragraph 348, </w:t>
      </w:r>
      <w:r w:rsidR="00091F7F">
        <w:t xml:space="preserve">in the sixth sentence, </w:t>
      </w:r>
      <w:r w:rsidR="0081312E">
        <w:t xml:space="preserve">replace </w:t>
      </w:r>
      <w:r>
        <w:t xml:space="preserve">the </w:t>
      </w:r>
      <w:r w:rsidR="0081312E">
        <w:t>word</w:t>
      </w:r>
      <w:r>
        <w:t xml:space="preserve"> “</w:t>
      </w:r>
      <w:r w:rsidRPr="00926114">
        <w:t>propose</w:t>
      </w:r>
      <w:r w:rsidR="0081312E">
        <w:t xml:space="preserve">” with </w:t>
      </w:r>
      <w:r>
        <w:t>“adopt</w:t>
      </w:r>
      <w:r w:rsidR="0081312E">
        <w:t>” and</w:t>
      </w:r>
      <w:r>
        <w:t xml:space="preserve"> </w:t>
      </w:r>
      <w:r w:rsidR="00091F7F">
        <w:t xml:space="preserve">in </w:t>
      </w:r>
      <w:r w:rsidR="0081312E">
        <w:t xml:space="preserve">the </w:t>
      </w:r>
      <w:r w:rsidR="00091F7F">
        <w:t xml:space="preserve">ninth and tenth sentence, replace the </w:t>
      </w:r>
      <w:r w:rsidR="0081312E">
        <w:t xml:space="preserve">word </w:t>
      </w:r>
      <w:r>
        <w:t>“</w:t>
      </w:r>
      <w:r w:rsidRPr="00FD3F20">
        <w:t>proposed</w:t>
      </w:r>
      <w:r w:rsidR="0081312E">
        <w:t>”</w:t>
      </w:r>
      <w:r w:rsidRPr="00FD3F20">
        <w:t xml:space="preserve"> </w:t>
      </w:r>
      <w:r w:rsidR="0081312E">
        <w:t xml:space="preserve">with </w:t>
      </w:r>
      <w:r>
        <w:t>“adopted</w:t>
      </w:r>
      <w:r w:rsidR="0081312E">
        <w:t>”</w:t>
      </w:r>
      <w:r>
        <w:t>.</w:t>
      </w:r>
      <w:r w:rsidRPr="00FD3F20">
        <w:t xml:space="preserve"> </w:t>
      </w:r>
    </w:p>
    <w:p w:rsidR="005A7048" w:rsidRPr="00224270" w:rsidP="00E35612" w14:paraId="2240897A" w14:textId="77777777">
      <w:pPr>
        <w:pStyle w:val="ParaNum"/>
        <w:numPr>
          <w:ilvl w:val="0"/>
          <w:numId w:val="28"/>
        </w:numPr>
        <w:ind w:left="0" w:firstLine="360"/>
      </w:pPr>
      <w:r w:rsidRPr="0041739B">
        <w:t>In paragraph 388</w:t>
      </w:r>
      <w:r w:rsidRPr="0041739B" w:rsidR="00396BCF">
        <w:t>, the second sentence is corrected to read as follows</w:t>
      </w:r>
      <w:r w:rsidRPr="00224270" w:rsidR="00396BCF">
        <w:t>:</w:t>
      </w:r>
    </w:p>
    <w:p w:rsidR="00396BCF" w14:paraId="20E6C811" w14:textId="77777777">
      <w:pPr>
        <w:pStyle w:val="ParaNum"/>
        <w:numPr>
          <w:ilvl w:val="0"/>
          <w:numId w:val="0"/>
        </w:numPr>
        <w:ind w:left="720"/>
      </w:pPr>
      <w:r>
        <w:t>“</w:t>
      </w:r>
      <w:r w:rsidRPr="00396BCF">
        <w:rPr>
          <w:szCs w:val="22"/>
        </w:rPr>
        <w:t xml:space="preserve">This limit will apply to all emissions removed from the TT&amp;C’s center frequency by </w:t>
      </w:r>
      <w:r>
        <w:rPr>
          <w:szCs w:val="22"/>
        </w:rPr>
        <w:t>more</w:t>
      </w:r>
      <w:r w:rsidRPr="00396BCF">
        <w:rPr>
          <w:szCs w:val="22"/>
        </w:rPr>
        <w:t xml:space="preserve"> than 150% of the TT&amp;C’s necessary emission bandwidth.</w:t>
      </w:r>
      <w:r>
        <w:rPr>
          <w:szCs w:val="22"/>
        </w:rPr>
        <w:t>”</w:t>
      </w:r>
    </w:p>
    <w:p w:rsidR="00FD7AC1" w:rsidP="00E35612" w14:paraId="5095F73C" w14:textId="77777777">
      <w:pPr>
        <w:pStyle w:val="ParaNum"/>
        <w:numPr>
          <w:ilvl w:val="0"/>
          <w:numId w:val="28"/>
        </w:numPr>
        <w:ind w:left="0" w:firstLine="360"/>
      </w:pPr>
      <w:r>
        <w:t>In paragraph 398, the l</w:t>
      </w:r>
      <w:r w:rsidR="00131E15">
        <w:t>ast</w:t>
      </w:r>
      <w:r>
        <w:t xml:space="preserve"> sentence is corrected to read as follows: </w:t>
      </w:r>
    </w:p>
    <w:p w:rsidR="00495B2A" w:rsidRPr="00FD7AC1" w14:paraId="243AA871" w14:textId="77777777">
      <w:pPr>
        <w:pStyle w:val="ParaNum"/>
        <w:numPr>
          <w:ilvl w:val="0"/>
          <w:numId w:val="0"/>
        </w:numPr>
        <w:ind w:left="720"/>
      </w:pPr>
      <w:r w:rsidRPr="00653213">
        <w:rPr>
          <w:snapToGrid/>
        </w:rPr>
        <w:t>“We have described impacts that might affect small businesses, which includes most</w:t>
      </w:r>
      <w:r w:rsidRPr="00FD7AC1">
        <w:rPr>
          <w:szCs w:val="22"/>
        </w:rPr>
        <w:t xml:space="preserve"> businesses with fewer than 25 employees, in the Final Regulatory Flexibility Analysis (FRFA), attached as Appendix </w:t>
      </w:r>
      <w:r>
        <w:rPr>
          <w:szCs w:val="22"/>
        </w:rPr>
        <w:t>B</w:t>
      </w:r>
      <w:r w:rsidRPr="00FD7AC1">
        <w:rPr>
          <w:szCs w:val="22"/>
        </w:rPr>
        <w:t>.</w:t>
      </w:r>
      <w:r>
        <w:rPr>
          <w:szCs w:val="22"/>
        </w:rPr>
        <w:t>”</w:t>
      </w:r>
      <w:r w:rsidRPr="00FD7AC1">
        <w:rPr>
          <w:szCs w:val="22"/>
        </w:rPr>
        <w:t xml:space="preserve"> </w:t>
      </w:r>
    </w:p>
    <w:p w:rsidR="00131E15" w:rsidP="00024815" w14:paraId="795CC340" w14:textId="77777777">
      <w:pPr>
        <w:pStyle w:val="ParaNum"/>
        <w:numPr>
          <w:ilvl w:val="0"/>
          <w:numId w:val="0"/>
        </w:numPr>
        <w:ind w:firstLine="720"/>
      </w:pPr>
      <w:r>
        <w:t xml:space="preserve">This erratum also amends </w:t>
      </w:r>
      <w:r w:rsidRPr="00024815">
        <w:t>Appendices A and B</w:t>
      </w:r>
      <w:r w:rsidRPr="00131E15">
        <w:t xml:space="preserve"> of</w:t>
      </w:r>
      <w:r>
        <w:t xml:space="preserve"> the </w:t>
      </w:r>
      <w:r>
        <w:rPr>
          <w:i/>
          <w:iCs/>
        </w:rPr>
        <w:t>Report and Order</w:t>
      </w:r>
      <w:r>
        <w:t xml:space="preserve"> as indicated below:</w:t>
      </w:r>
    </w:p>
    <w:p w:rsidR="00131E15" w:rsidP="00131E15" w14:paraId="76BB6409" w14:textId="77777777">
      <w:pPr>
        <w:pStyle w:val="ParaNum"/>
        <w:numPr>
          <w:ilvl w:val="0"/>
          <w:numId w:val="0"/>
        </w:numPr>
      </w:pPr>
      <w:r w:rsidRPr="00024815">
        <w:rPr>
          <w:b/>
          <w:bCs/>
        </w:rPr>
        <w:t>Appendix A</w:t>
      </w:r>
      <w:r>
        <w:t xml:space="preserve"> is corrected as follows:</w:t>
      </w:r>
    </w:p>
    <w:p w:rsidR="00131E15" w:rsidRPr="00224270" w:rsidP="00024815" w14:paraId="0DF99BCB" w14:textId="77777777">
      <w:pPr>
        <w:pStyle w:val="ParaNum"/>
        <w:numPr>
          <w:ilvl w:val="0"/>
          <w:numId w:val="28"/>
        </w:numPr>
        <w:ind w:left="0" w:firstLine="360"/>
      </w:pPr>
      <w:r>
        <w:t xml:space="preserve">Below </w:t>
      </w:r>
      <w:r w:rsidRPr="0041739B">
        <w:t>paragraph (g)</w:t>
      </w:r>
      <w:r>
        <w:t>,</w:t>
      </w:r>
      <w:r w:rsidRPr="0041739B">
        <w:t xml:space="preserve"> </w:t>
      </w:r>
      <w:r>
        <w:t>i</w:t>
      </w:r>
      <w:r w:rsidRPr="0041739B">
        <w:t xml:space="preserve">n </w:t>
      </w:r>
      <w:r>
        <w:t>S</w:t>
      </w:r>
      <w:r w:rsidRPr="0041739B">
        <w:t xml:space="preserve">ection 27.1412, paragraphs (1) and (2) </w:t>
      </w:r>
      <w:r w:rsidR="00E94494">
        <w:t xml:space="preserve">are added </w:t>
      </w:r>
      <w:r w:rsidRPr="0041739B">
        <w:t>to read as follows</w:t>
      </w:r>
      <w:r w:rsidRPr="00224270">
        <w:t>:</w:t>
      </w:r>
    </w:p>
    <w:p w:rsidR="00131E15" w:rsidP="00E35612" w14:paraId="3BDA6B3A" w14:textId="77777777">
      <w:pPr>
        <w:pStyle w:val="ParaNum"/>
        <w:numPr>
          <w:ilvl w:val="0"/>
          <w:numId w:val="0"/>
        </w:numPr>
        <w:ind w:left="720" w:firstLine="720"/>
      </w:pPr>
      <w:r>
        <w:t xml:space="preserve">“(1) </w:t>
      </w:r>
      <w:r w:rsidRPr="00C3425D">
        <w:t xml:space="preserve">The Bureau, Clearinghouse, and relevant stakeholders will have the opportunity to review the Certification of Accelerated </w:t>
      </w:r>
      <w:r>
        <w:t>Relocation</w:t>
      </w:r>
      <w:r w:rsidRPr="00C3425D">
        <w:t xml:space="preserve"> and identify potential deficiencies.  </w:t>
      </w:r>
      <w:r>
        <w:t xml:space="preserve">The Wireless Telecommunications Bureau will prescribe the form of any challenges by relevant stakeholders as to the validity of the certification and will </w:t>
      </w:r>
      <w:r w:rsidRPr="00075C9D">
        <w:t xml:space="preserve">establish </w:t>
      </w:r>
      <w:r>
        <w:t xml:space="preserve">the </w:t>
      </w:r>
      <w:r w:rsidRPr="00075C9D">
        <w:t xml:space="preserve">process for how </w:t>
      </w:r>
      <w:r>
        <w:t>such</w:t>
      </w:r>
      <w:r w:rsidRPr="00075C9D">
        <w:t xml:space="preserve"> challenges will impact the incremental decreases</w:t>
      </w:r>
      <w:r>
        <w:t xml:space="preserve"> in the accelerated relocation payment as set-forth in section 27.1422(d).</w:t>
      </w:r>
    </w:p>
    <w:p w:rsidR="00131E15" w:rsidP="00131E15" w14:paraId="4550578D" w14:textId="77777777">
      <w:pPr>
        <w:pStyle w:val="ParaNum"/>
        <w:numPr>
          <w:ilvl w:val="0"/>
          <w:numId w:val="0"/>
        </w:numPr>
        <w:ind w:left="720" w:firstLine="720"/>
      </w:pPr>
      <w:r>
        <w:t xml:space="preserve">(2) </w:t>
      </w:r>
      <w:r w:rsidRPr="00C3425D">
        <w:t xml:space="preserve">If credible challenges as to the space station operator’s satisfaction of the relevant deadline are made, the Bureau will issue a public notice identifying such challenges and will render a final decision as to the validity of the certification no later than 60 days from its filing.  Absent notice from the Bureau of any such deficiencies within 30 days of the filing of the certification, the Certification of Accelerated </w:t>
      </w:r>
      <w:r>
        <w:t>Relocation</w:t>
      </w:r>
      <w:r w:rsidRPr="00C3425D">
        <w:t xml:space="preserve"> will be deemed </w:t>
      </w:r>
      <w:r>
        <w:t>validated</w:t>
      </w:r>
      <w:r w:rsidRPr="00C3425D">
        <w:t>.</w:t>
      </w:r>
      <w:r>
        <w:t>”</w:t>
      </w:r>
    </w:p>
    <w:p w:rsidR="00131E15" w:rsidP="00024815" w14:paraId="363BA101" w14:textId="77777777">
      <w:pPr>
        <w:pStyle w:val="ParaNum"/>
        <w:numPr>
          <w:ilvl w:val="0"/>
          <w:numId w:val="28"/>
        </w:numPr>
        <w:ind w:left="0" w:firstLine="360"/>
      </w:pPr>
      <w:r>
        <w:t xml:space="preserve">In </w:t>
      </w:r>
      <w:r w:rsidR="00E35612">
        <w:t>S</w:t>
      </w:r>
      <w:r>
        <w:t xml:space="preserve">ection 27.1418, </w:t>
      </w:r>
      <w:r w:rsidR="00E94494">
        <w:t>paragraph (a)</w:t>
      </w:r>
      <w:r>
        <w:t xml:space="preserve"> is corrected to read as follows:</w:t>
      </w:r>
    </w:p>
    <w:p w:rsidR="00131E15" w:rsidP="00131E15" w14:paraId="289C629B" w14:textId="77777777">
      <w:pPr>
        <w:pStyle w:val="ParaNum"/>
        <w:numPr>
          <w:ilvl w:val="0"/>
          <w:numId w:val="0"/>
        </w:numPr>
        <w:ind w:left="720" w:firstLine="720"/>
      </w:pPr>
      <w:r>
        <w:t>“</w:t>
      </w:r>
      <w:r w:rsidRPr="00ED7D91">
        <w:t xml:space="preserve">(a) Each eligible space station operator is responsible for the payment of its own satellite </w:t>
      </w:r>
      <w:r>
        <w:t>transition</w:t>
      </w:r>
      <w:r w:rsidRPr="00ED7D91">
        <w:t xml:space="preserve"> costs until the auction winners have been announced.</w:t>
      </w:r>
      <w:r>
        <w:t>”</w:t>
      </w:r>
    </w:p>
    <w:p w:rsidR="00131E15" w:rsidP="00024815" w14:paraId="127F937A" w14:textId="77777777">
      <w:pPr>
        <w:pStyle w:val="ParaNum"/>
        <w:numPr>
          <w:ilvl w:val="0"/>
          <w:numId w:val="28"/>
        </w:numPr>
        <w:ind w:left="0" w:firstLine="360"/>
      </w:pPr>
      <w:r>
        <w:t xml:space="preserve">In </w:t>
      </w:r>
      <w:r w:rsidR="00E94494">
        <w:t>S</w:t>
      </w:r>
      <w:r>
        <w:t xml:space="preserve">ection 27.1422, paragraph (c) </w:t>
      </w:r>
      <w:r w:rsidR="00E94494">
        <w:t xml:space="preserve">is corrected </w:t>
      </w:r>
      <w:r>
        <w:t xml:space="preserve">and </w:t>
      </w:r>
      <w:r w:rsidR="00E94494">
        <w:t xml:space="preserve">a </w:t>
      </w:r>
      <w:r w:rsidRPr="0041739B">
        <w:t>paragraph (d)</w:t>
      </w:r>
      <w:r>
        <w:t xml:space="preserve"> </w:t>
      </w:r>
      <w:r w:rsidR="00E94494">
        <w:t xml:space="preserve">is added </w:t>
      </w:r>
      <w:r>
        <w:t>to read as follows:</w:t>
      </w:r>
    </w:p>
    <w:p w:rsidR="00131E15" w:rsidRPr="00B24389" w:rsidP="00131E15" w14:paraId="43496784" w14:textId="77777777">
      <w:pPr>
        <w:pStyle w:val="ParaNum"/>
        <w:numPr>
          <w:ilvl w:val="0"/>
          <w:numId w:val="0"/>
        </w:numPr>
        <w:ind w:left="720" w:firstLine="720"/>
      </w:pPr>
      <w:r>
        <w:t xml:space="preserve">“(c) </w:t>
      </w:r>
      <w:r w:rsidRPr="00207D82">
        <w:t>The Relocation Payment Clearinghouse shall promptly notify 3.7 GHz Service</w:t>
      </w:r>
      <w:r w:rsidRPr="00776D6F">
        <w:t xml:space="preserve"> </w:t>
      </w:r>
      <w:r w:rsidRPr="00776D6F">
        <w:t>licensees</w:t>
      </w:r>
      <w:r w:rsidRPr="001A5FC1">
        <w:rPr>
          <w:color w:val="000000"/>
        </w:rPr>
        <w:t xml:space="preserve"> following </w:t>
      </w:r>
      <w:r>
        <w:rPr>
          <w:color w:val="000000"/>
        </w:rPr>
        <w:t>validation</w:t>
      </w:r>
      <w:r w:rsidRPr="001A5FC1">
        <w:rPr>
          <w:color w:val="000000"/>
        </w:rPr>
        <w:t xml:space="preserve"> of the </w:t>
      </w:r>
      <w:r w:rsidRPr="00101887">
        <w:rPr>
          <w:color w:val="000000"/>
        </w:rPr>
        <w:t>Certification of Accelerated Relocation</w:t>
      </w:r>
      <w:r w:rsidRPr="001A5FC1">
        <w:rPr>
          <w:color w:val="000000"/>
        </w:rPr>
        <w:t>s as set-forth in Section 27.141</w:t>
      </w:r>
      <w:r>
        <w:rPr>
          <w:color w:val="000000"/>
        </w:rPr>
        <w:t>2</w:t>
      </w:r>
      <w:r w:rsidRPr="001A5FC1">
        <w:rPr>
          <w:color w:val="000000"/>
        </w:rPr>
        <w:t>(</w:t>
      </w:r>
      <w:r>
        <w:rPr>
          <w:color w:val="000000"/>
        </w:rPr>
        <w:t>g</w:t>
      </w:r>
      <w:r w:rsidRPr="001A5FC1">
        <w:rPr>
          <w:color w:val="000000"/>
        </w:rPr>
        <w:t>).</w:t>
      </w:r>
      <w:r>
        <w:rPr>
          <w:color w:val="000000"/>
        </w:rPr>
        <w:t xml:space="preserve">  </w:t>
      </w:r>
      <w:r>
        <w:t xml:space="preserve">3.7 GHz Service </w:t>
      </w:r>
      <w:r w:rsidRPr="00B24389">
        <w:t>licensees shall pay the accelerated relocation payments to the Clearinghouse within 60 days of the notice that eligible space station operators have met their respective accelerated clearing benchmark.</w:t>
      </w:r>
      <w:r>
        <w:t xml:space="preserve"> </w:t>
      </w:r>
      <w:r w:rsidRPr="009175CA">
        <w:t xml:space="preserve">The </w:t>
      </w:r>
      <w:r>
        <w:t>Clearinghouse</w:t>
      </w:r>
      <w:r w:rsidRPr="009175CA">
        <w:t xml:space="preserve"> shall </w:t>
      </w:r>
      <w:r w:rsidRPr="00B21E6E">
        <w:t xml:space="preserve">disburse accelerated relocation payments to relevant </w:t>
      </w:r>
      <w:r>
        <w:t xml:space="preserve">space station </w:t>
      </w:r>
      <w:r w:rsidRPr="00B21E6E">
        <w:t>operators within seven days of receiving the payment from overlay licensees.</w:t>
      </w:r>
    </w:p>
    <w:p w:rsidR="00131E15" w:rsidP="00024815" w14:paraId="721515A2" w14:textId="77777777">
      <w:pPr>
        <w:pStyle w:val="ParaNum"/>
        <w:numPr>
          <w:ilvl w:val="0"/>
          <w:numId w:val="0"/>
        </w:numPr>
        <w:spacing w:after="0"/>
        <w:ind w:left="720" w:firstLine="720"/>
      </w:pPr>
      <w:r>
        <w:t>(d) For eligible space station operators that fail to meet either the Phase I or Phase II benchmarks as of the relevant Accelerated Relocation Deadline, the accelerated relocation payment will be reduced according to the following schedule of declining accelerated relocation payments for the six months following the relevant deadline:”</w:t>
      </w:r>
    </w:p>
    <w:p w:rsidR="00E94494" w:rsidP="00024815" w14:paraId="2DEBCA29" w14:textId="77777777">
      <w:pPr>
        <w:pStyle w:val="ParaNum"/>
        <w:numPr>
          <w:ilvl w:val="0"/>
          <w:numId w:val="0"/>
        </w:num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661"/>
        <w:gridCol w:w="2661"/>
      </w:tblGrid>
      <w:tr w14:paraId="0C5AB7E7" w14:textId="77777777" w:rsidTr="00FE2786">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
          <w:jc w:val="center"/>
        </w:trPr>
        <w:tc>
          <w:tcPr>
            <w:tcW w:w="2660" w:type="dxa"/>
            <w:shd w:val="clear" w:color="auto" w:fill="auto"/>
            <w:vAlign w:val="center"/>
          </w:tcPr>
          <w:p w:rsidR="00131E15" w:rsidRPr="00096027" w:rsidP="00FE2786" w14:paraId="49B7465C" w14:textId="77777777">
            <w:pPr>
              <w:pStyle w:val="ParaNum"/>
              <w:numPr>
                <w:ilvl w:val="0"/>
                <w:numId w:val="0"/>
              </w:numPr>
              <w:spacing w:after="0"/>
              <w:jc w:val="center"/>
              <w:rPr>
                <w:b/>
                <w:bCs/>
              </w:rPr>
            </w:pPr>
            <w:r w:rsidRPr="00096027">
              <w:rPr>
                <w:b/>
                <w:bCs/>
              </w:rPr>
              <w:t>Date of Completion</w:t>
            </w:r>
          </w:p>
        </w:tc>
        <w:tc>
          <w:tcPr>
            <w:tcW w:w="2661" w:type="dxa"/>
            <w:shd w:val="clear" w:color="auto" w:fill="auto"/>
            <w:vAlign w:val="center"/>
          </w:tcPr>
          <w:p w:rsidR="00131E15" w:rsidRPr="00096027" w:rsidP="00FE2786" w14:paraId="17130B7F" w14:textId="77777777">
            <w:pPr>
              <w:pStyle w:val="ParaNum"/>
              <w:numPr>
                <w:ilvl w:val="0"/>
                <w:numId w:val="0"/>
              </w:numPr>
              <w:spacing w:after="0"/>
              <w:jc w:val="center"/>
              <w:rPr>
                <w:b/>
                <w:bCs/>
              </w:rPr>
            </w:pPr>
            <w:r w:rsidRPr="00096027">
              <w:rPr>
                <w:b/>
                <w:bCs/>
              </w:rPr>
              <w:t>Incremental Reduction</w:t>
            </w:r>
          </w:p>
        </w:tc>
        <w:tc>
          <w:tcPr>
            <w:tcW w:w="2661" w:type="dxa"/>
            <w:shd w:val="clear" w:color="auto" w:fill="auto"/>
            <w:vAlign w:val="center"/>
          </w:tcPr>
          <w:p w:rsidR="00131E15" w:rsidRPr="00096027" w:rsidP="00FE2786" w14:paraId="50ACB2F8" w14:textId="77777777">
            <w:pPr>
              <w:pStyle w:val="ParaNum"/>
              <w:numPr>
                <w:ilvl w:val="0"/>
                <w:numId w:val="0"/>
              </w:numPr>
              <w:spacing w:after="0"/>
              <w:jc w:val="center"/>
              <w:rPr>
                <w:b/>
                <w:bCs/>
              </w:rPr>
            </w:pPr>
            <w:r w:rsidRPr="00096027">
              <w:rPr>
                <w:b/>
                <w:bCs/>
              </w:rPr>
              <w:t>Accelerated Relocation Payment</w:t>
            </w:r>
          </w:p>
        </w:tc>
      </w:tr>
      <w:tr w14:paraId="41475BE5" w14:textId="77777777" w:rsidTr="00FE2786">
        <w:tblPrEx>
          <w:tblW w:w="0" w:type="auto"/>
          <w:jc w:val="center"/>
          <w:tblLook w:val="04A0"/>
        </w:tblPrEx>
        <w:trPr>
          <w:trHeight w:val="288"/>
          <w:jc w:val="center"/>
        </w:trPr>
        <w:tc>
          <w:tcPr>
            <w:tcW w:w="2660" w:type="dxa"/>
            <w:shd w:val="clear" w:color="auto" w:fill="auto"/>
            <w:vAlign w:val="center"/>
          </w:tcPr>
          <w:p w:rsidR="00131E15" w:rsidP="00FE2786" w14:paraId="0F4DCA4D" w14:textId="77777777">
            <w:pPr>
              <w:pStyle w:val="ParaNum"/>
              <w:numPr>
                <w:ilvl w:val="0"/>
                <w:numId w:val="0"/>
              </w:numPr>
              <w:spacing w:after="0"/>
              <w:jc w:val="center"/>
            </w:pPr>
            <w:r>
              <w:t>By Deadline</w:t>
            </w:r>
          </w:p>
        </w:tc>
        <w:tc>
          <w:tcPr>
            <w:tcW w:w="2661" w:type="dxa"/>
            <w:shd w:val="clear" w:color="auto" w:fill="auto"/>
            <w:vAlign w:val="center"/>
          </w:tcPr>
          <w:p w:rsidR="00131E15" w:rsidP="00FE2786" w14:paraId="365693FC" w14:textId="77777777">
            <w:pPr>
              <w:pStyle w:val="ParaNum"/>
              <w:numPr>
                <w:ilvl w:val="0"/>
                <w:numId w:val="0"/>
              </w:numPr>
              <w:spacing w:after="0"/>
              <w:jc w:val="center"/>
            </w:pPr>
            <w:r>
              <w:t>--</w:t>
            </w:r>
          </w:p>
        </w:tc>
        <w:tc>
          <w:tcPr>
            <w:tcW w:w="2661" w:type="dxa"/>
            <w:shd w:val="clear" w:color="auto" w:fill="auto"/>
            <w:vAlign w:val="center"/>
          </w:tcPr>
          <w:p w:rsidR="00131E15" w:rsidP="00FE2786" w14:paraId="3278043D" w14:textId="77777777">
            <w:pPr>
              <w:pStyle w:val="ParaNum"/>
              <w:numPr>
                <w:ilvl w:val="0"/>
                <w:numId w:val="0"/>
              </w:numPr>
              <w:spacing w:after="0"/>
              <w:jc w:val="center"/>
            </w:pPr>
            <w:r>
              <w:t>100%</w:t>
            </w:r>
          </w:p>
        </w:tc>
      </w:tr>
      <w:tr w14:paraId="472E32D8" w14:textId="77777777" w:rsidTr="00FE2786">
        <w:tblPrEx>
          <w:tblW w:w="0" w:type="auto"/>
          <w:jc w:val="center"/>
          <w:tblLook w:val="04A0"/>
        </w:tblPrEx>
        <w:trPr>
          <w:trHeight w:val="288"/>
          <w:jc w:val="center"/>
        </w:trPr>
        <w:tc>
          <w:tcPr>
            <w:tcW w:w="2660" w:type="dxa"/>
            <w:shd w:val="clear" w:color="auto" w:fill="auto"/>
            <w:vAlign w:val="center"/>
          </w:tcPr>
          <w:p w:rsidR="00131E15" w:rsidP="00FE2786" w14:paraId="699D41D2" w14:textId="77777777">
            <w:pPr>
              <w:pStyle w:val="ParaNum"/>
              <w:numPr>
                <w:ilvl w:val="0"/>
                <w:numId w:val="0"/>
              </w:numPr>
              <w:spacing w:after="0"/>
              <w:jc w:val="center"/>
            </w:pPr>
            <w:r>
              <w:t>1-30 Days Late</w:t>
            </w:r>
          </w:p>
        </w:tc>
        <w:tc>
          <w:tcPr>
            <w:tcW w:w="2661" w:type="dxa"/>
            <w:shd w:val="clear" w:color="auto" w:fill="auto"/>
            <w:vAlign w:val="center"/>
          </w:tcPr>
          <w:p w:rsidR="00131E15" w:rsidP="00FE2786" w14:paraId="50F30921" w14:textId="77777777">
            <w:pPr>
              <w:pStyle w:val="ParaNum"/>
              <w:numPr>
                <w:ilvl w:val="0"/>
                <w:numId w:val="0"/>
              </w:numPr>
              <w:spacing w:after="0"/>
              <w:jc w:val="center"/>
            </w:pPr>
            <w:r>
              <w:t>5%</w:t>
            </w:r>
          </w:p>
        </w:tc>
        <w:tc>
          <w:tcPr>
            <w:tcW w:w="2661" w:type="dxa"/>
            <w:shd w:val="clear" w:color="auto" w:fill="auto"/>
            <w:vAlign w:val="center"/>
          </w:tcPr>
          <w:p w:rsidR="00131E15" w:rsidP="00FE2786" w14:paraId="16B209C9" w14:textId="77777777">
            <w:pPr>
              <w:pStyle w:val="ParaNum"/>
              <w:numPr>
                <w:ilvl w:val="0"/>
                <w:numId w:val="0"/>
              </w:numPr>
              <w:spacing w:after="0"/>
              <w:jc w:val="center"/>
            </w:pPr>
            <w:r>
              <w:t>95%</w:t>
            </w:r>
          </w:p>
        </w:tc>
      </w:tr>
      <w:tr w14:paraId="531CA824" w14:textId="77777777" w:rsidTr="00FE2786">
        <w:tblPrEx>
          <w:tblW w:w="0" w:type="auto"/>
          <w:jc w:val="center"/>
          <w:tblLook w:val="04A0"/>
        </w:tblPrEx>
        <w:trPr>
          <w:trHeight w:val="288"/>
          <w:jc w:val="center"/>
        </w:trPr>
        <w:tc>
          <w:tcPr>
            <w:tcW w:w="2660" w:type="dxa"/>
            <w:shd w:val="clear" w:color="auto" w:fill="auto"/>
            <w:vAlign w:val="center"/>
          </w:tcPr>
          <w:p w:rsidR="00131E15" w:rsidP="00FE2786" w14:paraId="5261659B" w14:textId="77777777">
            <w:pPr>
              <w:pStyle w:val="ParaNum"/>
              <w:numPr>
                <w:ilvl w:val="0"/>
                <w:numId w:val="0"/>
              </w:numPr>
              <w:spacing w:after="0"/>
              <w:jc w:val="center"/>
            </w:pPr>
            <w:r>
              <w:t>31-60 Days Late</w:t>
            </w:r>
          </w:p>
        </w:tc>
        <w:tc>
          <w:tcPr>
            <w:tcW w:w="2661" w:type="dxa"/>
            <w:shd w:val="clear" w:color="auto" w:fill="auto"/>
            <w:vAlign w:val="center"/>
          </w:tcPr>
          <w:p w:rsidR="00131E15" w:rsidP="00FE2786" w14:paraId="7D83BCAD" w14:textId="77777777">
            <w:pPr>
              <w:pStyle w:val="ParaNum"/>
              <w:numPr>
                <w:ilvl w:val="0"/>
                <w:numId w:val="0"/>
              </w:numPr>
              <w:spacing w:after="0"/>
              <w:jc w:val="center"/>
            </w:pPr>
            <w:r>
              <w:t>5%</w:t>
            </w:r>
          </w:p>
        </w:tc>
        <w:tc>
          <w:tcPr>
            <w:tcW w:w="2661" w:type="dxa"/>
            <w:shd w:val="clear" w:color="auto" w:fill="auto"/>
            <w:vAlign w:val="center"/>
          </w:tcPr>
          <w:p w:rsidR="00131E15" w:rsidP="00FE2786" w14:paraId="41EA4317" w14:textId="77777777">
            <w:pPr>
              <w:pStyle w:val="ParaNum"/>
              <w:numPr>
                <w:ilvl w:val="0"/>
                <w:numId w:val="0"/>
              </w:numPr>
              <w:spacing w:after="0"/>
              <w:jc w:val="center"/>
            </w:pPr>
            <w:r>
              <w:t>90%</w:t>
            </w:r>
          </w:p>
        </w:tc>
      </w:tr>
      <w:tr w14:paraId="65162EDF" w14:textId="77777777" w:rsidTr="00FE2786">
        <w:tblPrEx>
          <w:tblW w:w="0" w:type="auto"/>
          <w:jc w:val="center"/>
          <w:tblLook w:val="04A0"/>
        </w:tblPrEx>
        <w:trPr>
          <w:trHeight w:val="288"/>
          <w:jc w:val="center"/>
        </w:trPr>
        <w:tc>
          <w:tcPr>
            <w:tcW w:w="2660" w:type="dxa"/>
            <w:shd w:val="clear" w:color="auto" w:fill="auto"/>
            <w:vAlign w:val="center"/>
          </w:tcPr>
          <w:p w:rsidR="00131E15" w:rsidP="00FE2786" w14:paraId="0D6B3E4E" w14:textId="77777777">
            <w:pPr>
              <w:pStyle w:val="ParaNum"/>
              <w:numPr>
                <w:ilvl w:val="0"/>
                <w:numId w:val="0"/>
              </w:numPr>
              <w:spacing w:after="0"/>
              <w:jc w:val="center"/>
            </w:pPr>
            <w:r>
              <w:t>61-90 Days Late</w:t>
            </w:r>
          </w:p>
        </w:tc>
        <w:tc>
          <w:tcPr>
            <w:tcW w:w="2661" w:type="dxa"/>
            <w:shd w:val="clear" w:color="auto" w:fill="auto"/>
            <w:vAlign w:val="center"/>
          </w:tcPr>
          <w:p w:rsidR="00131E15" w:rsidP="00FE2786" w14:paraId="6641E5EA" w14:textId="77777777">
            <w:pPr>
              <w:pStyle w:val="ParaNum"/>
              <w:numPr>
                <w:ilvl w:val="0"/>
                <w:numId w:val="0"/>
              </w:numPr>
              <w:spacing w:after="0"/>
              <w:jc w:val="center"/>
            </w:pPr>
            <w:r>
              <w:t>10%</w:t>
            </w:r>
          </w:p>
        </w:tc>
        <w:tc>
          <w:tcPr>
            <w:tcW w:w="2661" w:type="dxa"/>
            <w:shd w:val="clear" w:color="auto" w:fill="auto"/>
            <w:vAlign w:val="center"/>
          </w:tcPr>
          <w:p w:rsidR="00131E15" w:rsidP="00FE2786" w14:paraId="091E28F7" w14:textId="77777777">
            <w:pPr>
              <w:pStyle w:val="ParaNum"/>
              <w:numPr>
                <w:ilvl w:val="0"/>
                <w:numId w:val="0"/>
              </w:numPr>
              <w:spacing w:after="0"/>
              <w:jc w:val="center"/>
            </w:pPr>
            <w:r>
              <w:t>80%</w:t>
            </w:r>
          </w:p>
        </w:tc>
      </w:tr>
      <w:tr w14:paraId="6F14D586" w14:textId="77777777" w:rsidTr="00FE2786">
        <w:tblPrEx>
          <w:tblW w:w="0" w:type="auto"/>
          <w:jc w:val="center"/>
          <w:tblLook w:val="04A0"/>
        </w:tblPrEx>
        <w:trPr>
          <w:trHeight w:val="288"/>
          <w:jc w:val="center"/>
        </w:trPr>
        <w:tc>
          <w:tcPr>
            <w:tcW w:w="2660" w:type="dxa"/>
            <w:shd w:val="clear" w:color="auto" w:fill="auto"/>
            <w:vAlign w:val="center"/>
          </w:tcPr>
          <w:p w:rsidR="00131E15" w:rsidP="00FE2786" w14:paraId="1F11021F" w14:textId="77777777">
            <w:pPr>
              <w:pStyle w:val="ParaNum"/>
              <w:numPr>
                <w:ilvl w:val="0"/>
                <w:numId w:val="0"/>
              </w:numPr>
              <w:spacing w:after="0"/>
              <w:jc w:val="center"/>
            </w:pPr>
            <w:r>
              <w:t>91-120 Days Late</w:t>
            </w:r>
          </w:p>
        </w:tc>
        <w:tc>
          <w:tcPr>
            <w:tcW w:w="2661" w:type="dxa"/>
            <w:shd w:val="clear" w:color="auto" w:fill="auto"/>
            <w:vAlign w:val="center"/>
          </w:tcPr>
          <w:p w:rsidR="00131E15" w:rsidP="00FE2786" w14:paraId="6A8B2252" w14:textId="77777777">
            <w:pPr>
              <w:pStyle w:val="ParaNum"/>
              <w:numPr>
                <w:ilvl w:val="0"/>
                <w:numId w:val="0"/>
              </w:numPr>
              <w:spacing w:after="0"/>
              <w:jc w:val="center"/>
            </w:pPr>
            <w:r>
              <w:t>10%</w:t>
            </w:r>
          </w:p>
        </w:tc>
        <w:tc>
          <w:tcPr>
            <w:tcW w:w="2661" w:type="dxa"/>
            <w:shd w:val="clear" w:color="auto" w:fill="auto"/>
            <w:vAlign w:val="center"/>
          </w:tcPr>
          <w:p w:rsidR="00131E15" w:rsidP="00FE2786" w14:paraId="76B0936E" w14:textId="77777777">
            <w:pPr>
              <w:pStyle w:val="ParaNum"/>
              <w:numPr>
                <w:ilvl w:val="0"/>
                <w:numId w:val="0"/>
              </w:numPr>
              <w:spacing w:after="0"/>
              <w:jc w:val="center"/>
            </w:pPr>
            <w:r>
              <w:t>70%</w:t>
            </w:r>
          </w:p>
        </w:tc>
      </w:tr>
      <w:tr w14:paraId="5D4146EC" w14:textId="77777777" w:rsidTr="00FE2786">
        <w:tblPrEx>
          <w:tblW w:w="0" w:type="auto"/>
          <w:jc w:val="center"/>
          <w:tblLook w:val="04A0"/>
        </w:tblPrEx>
        <w:trPr>
          <w:trHeight w:val="288"/>
          <w:jc w:val="center"/>
        </w:trPr>
        <w:tc>
          <w:tcPr>
            <w:tcW w:w="2660" w:type="dxa"/>
            <w:shd w:val="clear" w:color="auto" w:fill="auto"/>
            <w:vAlign w:val="center"/>
          </w:tcPr>
          <w:p w:rsidR="00131E15" w:rsidP="00FE2786" w14:paraId="0D506B8C" w14:textId="77777777">
            <w:pPr>
              <w:pStyle w:val="ParaNum"/>
              <w:numPr>
                <w:ilvl w:val="0"/>
                <w:numId w:val="0"/>
              </w:numPr>
              <w:spacing w:after="0"/>
              <w:jc w:val="center"/>
            </w:pPr>
            <w:r>
              <w:t>121-150 Days Late</w:t>
            </w:r>
          </w:p>
        </w:tc>
        <w:tc>
          <w:tcPr>
            <w:tcW w:w="2661" w:type="dxa"/>
            <w:shd w:val="clear" w:color="auto" w:fill="auto"/>
            <w:vAlign w:val="center"/>
          </w:tcPr>
          <w:p w:rsidR="00131E15" w:rsidP="00FE2786" w14:paraId="613A82B2" w14:textId="77777777">
            <w:pPr>
              <w:pStyle w:val="ParaNum"/>
              <w:numPr>
                <w:ilvl w:val="0"/>
                <w:numId w:val="0"/>
              </w:numPr>
              <w:spacing w:after="0"/>
              <w:jc w:val="center"/>
            </w:pPr>
            <w:r>
              <w:t>20%</w:t>
            </w:r>
          </w:p>
        </w:tc>
        <w:tc>
          <w:tcPr>
            <w:tcW w:w="2661" w:type="dxa"/>
            <w:shd w:val="clear" w:color="auto" w:fill="auto"/>
            <w:vAlign w:val="center"/>
          </w:tcPr>
          <w:p w:rsidR="00131E15" w:rsidP="00FE2786" w14:paraId="1CB4C048" w14:textId="77777777">
            <w:pPr>
              <w:pStyle w:val="ParaNum"/>
              <w:numPr>
                <w:ilvl w:val="0"/>
                <w:numId w:val="0"/>
              </w:numPr>
              <w:spacing w:after="0"/>
              <w:jc w:val="center"/>
            </w:pPr>
            <w:r>
              <w:t>50%</w:t>
            </w:r>
          </w:p>
        </w:tc>
      </w:tr>
      <w:tr w14:paraId="6D8C1FB5" w14:textId="77777777" w:rsidTr="00FE2786">
        <w:tblPrEx>
          <w:tblW w:w="0" w:type="auto"/>
          <w:jc w:val="center"/>
          <w:tblLook w:val="04A0"/>
        </w:tblPrEx>
        <w:trPr>
          <w:trHeight w:val="288"/>
          <w:jc w:val="center"/>
        </w:trPr>
        <w:tc>
          <w:tcPr>
            <w:tcW w:w="2660" w:type="dxa"/>
            <w:shd w:val="clear" w:color="auto" w:fill="auto"/>
            <w:vAlign w:val="center"/>
          </w:tcPr>
          <w:p w:rsidR="00131E15" w:rsidP="00FE2786" w14:paraId="2C4AB17D" w14:textId="77777777">
            <w:pPr>
              <w:pStyle w:val="ParaNum"/>
              <w:numPr>
                <w:ilvl w:val="0"/>
                <w:numId w:val="0"/>
              </w:numPr>
              <w:spacing w:after="0"/>
              <w:jc w:val="center"/>
            </w:pPr>
            <w:r>
              <w:t>151-180 Days Late</w:t>
            </w:r>
            <w:r>
              <w:t xml:space="preserve"> </w:t>
            </w:r>
          </w:p>
        </w:tc>
        <w:tc>
          <w:tcPr>
            <w:tcW w:w="2661" w:type="dxa"/>
            <w:shd w:val="clear" w:color="auto" w:fill="auto"/>
            <w:vAlign w:val="center"/>
          </w:tcPr>
          <w:p w:rsidR="00131E15" w:rsidP="00FE2786" w14:paraId="4887D583" w14:textId="77777777">
            <w:pPr>
              <w:pStyle w:val="ParaNum"/>
              <w:numPr>
                <w:ilvl w:val="0"/>
                <w:numId w:val="0"/>
              </w:numPr>
              <w:spacing w:after="0"/>
              <w:jc w:val="center"/>
            </w:pPr>
            <w:r>
              <w:t>20%</w:t>
            </w:r>
          </w:p>
        </w:tc>
        <w:tc>
          <w:tcPr>
            <w:tcW w:w="2661" w:type="dxa"/>
            <w:shd w:val="clear" w:color="auto" w:fill="auto"/>
            <w:vAlign w:val="center"/>
          </w:tcPr>
          <w:p w:rsidR="00131E15" w:rsidP="00FE2786" w14:paraId="1E16D8E9" w14:textId="77777777">
            <w:pPr>
              <w:pStyle w:val="ParaNum"/>
              <w:numPr>
                <w:ilvl w:val="0"/>
                <w:numId w:val="0"/>
              </w:numPr>
              <w:spacing w:after="0"/>
              <w:jc w:val="center"/>
            </w:pPr>
            <w:r>
              <w:t>30%</w:t>
            </w:r>
          </w:p>
        </w:tc>
      </w:tr>
      <w:tr w14:paraId="54F15A05" w14:textId="77777777" w:rsidTr="00FE2786">
        <w:tblPrEx>
          <w:tblW w:w="0" w:type="auto"/>
          <w:jc w:val="center"/>
          <w:tblLook w:val="04A0"/>
        </w:tblPrEx>
        <w:trPr>
          <w:trHeight w:val="288"/>
          <w:jc w:val="center"/>
        </w:trPr>
        <w:tc>
          <w:tcPr>
            <w:tcW w:w="2660" w:type="dxa"/>
            <w:shd w:val="clear" w:color="auto" w:fill="auto"/>
            <w:vAlign w:val="center"/>
          </w:tcPr>
          <w:p w:rsidR="00131E15" w:rsidP="00FE2786" w14:paraId="33A96462" w14:textId="77777777">
            <w:pPr>
              <w:pStyle w:val="ParaNum"/>
              <w:numPr>
                <w:ilvl w:val="0"/>
                <w:numId w:val="0"/>
              </w:numPr>
              <w:spacing w:after="0"/>
              <w:jc w:val="center"/>
            </w:pPr>
            <w:r>
              <w:t>181+ Days Late</w:t>
            </w:r>
          </w:p>
        </w:tc>
        <w:tc>
          <w:tcPr>
            <w:tcW w:w="2661" w:type="dxa"/>
            <w:shd w:val="clear" w:color="auto" w:fill="auto"/>
            <w:vAlign w:val="center"/>
          </w:tcPr>
          <w:p w:rsidR="00131E15" w:rsidP="00FE2786" w14:paraId="047CC05F" w14:textId="77777777">
            <w:pPr>
              <w:pStyle w:val="ParaNum"/>
              <w:numPr>
                <w:ilvl w:val="0"/>
                <w:numId w:val="0"/>
              </w:numPr>
              <w:spacing w:after="0"/>
              <w:jc w:val="center"/>
            </w:pPr>
            <w:r>
              <w:t>30%</w:t>
            </w:r>
          </w:p>
        </w:tc>
        <w:tc>
          <w:tcPr>
            <w:tcW w:w="2661" w:type="dxa"/>
            <w:shd w:val="clear" w:color="auto" w:fill="auto"/>
            <w:vAlign w:val="center"/>
          </w:tcPr>
          <w:p w:rsidR="00131E15" w:rsidP="00FE2786" w14:paraId="40ECBBE7" w14:textId="77777777">
            <w:pPr>
              <w:pStyle w:val="ParaNum"/>
              <w:numPr>
                <w:ilvl w:val="0"/>
                <w:numId w:val="0"/>
              </w:numPr>
              <w:spacing w:after="0"/>
              <w:jc w:val="center"/>
            </w:pPr>
            <w:r>
              <w:t>0%</w:t>
            </w:r>
          </w:p>
        </w:tc>
      </w:tr>
    </w:tbl>
    <w:p w:rsidR="00131E15" w:rsidP="00024815" w14:paraId="4A174822" w14:textId="77777777">
      <w:pPr>
        <w:pStyle w:val="Heading1"/>
        <w:numPr>
          <w:ilvl w:val="0"/>
          <w:numId w:val="0"/>
        </w:numPr>
      </w:pPr>
    </w:p>
    <w:p w:rsidR="00E94494" w:rsidP="00024815" w14:paraId="7A3723C7" w14:textId="77777777">
      <w:pPr>
        <w:pStyle w:val="ParaNum"/>
        <w:numPr>
          <w:ilvl w:val="0"/>
          <w:numId w:val="0"/>
        </w:numPr>
      </w:pPr>
      <w:r w:rsidRPr="00024815">
        <w:rPr>
          <w:b/>
          <w:bCs/>
        </w:rPr>
        <w:t>Appendix B</w:t>
      </w:r>
      <w:r>
        <w:t xml:space="preserve"> is corrected as follows:</w:t>
      </w:r>
    </w:p>
    <w:p w:rsidR="00D95C81" w:rsidP="00024815" w14:paraId="30648AEC" w14:textId="77777777">
      <w:pPr>
        <w:pStyle w:val="ParaNum"/>
        <w:numPr>
          <w:ilvl w:val="0"/>
          <w:numId w:val="28"/>
        </w:numPr>
        <w:ind w:left="0" w:firstLine="360"/>
      </w:pPr>
      <w:r>
        <w:t xml:space="preserve">In </w:t>
      </w:r>
      <w:r w:rsidR="00FD7AC1">
        <w:t>paragraph 40</w:t>
      </w:r>
      <w:r w:rsidR="00B24389">
        <w:t>,</w:t>
      </w:r>
      <w:r w:rsidR="00FD7AC1">
        <w:t xml:space="preserve"> </w:t>
      </w:r>
      <w:r w:rsidR="0023333B">
        <w:t xml:space="preserve">in </w:t>
      </w:r>
      <w:r w:rsidR="00FD7AC1">
        <w:t>the third sentence</w:t>
      </w:r>
      <w:r w:rsidR="0023333B">
        <w:t>, replace the word</w:t>
      </w:r>
      <w:r w:rsidR="00FD7AC1">
        <w:t xml:space="preserve"> </w:t>
      </w:r>
      <w:r w:rsidR="0023333B">
        <w:t xml:space="preserve">“propose” with </w:t>
      </w:r>
      <w:r w:rsidR="00FD7AC1">
        <w:t>“adopt”</w:t>
      </w:r>
      <w:r w:rsidR="0023333B">
        <w:t xml:space="preserve"> and the</w:t>
      </w:r>
      <w:r>
        <w:t xml:space="preserve"> last </w:t>
      </w:r>
      <w:r w:rsidR="0023333B">
        <w:t xml:space="preserve">three </w:t>
      </w:r>
      <w:r>
        <w:t>sentences are corrected to read as follows:</w:t>
      </w:r>
    </w:p>
    <w:p w:rsidR="00D95C81" w14:paraId="1C323C81" w14:textId="77777777">
      <w:pPr>
        <w:pStyle w:val="ParaNum"/>
        <w:numPr>
          <w:ilvl w:val="0"/>
          <w:numId w:val="0"/>
        </w:numPr>
        <w:ind w:left="720"/>
      </w:pPr>
      <w:r>
        <w:t>“</w:t>
      </w:r>
      <w:r w:rsidRPr="00D95C81">
        <w:t xml:space="preserve">The </w:t>
      </w:r>
      <w:r>
        <w:t>adopte</w:t>
      </w:r>
      <w:r w:rsidRPr="00D95C81">
        <w:t xml:space="preserve">d relaxation will not affect the interference to FSS above 4.0 GHz. The </w:t>
      </w:r>
      <w:r>
        <w:t>adopted</w:t>
      </w:r>
      <w:r w:rsidRPr="00D95C81">
        <w:t xml:space="preserve"> relaxation will be entirely contained within the 20 MHz guard band.</w:t>
      </w:r>
      <w:r w:rsidRPr="0023333B" w:rsidR="0023333B">
        <w:t xml:space="preserve"> </w:t>
      </w:r>
      <w:r w:rsidR="0023333B">
        <w:t xml:space="preserve"> </w:t>
      </w:r>
      <w:r w:rsidRPr="0023333B" w:rsidR="0023333B">
        <w:t>The effect on CBRS operations below 3.7 GHz should be minimal.</w:t>
      </w:r>
      <w:r>
        <w:t>”</w:t>
      </w:r>
    </w:p>
    <w:p w:rsidR="00B07300" w:rsidRPr="002A29D2" w:rsidP="00224270" w14:paraId="4E47E041" w14:textId="77777777">
      <w:pPr>
        <w:pStyle w:val="Heading1"/>
        <w:numPr>
          <w:ilvl w:val="0"/>
          <w:numId w:val="0"/>
        </w:numPr>
        <w:spacing w:before="220" w:after="0"/>
        <w:ind w:left="3600" w:firstLine="720"/>
        <w:rPr>
          <w:rFonts w:ascii="Times New Roman" w:hAnsi="Times New Roman"/>
          <w:b w:val="0"/>
          <w:caps w:val="0"/>
          <w:spacing w:val="-2"/>
        </w:rPr>
      </w:pPr>
      <w:r w:rsidRPr="002A29D2">
        <w:rPr>
          <w:rFonts w:ascii="Times New Roman" w:hAnsi="Times New Roman"/>
          <w:b w:val="0"/>
          <w:caps w:val="0"/>
          <w:spacing w:val="-2"/>
        </w:rPr>
        <w:t>FEDERAL COMMUNICATIONS COMMISSION</w:t>
      </w:r>
    </w:p>
    <w:p w:rsidR="00B07300" w:rsidP="002A29D2" w14:paraId="3672EAB7" w14:textId="77777777">
      <w:pPr>
        <w:pStyle w:val="Heading1"/>
        <w:numPr>
          <w:ilvl w:val="0"/>
          <w:numId w:val="0"/>
        </w:numPr>
        <w:spacing w:after="0"/>
        <w:rPr>
          <w:rFonts w:ascii="Times New Roman" w:hAnsi="Times New Roman"/>
          <w:b w:val="0"/>
          <w:caps w:val="0"/>
          <w:spacing w:val="-2"/>
        </w:rPr>
      </w:pPr>
    </w:p>
    <w:p w:rsidR="002A29D2" w:rsidP="002A29D2" w14:paraId="71A344CC" w14:textId="77777777">
      <w:pPr>
        <w:pStyle w:val="ParaNum"/>
        <w:numPr>
          <w:ilvl w:val="0"/>
          <w:numId w:val="0"/>
        </w:numPr>
        <w:spacing w:after="0"/>
      </w:pPr>
    </w:p>
    <w:p w:rsidR="002A29D2" w:rsidP="002A29D2" w14:paraId="1F93298B" w14:textId="77777777">
      <w:pPr>
        <w:pStyle w:val="ParaNum"/>
        <w:numPr>
          <w:ilvl w:val="0"/>
          <w:numId w:val="0"/>
        </w:numPr>
        <w:spacing w:after="0"/>
      </w:pPr>
    </w:p>
    <w:p w:rsidR="002A29D2" w:rsidRPr="002A29D2" w:rsidP="002A29D2" w14:paraId="6BAD6E78" w14:textId="77777777">
      <w:pPr>
        <w:pStyle w:val="ParaNum"/>
        <w:numPr>
          <w:ilvl w:val="0"/>
          <w:numId w:val="0"/>
        </w:numPr>
        <w:spacing w:after="0"/>
      </w:pPr>
    </w:p>
    <w:p w:rsidR="00B07300" w:rsidRPr="002A29D2" w:rsidP="002A29D2" w14:paraId="7773DB8A" w14:textId="77777777">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581DC6">
        <w:rPr>
          <w:rFonts w:ascii="Times New Roman" w:hAnsi="Times New Roman"/>
          <w:b w:val="0"/>
          <w:caps w:val="0"/>
          <w:spacing w:val="-2"/>
        </w:rPr>
        <w:t>Donald Stockdale</w:t>
      </w:r>
      <w:r w:rsidRPr="002A29D2">
        <w:rPr>
          <w:rFonts w:ascii="Times New Roman" w:hAnsi="Times New Roman"/>
          <w:b w:val="0"/>
          <w:caps w:val="0"/>
          <w:spacing w:val="-2"/>
        </w:rPr>
        <w:t xml:space="preserve"> </w:t>
      </w:r>
    </w:p>
    <w:p w:rsidR="00B07300" w:rsidRPr="002A29D2" w:rsidP="00B07300" w14:paraId="32BA3758" w14:textId="77777777">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581DC6">
        <w:rPr>
          <w:rFonts w:ascii="Times New Roman" w:hAnsi="Times New Roman"/>
          <w:b w:val="0"/>
          <w:caps w:val="0"/>
          <w:spacing w:val="-2"/>
        </w:rPr>
        <w:t xml:space="preserve">Bureau Chief </w:t>
      </w:r>
    </w:p>
    <w:p w:rsidR="0060228B" w:rsidRPr="002A29D2" w:rsidP="002A29D2" w14:paraId="2CE9E856" w14:textId="77777777">
      <w:pPr>
        <w:pStyle w:val="Heading1"/>
        <w:numPr>
          <w:ilvl w:val="0"/>
          <w:numId w:val="0"/>
        </w:numPr>
        <w:spacing w:after="0"/>
        <w:rPr>
          <w:rFonts w:ascii="Times New Roman" w:hAnsi="Times New Roman"/>
          <w:b w:val="0"/>
          <w:i/>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581DC6">
        <w:rPr>
          <w:rFonts w:ascii="Times New Roman" w:hAnsi="Times New Roman"/>
          <w:b w:val="0"/>
          <w:caps w:val="0"/>
          <w:spacing w:val="-2"/>
        </w:rPr>
        <w:t>Wireless Telecommunications Bureau</w:t>
      </w:r>
    </w:p>
    <w:p w:rsidR="002E484C" w:rsidP="00E00E22" w14:paraId="2482FC04" w14:textId="77777777">
      <w:pPr>
        <w:pStyle w:val="Heading1"/>
        <w:numPr>
          <w:ilvl w:val="0"/>
          <w:numId w:val="0"/>
        </w:numPr>
      </w:pPr>
    </w:p>
    <w:sectPr>
      <w:headerReference w:type="default" r:id="rId4"/>
      <w:footerReference w:type="default" r:id="rId5"/>
      <w:headerReference w:type="first" r:id="rId6"/>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024815" w14:paraId="68173F4E" w14:textId="77777777">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5CEF9ED6" w14:textId="77777777">
    <w:pPr>
      <w:pStyle w:val="Header"/>
    </w:pPr>
    <w:r>
      <w:tab/>
      <w:t>Federal Communications Commission</w:t>
    </w:r>
    <w:r>
      <w:tab/>
      <w:t xml:space="preserve"> </w:t>
    </w:r>
  </w:p>
  <w:p w:rsidR="0060228B" w:rsidP="002A29D2" w14:paraId="6FAD5314" w14:textId="77777777">
    <w:pPr>
      <w:pStyle w:val="Header"/>
    </w:pPr>
    <w:r>
      <w:rPr>
        <w:noProof/>
      </w:rPr>
      <w:pict>
        <v:line id="Line 5" o:spid="_x0000_s2049" style="position:absolute;visibility:visible;z-index:251658240" from="0,1.75pt" to="468pt,1.75pt" o:allowincell="f" strokeweight="1.5pt"/>
      </w:pict>
    </w:r>
  </w:p>
  <w:p w:rsidR="0060228B" w:rsidP="002A29D2" w14:paraId="675910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7F95C27A" w14:textId="77777777">
    <w:pPr>
      <w:pStyle w:val="Header"/>
    </w:pPr>
    <w:r>
      <w:tab/>
    </w:r>
    <w:r w:rsidRPr="002A29D2">
      <w:t>Federal Communications Commission</w:t>
    </w:r>
    <w:r w:rsidRPr="002A29D2">
      <w:tab/>
    </w:r>
    <w:r w:rsidR="00F25801">
      <w:t xml:space="preserve"> </w:t>
    </w:r>
  </w:p>
  <w:p w:rsidR="0060228B" w:rsidP="002A29D2" w14:paraId="2F52C1A0" w14:textId="77777777">
    <w:pPr>
      <w:pStyle w:val="Header"/>
    </w:pPr>
    <w:r>
      <w:rPr>
        <w:noProof/>
      </w:rPr>
      <w:pict>
        <v:line id="Line 4" o:spid="_x0000_s2050" style="position:absolute;visibility:visible;z-index:251659264" from="0,1.75pt" to="468pt,1.75pt" o:allowincell="f"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36396"/>
    <w:multiLevelType w:val="hybridMultilevel"/>
    <w:tmpl w:val="ECAE930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1F720360"/>
    <w:multiLevelType w:val="hybridMultilevel"/>
    <w:tmpl w:val="5F3867A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1D04F1D"/>
    <w:multiLevelType w:val="hybridMultilevel"/>
    <w:tmpl w:val="0C5CA5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88530A5"/>
    <w:multiLevelType w:val="hybridMultilevel"/>
    <w:tmpl w:val="A33CC32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7">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0">
    <w:nsid w:val="718557BF"/>
    <w:multiLevelType w:val="hybridMultilevel"/>
    <w:tmpl w:val="2460F1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9"/>
  </w:num>
  <w:num w:numId="2">
    <w:abstractNumId w:val="31"/>
  </w:num>
  <w:num w:numId="3">
    <w:abstractNumId w:val="5"/>
  </w:num>
  <w:num w:numId="4">
    <w:abstractNumId w:val="23"/>
  </w:num>
  <w:num w:numId="5">
    <w:abstractNumId w:val="10"/>
  </w:num>
  <w:num w:numId="6">
    <w:abstractNumId w:val="27"/>
  </w:num>
  <w:num w:numId="7">
    <w:abstractNumId w:val="18"/>
  </w:num>
  <w:num w:numId="8">
    <w:abstractNumId w:val="11"/>
  </w:num>
  <w:num w:numId="9">
    <w:abstractNumId w:val="26"/>
  </w:num>
  <w:num w:numId="10">
    <w:abstractNumId w:val="16"/>
  </w:num>
  <w:num w:numId="11">
    <w:abstractNumId w:val="15"/>
  </w:num>
  <w:num w:numId="12">
    <w:abstractNumId w:val="12"/>
  </w:num>
  <w:num w:numId="13">
    <w:abstractNumId w:val="17"/>
  </w:num>
  <w:num w:numId="14">
    <w:abstractNumId w:val="24"/>
  </w:num>
  <w:num w:numId="15">
    <w:abstractNumId w:val="3"/>
  </w:num>
  <w:num w:numId="16">
    <w:abstractNumId w:val="4"/>
  </w:num>
  <w:num w:numId="17">
    <w:abstractNumId w:val="13"/>
  </w:num>
  <w:num w:numId="18">
    <w:abstractNumId w:val="2"/>
  </w:num>
  <w:num w:numId="19">
    <w:abstractNumId w:val="14"/>
  </w:num>
  <w:num w:numId="20">
    <w:abstractNumId w:val="19"/>
  </w:num>
  <w:num w:numId="21">
    <w:abstractNumId w:val="22"/>
  </w:num>
  <w:num w:numId="22">
    <w:abstractNumId w:val="7"/>
  </w:num>
  <w:num w:numId="23">
    <w:abstractNumId w:val="28"/>
  </w:num>
  <w:num w:numId="24">
    <w:abstractNumId w:val="9"/>
  </w:num>
  <w:num w:numId="25">
    <w:abstractNumId w:val="20"/>
  </w:num>
  <w:num w:numId="26">
    <w:abstractNumId w:val="8"/>
  </w:num>
  <w:num w:numId="27">
    <w:abstractNumId w:val="1"/>
  </w:num>
  <w:num w:numId="28">
    <w:abstractNumId w:val="21"/>
  </w:num>
  <w:num w:numId="29">
    <w:abstractNumId w:val="30"/>
  </w:num>
  <w:num w:numId="30">
    <w:abstractNumId w:val="25"/>
  </w:num>
  <w:num w:numId="31">
    <w:abstractNumId w:val="0"/>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28"/>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B1"/>
    <w:rsid w:val="0002147D"/>
    <w:rsid w:val="00024815"/>
    <w:rsid w:val="00060015"/>
    <w:rsid w:val="00075C9D"/>
    <w:rsid w:val="00091F7F"/>
    <w:rsid w:val="00096027"/>
    <w:rsid w:val="000A62E4"/>
    <w:rsid w:val="000D1E6D"/>
    <w:rsid w:val="000E52C1"/>
    <w:rsid w:val="000F5E5D"/>
    <w:rsid w:val="000F6C5F"/>
    <w:rsid w:val="00101887"/>
    <w:rsid w:val="00111E68"/>
    <w:rsid w:val="0011382D"/>
    <w:rsid w:val="00131E15"/>
    <w:rsid w:val="00163848"/>
    <w:rsid w:val="001A5FC1"/>
    <w:rsid w:val="001E704E"/>
    <w:rsid w:val="00207D82"/>
    <w:rsid w:val="00224270"/>
    <w:rsid w:val="0023333B"/>
    <w:rsid w:val="00250A3F"/>
    <w:rsid w:val="002A29D2"/>
    <w:rsid w:val="002A4E36"/>
    <w:rsid w:val="002B5C61"/>
    <w:rsid w:val="002E484C"/>
    <w:rsid w:val="002E6988"/>
    <w:rsid w:val="00396BCF"/>
    <w:rsid w:val="003D03E9"/>
    <w:rsid w:val="00400DE5"/>
    <w:rsid w:val="0041739B"/>
    <w:rsid w:val="00456E40"/>
    <w:rsid w:val="0048101D"/>
    <w:rsid w:val="00482860"/>
    <w:rsid w:val="00494264"/>
    <w:rsid w:val="00495B2A"/>
    <w:rsid w:val="004B21CD"/>
    <w:rsid w:val="00512FF2"/>
    <w:rsid w:val="00544365"/>
    <w:rsid w:val="00581DC6"/>
    <w:rsid w:val="005A09E4"/>
    <w:rsid w:val="005A7048"/>
    <w:rsid w:val="0060228B"/>
    <w:rsid w:val="0061432F"/>
    <w:rsid w:val="00637741"/>
    <w:rsid w:val="006463D4"/>
    <w:rsid w:val="00653213"/>
    <w:rsid w:val="006601DA"/>
    <w:rsid w:val="00697A90"/>
    <w:rsid w:val="006B728E"/>
    <w:rsid w:val="006D4DB4"/>
    <w:rsid w:val="006E279F"/>
    <w:rsid w:val="00743D52"/>
    <w:rsid w:val="00772D3F"/>
    <w:rsid w:val="00776D6F"/>
    <w:rsid w:val="007C188F"/>
    <w:rsid w:val="007C21AB"/>
    <w:rsid w:val="007F664F"/>
    <w:rsid w:val="00804458"/>
    <w:rsid w:val="0081312E"/>
    <w:rsid w:val="00856529"/>
    <w:rsid w:val="00875F5B"/>
    <w:rsid w:val="00880AC7"/>
    <w:rsid w:val="00891ADC"/>
    <w:rsid w:val="008D28B9"/>
    <w:rsid w:val="009175CA"/>
    <w:rsid w:val="00926114"/>
    <w:rsid w:val="009746A0"/>
    <w:rsid w:val="00987608"/>
    <w:rsid w:val="009C5E99"/>
    <w:rsid w:val="009F1304"/>
    <w:rsid w:val="00A013AB"/>
    <w:rsid w:val="00A51D4B"/>
    <w:rsid w:val="00A6678A"/>
    <w:rsid w:val="00A8352D"/>
    <w:rsid w:val="00AF5500"/>
    <w:rsid w:val="00B008B1"/>
    <w:rsid w:val="00B07300"/>
    <w:rsid w:val="00B21E6E"/>
    <w:rsid w:val="00B24389"/>
    <w:rsid w:val="00B732BF"/>
    <w:rsid w:val="00B90599"/>
    <w:rsid w:val="00BC4603"/>
    <w:rsid w:val="00BE39FE"/>
    <w:rsid w:val="00BE7A36"/>
    <w:rsid w:val="00C176CF"/>
    <w:rsid w:val="00C30911"/>
    <w:rsid w:val="00C3425D"/>
    <w:rsid w:val="00C63689"/>
    <w:rsid w:val="00CB47B5"/>
    <w:rsid w:val="00CD6F68"/>
    <w:rsid w:val="00D724E2"/>
    <w:rsid w:val="00D95C81"/>
    <w:rsid w:val="00DC2F55"/>
    <w:rsid w:val="00DE4013"/>
    <w:rsid w:val="00DE5C29"/>
    <w:rsid w:val="00E00E22"/>
    <w:rsid w:val="00E1019A"/>
    <w:rsid w:val="00E14958"/>
    <w:rsid w:val="00E35612"/>
    <w:rsid w:val="00E50CAD"/>
    <w:rsid w:val="00E60467"/>
    <w:rsid w:val="00E7550A"/>
    <w:rsid w:val="00E868BD"/>
    <w:rsid w:val="00E90C6B"/>
    <w:rsid w:val="00E928CC"/>
    <w:rsid w:val="00E94494"/>
    <w:rsid w:val="00E95A10"/>
    <w:rsid w:val="00EB1A95"/>
    <w:rsid w:val="00ED2EA8"/>
    <w:rsid w:val="00ED6874"/>
    <w:rsid w:val="00ED7D91"/>
    <w:rsid w:val="00F12522"/>
    <w:rsid w:val="00F25801"/>
    <w:rsid w:val="00F4257D"/>
    <w:rsid w:val="00F55FB5"/>
    <w:rsid w:val="00F938A0"/>
    <w:rsid w:val="00FB2F0B"/>
    <w:rsid w:val="00FD3F20"/>
    <w:rsid w:val="00FD7AC1"/>
    <w:rsid w:val="00FE2786"/>
    <w:rsid w:val="3E94DF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1C8D1B4-4983-49A5-80DD-CDEAB9BD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5D"/>
    <w:pPr>
      <w:widowControl w:val="0"/>
    </w:pPr>
    <w:rPr>
      <w:snapToGrid w:val="0"/>
      <w:kern w:val="28"/>
      <w:sz w:val="22"/>
    </w:rPr>
  </w:style>
  <w:style w:type="paragraph" w:styleId="Heading1">
    <w:name w:val="heading 1"/>
    <w:basedOn w:val="Normal"/>
    <w:next w:val="ParaNum"/>
    <w:qFormat/>
    <w:rsid w:val="000F5E5D"/>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5E5D"/>
    <w:pPr>
      <w:keepNext/>
      <w:numPr>
        <w:ilvl w:val="1"/>
        <w:numId w:val="24"/>
      </w:numPr>
      <w:spacing w:after="120"/>
      <w:outlineLvl w:val="1"/>
    </w:pPr>
    <w:rPr>
      <w:b/>
    </w:rPr>
  </w:style>
  <w:style w:type="paragraph" w:styleId="Heading3">
    <w:name w:val="heading 3"/>
    <w:basedOn w:val="Normal"/>
    <w:next w:val="ParaNum"/>
    <w:qFormat/>
    <w:rsid w:val="000F5E5D"/>
    <w:pPr>
      <w:keepNext/>
      <w:numPr>
        <w:ilvl w:val="2"/>
        <w:numId w:val="24"/>
      </w:numPr>
      <w:tabs>
        <w:tab w:val="left" w:pos="2160"/>
      </w:tabs>
      <w:spacing w:after="120"/>
      <w:outlineLvl w:val="2"/>
    </w:pPr>
    <w:rPr>
      <w:b/>
    </w:rPr>
  </w:style>
  <w:style w:type="paragraph" w:styleId="Heading4">
    <w:name w:val="heading 4"/>
    <w:basedOn w:val="Normal"/>
    <w:next w:val="ParaNum"/>
    <w:qFormat/>
    <w:rsid w:val="000F5E5D"/>
    <w:pPr>
      <w:keepNext/>
      <w:numPr>
        <w:ilvl w:val="3"/>
        <w:numId w:val="24"/>
      </w:numPr>
      <w:tabs>
        <w:tab w:val="left" w:pos="2880"/>
      </w:tabs>
      <w:spacing w:after="120"/>
      <w:outlineLvl w:val="3"/>
    </w:pPr>
    <w:rPr>
      <w:b/>
    </w:rPr>
  </w:style>
  <w:style w:type="paragraph" w:styleId="Heading5">
    <w:name w:val="heading 5"/>
    <w:basedOn w:val="Normal"/>
    <w:next w:val="ParaNum"/>
    <w:qFormat/>
    <w:rsid w:val="000F5E5D"/>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0F5E5D"/>
    <w:pPr>
      <w:numPr>
        <w:ilvl w:val="5"/>
        <w:numId w:val="24"/>
      </w:numPr>
      <w:tabs>
        <w:tab w:val="left" w:pos="4320"/>
      </w:tabs>
      <w:spacing w:after="120"/>
      <w:outlineLvl w:val="5"/>
    </w:pPr>
    <w:rPr>
      <w:b/>
    </w:rPr>
  </w:style>
  <w:style w:type="paragraph" w:styleId="Heading7">
    <w:name w:val="heading 7"/>
    <w:basedOn w:val="Normal"/>
    <w:next w:val="ParaNum"/>
    <w:qFormat/>
    <w:rsid w:val="000F5E5D"/>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0F5E5D"/>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0F5E5D"/>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5E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5E5D"/>
  </w:style>
  <w:style w:type="paragraph" w:styleId="Caption">
    <w:name w:val="caption"/>
    <w:basedOn w:val="Normal"/>
    <w:next w:val="Normal"/>
    <w:qFormat/>
    <w:rsid w:val="000F5E5D"/>
    <w:pPr>
      <w:spacing w:before="120" w:after="120"/>
    </w:pPr>
    <w:rPr>
      <w:b/>
    </w:rPr>
  </w:style>
  <w:style w:type="paragraph" w:customStyle="1" w:styleId="ParaNum">
    <w:name w:val="ParaNum"/>
    <w:basedOn w:val="Normal"/>
    <w:link w:val="ParaNumChar1"/>
    <w:rsid w:val="000F5E5D"/>
    <w:pPr>
      <w:numPr>
        <w:numId w:val="23"/>
      </w:numPr>
      <w:tabs>
        <w:tab w:val="clear" w:pos="1080"/>
        <w:tab w:val="num" w:pos="1440"/>
      </w:tabs>
      <w:spacing w:after="120"/>
    </w:p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0F5E5D"/>
    <w:pPr>
      <w:spacing w:after="120"/>
    </w:pPr>
  </w:style>
  <w:style w:type="paragraph" w:customStyle="1" w:styleId="Bullet">
    <w:name w:val="Bullet"/>
    <w:basedOn w:val="Normal"/>
    <w:rsid w:val="000F5E5D"/>
    <w:pPr>
      <w:tabs>
        <w:tab w:val="left" w:pos="2160"/>
      </w:tabs>
      <w:spacing w:after="220"/>
      <w:ind w:left="2160" w:hanging="720"/>
    </w:pPr>
  </w:style>
  <w:style w:type="paragraph" w:styleId="BlockText">
    <w:name w:val="Block Text"/>
    <w:basedOn w:val="Normal"/>
    <w:rsid w:val="000F5E5D"/>
    <w:pPr>
      <w:spacing w:after="240"/>
      <w:ind w:left="1440" w:right="1440"/>
    </w:pPr>
  </w:style>
  <w:style w:type="paragraph" w:customStyle="1" w:styleId="TableFormat">
    <w:name w:val="TableFormat"/>
    <w:basedOn w:val="Bullet"/>
    <w:rsid w:val="000F5E5D"/>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F5E5D"/>
    <w:rPr>
      <w:rFonts w:ascii="Times New Roman" w:hAnsi="Times New Roman"/>
      <w:dstrike w:val="0"/>
      <w:color w:val="auto"/>
      <w:sz w:val="20"/>
      <w:vertAlign w:val="superscript"/>
    </w:rPr>
  </w:style>
  <w:style w:type="paragraph" w:styleId="Header">
    <w:name w:val="header"/>
    <w:basedOn w:val="Normal"/>
    <w:autoRedefine/>
    <w:rsid w:val="000F5E5D"/>
    <w:pPr>
      <w:tabs>
        <w:tab w:val="center" w:pos="4680"/>
        <w:tab w:val="right" w:pos="9360"/>
      </w:tabs>
    </w:pPr>
    <w:rPr>
      <w:b/>
    </w:rPr>
  </w:style>
  <w:style w:type="paragraph" w:styleId="Footer">
    <w:name w:val="footer"/>
    <w:basedOn w:val="Normal"/>
    <w:rsid w:val="000F5E5D"/>
    <w:pPr>
      <w:tabs>
        <w:tab w:val="center" w:pos="4320"/>
        <w:tab w:val="right" w:pos="8640"/>
      </w:tabs>
    </w:pPr>
  </w:style>
  <w:style w:type="paragraph" w:styleId="TOC2">
    <w:name w:val="toc 2"/>
    <w:basedOn w:val="Normal"/>
    <w:next w:val="Normal"/>
    <w:semiHidden/>
    <w:rsid w:val="000F5E5D"/>
    <w:pPr>
      <w:tabs>
        <w:tab w:val="left" w:pos="720"/>
        <w:tab w:val="right" w:leader="dot" w:pos="9360"/>
      </w:tabs>
      <w:suppressAutoHyphens/>
      <w:ind w:left="720" w:right="720" w:hanging="360"/>
    </w:pPr>
    <w:rPr>
      <w:noProof/>
    </w:rPr>
  </w:style>
  <w:style w:type="paragraph" w:customStyle="1" w:styleId="NumberedList">
    <w:name w:val="Numbered List"/>
    <w:basedOn w:val="Normal"/>
    <w:rsid w:val="000F5E5D"/>
    <w:pPr>
      <w:numPr>
        <w:numId w:val="21"/>
      </w:numPr>
      <w:tabs>
        <w:tab w:val="clear" w:pos="1080"/>
      </w:tabs>
      <w:spacing w:after="220"/>
      <w:ind w:firstLine="0"/>
    </w:pPr>
  </w:style>
  <w:style w:type="paragraph" w:styleId="TOC1">
    <w:name w:val="toc 1"/>
    <w:basedOn w:val="Normal"/>
    <w:next w:val="Normal"/>
    <w:semiHidden/>
    <w:rsid w:val="000F5E5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0F5E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5E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5E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5E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5E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5E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5E5D"/>
    <w:pPr>
      <w:tabs>
        <w:tab w:val="left" w:pos="3240"/>
        <w:tab w:val="right" w:leader="dot" w:pos="9360"/>
      </w:tabs>
      <w:suppressAutoHyphens/>
      <w:ind w:left="3240" w:hanging="360"/>
    </w:pPr>
    <w:rPr>
      <w:noProof/>
    </w:rPr>
  </w:style>
  <w:style w:type="character" w:styleId="PageNumber">
    <w:name w:val="page number"/>
    <w:rsid w:val="000F5E5D"/>
  </w:style>
  <w:style w:type="paragraph" w:styleId="Title">
    <w:name w:val="Title"/>
    <w:basedOn w:val="Normal"/>
    <w:qFormat/>
    <w:rsid w:val="000F5E5D"/>
    <w:pPr>
      <w:jc w:val="center"/>
    </w:pPr>
    <w:rPr>
      <w:b/>
    </w:rPr>
  </w:style>
  <w:style w:type="paragraph" w:styleId="EndnoteText">
    <w:name w:val="endnote text"/>
    <w:basedOn w:val="Normal"/>
    <w:link w:val="EndnoteTextChar"/>
    <w:rsid w:val="000F5E5D"/>
    <w:rPr>
      <w:sz w:val="20"/>
    </w:rPr>
  </w:style>
  <w:style w:type="character" w:customStyle="1" w:styleId="EndnoteTextChar">
    <w:name w:val="Endnote Text Char"/>
    <w:link w:val="EndnoteText"/>
    <w:rsid w:val="000F5E5D"/>
    <w:rPr>
      <w:snapToGrid w:val="0"/>
      <w:kern w:val="28"/>
    </w:rPr>
  </w:style>
  <w:style w:type="character" w:styleId="EndnoteReference">
    <w:name w:val="endnote reference"/>
    <w:rsid w:val="000F5E5D"/>
    <w:rPr>
      <w:vertAlign w:val="superscript"/>
    </w:rPr>
  </w:style>
  <w:style w:type="paragraph" w:styleId="TOAHeading">
    <w:name w:val="toa heading"/>
    <w:basedOn w:val="Normal"/>
    <w:next w:val="Normal"/>
    <w:rsid w:val="000F5E5D"/>
    <w:pPr>
      <w:tabs>
        <w:tab w:val="right" w:pos="9360"/>
      </w:tabs>
      <w:suppressAutoHyphens/>
    </w:pPr>
  </w:style>
  <w:style w:type="character" w:customStyle="1" w:styleId="EquationCaption">
    <w:name w:val="_Equation Caption"/>
    <w:rsid w:val="000F5E5D"/>
  </w:style>
  <w:style w:type="paragraph" w:customStyle="1" w:styleId="Paratitle">
    <w:name w:val="Para title"/>
    <w:basedOn w:val="Normal"/>
    <w:rsid w:val="000F5E5D"/>
    <w:pPr>
      <w:tabs>
        <w:tab w:val="center" w:pos="9270"/>
      </w:tabs>
      <w:spacing w:after="240"/>
    </w:pPr>
    <w:rPr>
      <w:spacing w:val="-2"/>
    </w:rPr>
  </w:style>
  <w:style w:type="paragraph" w:customStyle="1" w:styleId="TOCTitle">
    <w:name w:val="TOC Title"/>
    <w:basedOn w:val="Normal"/>
    <w:rsid w:val="000F5E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5E5D"/>
    <w:pPr>
      <w:jc w:val="center"/>
    </w:pPr>
    <w:rPr>
      <w:rFonts w:ascii="Times New Roman Bold" w:hAnsi="Times New Roman Bold"/>
      <w:b/>
      <w:bCs/>
      <w:caps/>
      <w:szCs w:val="22"/>
    </w:rPr>
  </w:style>
  <w:style w:type="character" w:styleId="Hyperlink">
    <w:name w:val="Hyperlink"/>
    <w:rsid w:val="000F5E5D"/>
    <w:rPr>
      <w:color w:val="0000FF"/>
      <w:u w:val="single"/>
    </w:rPr>
  </w:style>
  <w:style w:type="paragraph" w:customStyle="1" w:styleId="Default">
    <w:name w:val="Default"/>
    <w:rsid w:val="00FD7AC1"/>
    <w:pPr>
      <w:autoSpaceDE w:val="0"/>
      <w:autoSpaceDN w:val="0"/>
      <w:adjustRightInd w:val="0"/>
    </w:pPr>
    <w:rPr>
      <w:color w:val="000000"/>
      <w:sz w:val="24"/>
      <w:szCs w:val="24"/>
    </w:rPr>
  </w:style>
  <w:style w:type="paragraph" w:styleId="BalloonText">
    <w:name w:val="Balloon Text"/>
    <w:basedOn w:val="Normal"/>
    <w:link w:val="BalloonTextChar"/>
    <w:rsid w:val="00F938A0"/>
    <w:rPr>
      <w:rFonts w:ascii="Segoe UI" w:hAnsi="Segoe UI" w:cs="Segoe UI"/>
      <w:sz w:val="18"/>
      <w:szCs w:val="18"/>
    </w:rPr>
  </w:style>
  <w:style w:type="character" w:customStyle="1" w:styleId="BalloonTextChar">
    <w:name w:val="Balloon Text Char"/>
    <w:link w:val="BalloonText"/>
    <w:rsid w:val="00F938A0"/>
    <w:rPr>
      <w:rFonts w:ascii="Segoe UI" w:hAnsi="Segoe UI" w:cs="Segoe UI"/>
      <w:snapToGrid w:val="0"/>
      <w:kern w:val="28"/>
      <w:sz w:val="18"/>
      <w:szCs w:val="18"/>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207D82"/>
  </w:style>
  <w:style w:type="character" w:customStyle="1" w:styleId="ParaNumChar1">
    <w:name w:val="ParaNum Char1"/>
    <w:link w:val="ParaNum"/>
    <w:rsid w:val="00653213"/>
    <w:rPr>
      <w:snapToGrid w:val="0"/>
      <w:kern w:val="28"/>
      <w:sz w:val="22"/>
    </w:rPr>
  </w:style>
  <w:style w:type="character" w:styleId="CommentReference">
    <w:name w:val="annotation reference"/>
    <w:semiHidden/>
    <w:unhideWhenUsed/>
    <w:rsid w:val="00E90C6B"/>
    <w:rPr>
      <w:sz w:val="16"/>
      <w:szCs w:val="16"/>
    </w:rPr>
  </w:style>
  <w:style w:type="paragraph" w:styleId="CommentText">
    <w:name w:val="annotation text"/>
    <w:basedOn w:val="Normal"/>
    <w:link w:val="CommentTextChar"/>
    <w:semiHidden/>
    <w:unhideWhenUsed/>
    <w:rsid w:val="00E90C6B"/>
    <w:rPr>
      <w:sz w:val="20"/>
    </w:rPr>
  </w:style>
  <w:style w:type="character" w:customStyle="1" w:styleId="CommentTextChar">
    <w:name w:val="Comment Text Char"/>
    <w:link w:val="CommentText"/>
    <w:semiHidden/>
    <w:rsid w:val="00E90C6B"/>
    <w:rPr>
      <w:snapToGrid w:val="0"/>
      <w:kern w:val="28"/>
    </w:rPr>
  </w:style>
  <w:style w:type="paragraph" w:styleId="CommentSubject">
    <w:name w:val="annotation subject"/>
    <w:basedOn w:val="CommentText"/>
    <w:next w:val="CommentText"/>
    <w:link w:val="CommentSubjectChar"/>
    <w:semiHidden/>
    <w:unhideWhenUsed/>
    <w:rsid w:val="00E90C6B"/>
    <w:rPr>
      <w:b/>
      <w:bCs/>
    </w:rPr>
  </w:style>
  <w:style w:type="character" w:customStyle="1" w:styleId="CommentSubjectChar">
    <w:name w:val="Comment Subject Char"/>
    <w:link w:val="CommentSubject"/>
    <w:semiHidden/>
    <w:rsid w:val="00E90C6B"/>
    <w:rPr>
      <w:b/>
      <w:bCs/>
      <w:snapToGrid w:val="0"/>
      <w:kern w:val="28"/>
    </w:rPr>
  </w:style>
  <w:style w:type="character" w:customStyle="1" w:styleId="UnresolvedMention">
    <w:name w:val="Unresolved Mention"/>
    <w:uiPriority w:val="99"/>
    <w:unhideWhenUsed/>
    <w:rsid w:val="00482860"/>
    <w:rPr>
      <w:color w:val="605E5C"/>
      <w:shd w:val="clear" w:color="auto" w:fill="E1DFDD"/>
    </w:rPr>
  </w:style>
  <w:style w:type="character" w:customStyle="1" w:styleId="Mention">
    <w:name w:val="Mention"/>
    <w:uiPriority w:val="99"/>
    <w:unhideWhenUsed/>
    <w:rsid w:val="00482860"/>
    <w:rPr>
      <w:color w:val="2B579A"/>
      <w:shd w:val="clear" w:color="auto" w:fill="E1DFDD"/>
    </w:rPr>
  </w:style>
  <w:style w:type="paragraph" w:styleId="Revision">
    <w:name w:val="Revision"/>
    <w:hidden/>
    <w:uiPriority w:val="99"/>
    <w:semiHidden/>
    <w:rsid w:val="00E356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