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24501463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41CD8" w14:paraId="2906F20C" w14:textId="77777777">
            <w:pPr>
              <w:spacing w:after="120"/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486400" cy="752475"/>
                  <wp:effectExtent l="0" t="0" r="0" b="9525"/>
                  <wp:docPr id="1" name="Picture 1" descr="Open Meeting Age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036608" name="Picture 1" descr="Open Meeting Age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4F8" w:rsidRPr="008A3940" w:rsidP="00BB4E29" w14:paraId="0A807AD9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7DF58B0E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 Wiquist, 202-418-0509</w:t>
            </w:r>
          </w:p>
          <w:p w:rsidR="007A44F8" w:rsidP="00BB4E29" w14:paraId="4FE48914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will.wiquist</w:t>
            </w:r>
            <w:r w:rsidRPr="00767BA3" w:rsidR="00767BA3">
              <w:rPr>
                <w:bCs/>
                <w:sz w:val="22"/>
                <w:szCs w:val="22"/>
              </w:rPr>
              <w:t xml:space="preserve">@fcc.gov </w:t>
            </w:r>
          </w:p>
          <w:p w:rsidR="00767BA3" w:rsidRPr="008A3940" w:rsidP="00BB4E29" w14:paraId="0D6B9AD0" w14:textId="77777777">
            <w:pPr>
              <w:rPr>
                <w:bCs/>
                <w:sz w:val="22"/>
                <w:szCs w:val="22"/>
              </w:rPr>
            </w:pPr>
          </w:p>
          <w:p w:rsidR="007A44F8" w:rsidP="00BB4E29" w14:paraId="741EC92B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641CD8" w:rsidP="00BB4E29" w14:paraId="5C186BE2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4E3F" w:rsidRPr="008D5BF2" w:rsidP="00A41840" w14:paraId="2FEFA148" w14:textId="55B8A5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B47F70">
              <w:rPr>
                <w:b/>
                <w:bCs/>
                <w:caps/>
              </w:rPr>
              <w:t xml:space="preserve">FCC </w:t>
            </w:r>
            <w:r w:rsidRPr="00B47F70" w:rsidR="00A41840">
              <w:rPr>
                <w:b/>
                <w:bCs/>
                <w:caps/>
              </w:rPr>
              <w:t xml:space="preserve">ANNOUNCES TENTATIVE </w:t>
            </w:r>
            <w:r w:rsidRPr="008D5BF2" w:rsidR="00A41840">
              <w:rPr>
                <w:b/>
                <w:bCs/>
                <w:caps/>
              </w:rPr>
              <w:t xml:space="preserve">AGENDA FOR </w:t>
            </w:r>
            <w:r w:rsidRPr="008D5BF2" w:rsidR="008D5BF2">
              <w:rPr>
                <w:b/>
                <w:bCs/>
                <w:caps/>
              </w:rPr>
              <w:t>APRIL</w:t>
            </w:r>
            <w:r w:rsidRPr="008D5BF2" w:rsidR="00A41840">
              <w:rPr>
                <w:b/>
                <w:bCs/>
                <w:caps/>
              </w:rPr>
              <w:t xml:space="preserve"> OPEN MEETING</w:t>
            </w:r>
          </w:p>
          <w:p w:rsidR="00F61155" w:rsidRPr="008D5BF2" w:rsidP="00BB4E29" w14:paraId="170B1B61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8D5BF2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8D5BF2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8D5BF2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A41840" w:rsidRPr="00A41840" w:rsidP="00A41840" w14:paraId="20261203" w14:textId="6CB39EF9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D5BF2">
              <w:rPr>
                <w:sz w:val="22"/>
                <w:szCs w:val="22"/>
              </w:rPr>
              <w:t xml:space="preserve">WASHINGTON, </w:t>
            </w:r>
            <w:r w:rsidRPr="008D5BF2" w:rsidR="008D5BF2">
              <w:rPr>
                <w:sz w:val="22"/>
                <w:szCs w:val="22"/>
              </w:rPr>
              <w:t>April 2</w:t>
            </w:r>
            <w:r w:rsidRPr="008D5BF2" w:rsidR="00D148D6">
              <w:rPr>
                <w:sz w:val="22"/>
                <w:szCs w:val="22"/>
              </w:rPr>
              <w:t>, 20</w:t>
            </w:r>
            <w:r w:rsidRPr="008D5BF2" w:rsidR="00B20477">
              <w:rPr>
                <w:sz w:val="22"/>
                <w:szCs w:val="22"/>
              </w:rPr>
              <w:t>20</w:t>
            </w:r>
            <w:r w:rsidRPr="008D5BF2" w:rsidR="00641CD8">
              <w:rPr>
                <w:sz w:val="22"/>
                <w:szCs w:val="22"/>
              </w:rPr>
              <w:t>—</w:t>
            </w:r>
            <w:r w:rsidRPr="008D5BF2">
              <w:rPr>
                <w:sz w:val="22"/>
                <w:szCs w:val="22"/>
              </w:rPr>
              <w:t xml:space="preserve">Federal Communications Commission Chairman </w:t>
            </w:r>
            <w:r w:rsidRPr="008D5BF2" w:rsidR="00A27E96">
              <w:rPr>
                <w:sz w:val="22"/>
                <w:szCs w:val="22"/>
              </w:rPr>
              <w:t xml:space="preserve">Ajit Pai </w:t>
            </w:r>
            <w:r w:rsidRPr="008D5BF2">
              <w:rPr>
                <w:sz w:val="22"/>
                <w:szCs w:val="22"/>
              </w:rPr>
              <w:t xml:space="preserve">announced that the items </w:t>
            </w:r>
            <w:r w:rsidRPr="008D5BF2" w:rsidR="000D7889">
              <w:rPr>
                <w:sz w:val="22"/>
                <w:szCs w:val="22"/>
              </w:rPr>
              <w:t xml:space="preserve">below </w:t>
            </w:r>
            <w:r w:rsidRPr="008D5BF2">
              <w:rPr>
                <w:sz w:val="22"/>
                <w:szCs w:val="22"/>
              </w:rPr>
              <w:t xml:space="preserve">are tentatively </w:t>
            </w:r>
            <w:bookmarkStart w:id="0" w:name="_GoBack"/>
            <w:bookmarkEnd w:id="0"/>
            <w:r w:rsidRPr="00886CC9">
              <w:rPr>
                <w:sz w:val="22"/>
                <w:szCs w:val="22"/>
              </w:rPr>
              <w:t xml:space="preserve">on the agenda for the </w:t>
            </w:r>
            <w:r w:rsidRPr="00886CC9" w:rsidR="008D5BF2">
              <w:rPr>
                <w:sz w:val="22"/>
                <w:szCs w:val="22"/>
              </w:rPr>
              <w:t>April</w:t>
            </w:r>
            <w:r w:rsidRPr="00886CC9">
              <w:rPr>
                <w:sz w:val="22"/>
                <w:szCs w:val="22"/>
              </w:rPr>
              <w:t xml:space="preserve"> Open Commission Meeting scheduled for </w:t>
            </w:r>
            <w:r w:rsidRPr="00886CC9" w:rsidR="00AA1F06">
              <w:rPr>
                <w:sz w:val="22"/>
                <w:szCs w:val="22"/>
              </w:rPr>
              <w:t xml:space="preserve">10:30 a.m. on </w:t>
            </w:r>
            <w:r w:rsidRPr="00886CC9" w:rsidR="00D148D6">
              <w:rPr>
                <w:sz w:val="22"/>
                <w:szCs w:val="22"/>
              </w:rPr>
              <w:t>Thursday,</w:t>
            </w:r>
            <w:r w:rsidRPr="008D5BF2" w:rsidR="00D148D6">
              <w:rPr>
                <w:sz w:val="22"/>
                <w:szCs w:val="22"/>
              </w:rPr>
              <w:t xml:space="preserve"> </w:t>
            </w:r>
            <w:r w:rsidRPr="008D5BF2" w:rsidR="008D5BF2">
              <w:rPr>
                <w:sz w:val="22"/>
                <w:szCs w:val="22"/>
              </w:rPr>
              <w:t>April 23</w:t>
            </w:r>
            <w:r w:rsidRPr="008D5BF2" w:rsidR="00D148D6">
              <w:rPr>
                <w:sz w:val="22"/>
                <w:szCs w:val="22"/>
              </w:rPr>
              <w:t>, 20</w:t>
            </w:r>
            <w:r w:rsidRPr="008D5BF2" w:rsidR="00B20477">
              <w:rPr>
                <w:sz w:val="22"/>
                <w:szCs w:val="22"/>
              </w:rPr>
              <w:t>20</w:t>
            </w:r>
            <w:r w:rsidRPr="008D5BF2">
              <w:rPr>
                <w:sz w:val="22"/>
                <w:szCs w:val="22"/>
              </w:rPr>
              <w:t>:</w:t>
            </w:r>
          </w:p>
          <w:p w:rsidR="008D5BF2" w:rsidP="003667E3" w14:paraId="6F8DB249" w14:textId="4E5BADB6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D73723" w:rsidP="00D73723" w14:paraId="2E24102F" w14:textId="7E256020">
            <w:pPr>
              <w:tabs>
                <w:tab w:val="left" w:pos="8640"/>
              </w:tabs>
              <w:rPr>
                <w:sz w:val="22"/>
                <w:szCs w:val="22"/>
              </w:rPr>
            </w:pPr>
            <w:bookmarkStart w:id="1" w:name="_Hlk36717077"/>
            <w:r w:rsidRPr="00D73723">
              <w:rPr>
                <w:b/>
                <w:bCs/>
                <w:sz w:val="22"/>
                <w:szCs w:val="22"/>
              </w:rPr>
              <w:t>Unlicensed Use of the 6 GHz</w:t>
            </w:r>
            <w:r w:rsidRPr="00D73723">
              <w:rPr>
                <w:sz w:val="22"/>
                <w:szCs w:val="22"/>
              </w:rPr>
              <w:t xml:space="preserve"> </w:t>
            </w:r>
            <w:r w:rsidRPr="00D73723">
              <w:rPr>
                <w:b/>
                <w:bCs/>
                <w:sz w:val="22"/>
                <w:szCs w:val="22"/>
              </w:rPr>
              <w:t>Band</w:t>
            </w:r>
            <w:r>
              <w:rPr>
                <w:sz w:val="22"/>
                <w:szCs w:val="22"/>
              </w:rPr>
              <w:t xml:space="preserve"> – </w:t>
            </w:r>
            <w:r w:rsidRPr="00D73723">
              <w:rPr>
                <w:sz w:val="22"/>
                <w:szCs w:val="22"/>
              </w:rPr>
              <w:t xml:space="preserve">The Commission will consider a Report and Order and Further Notice of Proposed Rulemaking that </w:t>
            </w:r>
            <w:r w:rsidR="00060F78">
              <w:rPr>
                <w:sz w:val="22"/>
                <w:szCs w:val="22"/>
              </w:rPr>
              <w:t xml:space="preserve">would </w:t>
            </w:r>
            <w:r w:rsidRPr="00D73723">
              <w:rPr>
                <w:sz w:val="22"/>
                <w:szCs w:val="22"/>
              </w:rPr>
              <w:t>promote</w:t>
            </w:r>
            <w:r w:rsidR="002D7B60">
              <w:rPr>
                <w:sz w:val="22"/>
                <w:szCs w:val="22"/>
              </w:rPr>
              <w:t xml:space="preserve"> innovation and</w:t>
            </w:r>
            <w:r w:rsidRPr="00D73723">
              <w:rPr>
                <w:sz w:val="22"/>
                <w:szCs w:val="22"/>
              </w:rPr>
              <w:t xml:space="preserve"> the use of mid-band spectrum for broadband by allowing </w:t>
            </w:r>
            <w:r w:rsidR="002D7B60">
              <w:rPr>
                <w:sz w:val="22"/>
                <w:szCs w:val="22"/>
              </w:rPr>
              <w:t>unlicensed operations in</w:t>
            </w:r>
            <w:r w:rsidRPr="00D73723">
              <w:rPr>
                <w:sz w:val="22"/>
                <w:szCs w:val="22"/>
              </w:rPr>
              <w:t xml:space="preserve"> the 5.925-7.125 GHz band while protecting existing licensed operations.</w:t>
            </w:r>
            <w:r>
              <w:rPr>
                <w:sz w:val="22"/>
                <w:szCs w:val="22"/>
              </w:rPr>
              <w:t xml:space="preserve">  (</w:t>
            </w:r>
            <w:r w:rsidRPr="00D73723">
              <w:rPr>
                <w:sz w:val="22"/>
                <w:szCs w:val="22"/>
              </w:rPr>
              <w:t>ET Docket No. 18-295; GN Docket No. 17-183)</w:t>
            </w:r>
          </w:p>
          <w:p w:rsidR="008D5BF2" w:rsidP="003667E3" w14:paraId="46B6013E" w14:textId="49ED31BA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D73723" w:rsidP="003667E3" w14:paraId="605EC55D" w14:textId="2A5828FC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D73723">
              <w:rPr>
                <w:b/>
                <w:bCs/>
                <w:sz w:val="22"/>
                <w:szCs w:val="22"/>
              </w:rPr>
              <w:t>Proposing the 5G Fund for Rural America</w:t>
            </w:r>
            <w:r w:rsidRPr="00D737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Pr="00D73723">
              <w:rPr>
                <w:sz w:val="22"/>
                <w:szCs w:val="22"/>
              </w:rPr>
              <w:t xml:space="preserve">The Commission will consider a Notice of Proposed Rulemaking and Order that </w:t>
            </w:r>
            <w:r w:rsidR="007608C4">
              <w:rPr>
                <w:sz w:val="22"/>
                <w:szCs w:val="22"/>
              </w:rPr>
              <w:t xml:space="preserve">would </w:t>
            </w:r>
            <w:r w:rsidRPr="00D73723">
              <w:rPr>
                <w:sz w:val="22"/>
                <w:szCs w:val="22"/>
              </w:rPr>
              <w:t xml:space="preserve">propose to establish the 5G </w:t>
            </w:r>
            <w:r w:rsidR="007608C4">
              <w:rPr>
                <w:sz w:val="22"/>
                <w:szCs w:val="22"/>
              </w:rPr>
              <w:t>F</w:t>
            </w:r>
            <w:r w:rsidRPr="00D73723">
              <w:rPr>
                <w:sz w:val="22"/>
                <w:szCs w:val="22"/>
              </w:rPr>
              <w:t xml:space="preserve">und for </w:t>
            </w:r>
            <w:r w:rsidR="007608C4">
              <w:rPr>
                <w:sz w:val="22"/>
                <w:szCs w:val="22"/>
              </w:rPr>
              <w:t>R</w:t>
            </w:r>
            <w:r w:rsidRPr="00D73723">
              <w:rPr>
                <w:sz w:val="22"/>
                <w:szCs w:val="22"/>
              </w:rPr>
              <w:t xml:space="preserve">ural America, awarding up to $9 billion in support over 10 years for </w:t>
            </w:r>
            <w:r w:rsidR="00217574">
              <w:rPr>
                <w:sz w:val="22"/>
                <w:szCs w:val="22"/>
              </w:rPr>
              <w:t xml:space="preserve">the </w:t>
            </w:r>
            <w:r w:rsidRPr="00D73723">
              <w:rPr>
                <w:sz w:val="22"/>
                <w:szCs w:val="22"/>
              </w:rPr>
              <w:t xml:space="preserve">deployment of 5G </w:t>
            </w:r>
            <w:r w:rsidR="00217574">
              <w:rPr>
                <w:sz w:val="22"/>
                <w:szCs w:val="22"/>
              </w:rPr>
              <w:t>mobile</w:t>
            </w:r>
            <w:r w:rsidRPr="00D73723">
              <w:rPr>
                <w:sz w:val="22"/>
                <w:szCs w:val="22"/>
              </w:rPr>
              <w:t xml:space="preserve"> broadband services in rural areas</w:t>
            </w:r>
            <w:r>
              <w:rPr>
                <w:sz w:val="22"/>
                <w:szCs w:val="22"/>
              </w:rPr>
              <w:t xml:space="preserve">. </w:t>
            </w:r>
            <w:r w:rsidRPr="00D73723">
              <w:rPr>
                <w:sz w:val="22"/>
                <w:szCs w:val="22"/>
              </w:rPr>
              <w:t xml:space="preserve"> (GN Docket No. 20-32)</w:t>
            </w:r>
          </w:p>
          <w:p w:rsidR="00D73723" w:rsidP="003667E3" w14:paraId="7EC736A5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8D5BF2" w:rsidRPr="008D5BF2" w:rsidP="008D5BF2" w14:paraId="12583F3D" w14:textId="06A11850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D5BF2">
              <w:rPr>
                <w:b/>
                <w:bCs/>
                <w:sz w:val="22"/>
                <w:szCs w:val="22"/>
              </w:rPr>
              <w:t>Mitigation of Orbital Debris in the New Space Age</w:t>
            </w:r>
            <w:r w:rsidRPr="008D5BF2">
              <w:rPr>
                <w:sz w:val="22"/>
                <w:szCs w:val="22"/>
              </w:rPr>
              <w:t xml:space="preserve"> – The Commission will consider a Report and Order and Further Notice of Proposed Rulemaking </w:t>
            </w:r>
            <w:r w:rsidR="00BB70B8">
              <w:rPr>
                <w:sz w:val="22"/>
                <w:szCs w:val="22"/>
              </w:rPr>
              <w:t xml:space="preserve">that would </w:t>
            </w:r>
            <w:r w:rsidRPr="008D5BF2">
              <w:rPr>
                <w:sz w:val="22"/>
                <w:szCs w:val="22"/>
              </w:rPr>
              <w:t>comprehensive</w:t>
            </w:r>
            <w:r w:rsidR="00F611BE">
              <w:rPr>
                <w:sz w:val="22"/>
                <w:szCs w:val="22"/>
              </w:rPr>
              <w:t>ly</w:t>
            </w:r>
            <w:r w:rsidRPr="008D5BF2">
              <w:rPr>
                <w:sz w:val="22"/>
                <w:szCs w:val="22"/>
              </w:rPr>
              <w:t xml:space="preserve"> update the Commission’s orbital debris rules for all Commission-authorized satellites. (IB Docket No. 18-313)</w:t>
            </w:r>
          </w:p>
          <w:p w:rsidR="008D5BF2" w:rsidRPr="008D5BF2" w:rsidP="008D5BF2" w14:paraId="5E7EC786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AA1F06" w:rsidP="008D5BF2" w14:paraId="09E139FD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D5BF2">
              <w:rPr>
                <w:b/>
                <w:bCs/>
                <w:sz w:val="22"/>
                <w:szCs w:val="22"/>
              </w:rPr>
              <w:t>ViaSat Market Access Request</w:t>
            </w:r>
            <w:r w:rsidRPr="008D5BF2">
              <w:rPr>
                <w:sz w:val="22"/>
                <w:szCs w:val="22"/>
              </w:rPr>
              <w:t xml:space="preserve"> – The Commission will consider an Order and Declaratory Ruling that would grant ViaSat’s request for U.S. market access to offer broadband services using a proposed constellation of non-geostationary orbit satellites. (IBFS File Nos. SAT-PDR-20161115-00120 and SAT-APL-20180927-00076)</w:t>
            </w:r>
          </w:p>
          <w:p w:rsidR="00AA1F06" w:rsidP="008D5BF2" w14:paraId="11D3D954" w14:textId="0745170E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AA1F06" w:rsidP="00AA1F06" w14:paraId="6EC20F51" w14:textId="66615AF1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AA1F06">
              <w:rPr>
                <w:b/>
                <w:bCs/>
                <w:sz w:val="22"/>
                <w:szCs w:val="22"/>
              </w:rPr>
              <w:t>Improving Low Power FM Radio</w:t>
            </w:r>
            <w:r w:rsidRPr="00AA1F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Pr="00AA1F06">
              <w:rPr>
                <w:sz w:val="22"/>
                <w:szCs w:val="22"/>
              </w:rPr>
              <w:t>The Commission will consider a Report and Order that would modernize the LPFM technical rules to provide more regulatory flexibility for licensees.</w:t>
            </w:r>
            <w:r>
              <w:rPr>
                <w:sz w:val="22"/>
                <w:szCs w:val="22"/>
              </w:rPr>
              <w:t xml:space="preserve">  </w:t>
            </w:r>
            <w:r w:rsidRPr="00AA1F06">
              <w:rPr>
                <w:sz w:val="22"/>
                <w:szCs w:val="22"/>
              </w:rPr>
              <w:t>(MB Docket No</w:t>
            </w:r>
            <w:r>
              <w:rPr>
                <w:sz w:val="22"/>
                <w:szCs w:val="22"/>
              </w:rPr>
              <w:t>s</w:t>
            </w:r>
            <w:r w:rsidRPr="00AA1F06">
              <w:rPr>
                <w:sz w:val="22"/>
                <w:szCs w:val="22"/>
              </w:rPr>
              <w:t>. 19-193</w:t>
            </w:r>
            <w:r>
              <w:rPr>
                <w:sz w:val="22"/>
                <w:szCs w:val="22"/>
              </w:rPr>
              <w:t>,</w:t>
            </w:r>
            <w:r w:rsidRPr="00AA1F06">
              <w:rPr>
                <w:sz w:val="22"/>
                <w:szCs w:val="22"/>
              </w:rPr>
              <w:t xml:space="preserve"> 17-105)</w:t>
            </w:r>
          </w:p>
          <w:p w:rsidR="00AA1F06" w:rsidRPr="00AA1F06" w:rsidP="00AA1F06" w14:paraId="40B537B4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3667E3" w:rsidP="00A41840" w14:paraId="2A707DB6" w14:textId="51C83E38">
            <w:pPr>
              <w:tabs>
                <w:tab w:val="left" w:pos="8640"/>
              </w:tabs>
              <w:rPr>
                <w:sz w:val="22"/>
                <w:szCs w:val="22"/>
              </w:rPr>
            </w:pPr>
            <w:bookmarkStart w:id="2" w:name="_Hlk36716494"/>
            <w:r>
              <w:rPr>
                <w:b/>
                <w:bCs/>
                <w:sz w:val="22"/>
                <w:szCs w:val="22"/>
              </w:rPr>
              <w:t xml:space="preserve">Expanding Availability of </w:t>
            </w:r>
            <w:r w:rsidRPr="00AA1F06" w:rsidR="00AA1F06">
              <w:rPr>
                <w:b/>
                <w:bCs/>
                <w:sz w:val="22"/>
                <w:szCs w:val="22"/>
              </w:rPr>
              <w:t>Video Description</w:t>
            </w:r>
            <w:r w:rsidR="00AA1F06">
              <w:rPr>
                <w:sz w:val="22"/>
                <w:szCs w:val="22"/>
              </w:rPr>
              <w:t xml:space="preserve"> – </w:t>
            </w:r>
            <w:r w:rsidRPr="00AA1F06" w:rsidR="00AA1F06">
              <w:rPr>
                <w:sz w:val="22"/>
                <w:szCs w:val="22"/>
              </w:rPr>
              <w:t xml:space="preserve">The Commission will consider a Notice of Proposed Rulemaking that would propose to expand video description requirements to 40 </w:t>
            </w:r>
            <w:r w:rsidR="00482631">
              <w:rPr>
                <w:sz w:val="22"/>
                <w:szCs w:val="22"/>
              </w:rPr>
              <w:t>additional local television</w:t>
            </w:r>
            <w:r w:rsidRPr="00AA1F06" w:rsidR="00482631">
              <w:rPr>
                <w:sz w:val="22"/>
                <w:szCs w:val="22"/>
              </w:rPr>
              <w:t xml:space="preserve"> </w:t>
            </w:r>
            <w:r w:rsidRPr="00AA1F06" w:rsidR="00AA1F06">
              <w:rPr>
                <w:sz w:val="22"/>
                <w:szCs w:val="22"/>
              </w:rPr>
              <w:t>markets over the next four years</w:t>
            </w:r>
            <w:r w:rsidR="00482631">
              <w:rPr>
                <w:sz w:val="22"/>
                <w:szCs w:val="22"/>
              </w:rPr>
              <w:t xml:space="preserve"> to increase the accessibility of </w:t>
            </w:r>
            <w:r w:rsidR="008E1DB3">
              <w:rPr>
                <w:sz w:val="22"/>
                <w:szCs w:val="22"/>
              </w:rPr>
              <w:t>programming to blind and visually impaired Americans</w:t>
            </w:r>
            <w:r w:rsidRPr="00AA1F06" w:rsidR="00AA1F06">
              <w:rPr>
                <w:sz w:val="22"/>
                <w:szCs w:val="22"/>
              </w:rPr>
              <w:t>.</w:t>
            </w:r>
            <w:r w:rsidR="00AA1F06">
              <w:rPr>
                <w:sz w:val="22"/>
                <w:szCs w:val="22"/>
              </w:rPr>
              <w:t xml:space="preserve"> </w:t>
            </w:r>
            <w:r w:rsidRPr="00AA1F06" w:rsidR="00AA1F06">
              <w:rPr>
                <w:sz w:val="22"/>
                <w:szCs w:val="22"/>
              </w:rPr>
              <w:t>(MB Docket No. 11-43)</w:t>
            </w:r>
            <w:bookmarkEnd w:id="2"/>
          </w:p>
          <w:bookmarkEnd w:id="1"/>
          <w:p w:rsidR="002819BC" w:rsidRPr="00A41840" w:rsidP="00A41840" w14:paraId="2C3587A7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D569AA" w:rsidRPr="00D569AA" w:rsidP="00D569AA" w14:paraId="1CA1D2DC" w14:textId="279EDC86">
            <w:pPr>
              <w:tabs>
                <w:tab w:val="left" w:pos="8640"/>
              </w:tabs>
              <w:rPr>
                <w:bCs/>
                <w:sz w:val="22"/>
                <w:szCs w:val="22"/>
              </w:rPr>
            </w:pPr>
            <w:r w:rsidRPr="00D569AA">
              <w:rPr>
                <w:bCs/>
                <w:sz w:val="22"/>
                <w:szCs w:val="22"/>
              </w:rPr>
              <w:t xml:space="preserve">Public Drafts of Meeting Items – The FCC publicly releases the draft text of each item expected to be considered at the next Open Commission Meeting.  One-page cover sheets are included in the public drafts to help summarize each item.  All these materials will be available on the FCC’s Open Meeting page: </w:t>
            </w:r>
            <w:hyperlink r:id="rId5" w:history="1">
              <w:r w:rsidRPr="000B4CA4">
                <w:rPr>
                  <w:rStyle w:val="Hyperlink"/>
                  <w:sz w:val="22"/>
                  <w:szCs w:val="22"/>
                </w:rPr>
                <w:t>www.fcc.gov/openmeeting</w:t>
              </w:r>
            </w:hyperlink>
            <w:r w:rsidRPr="00D569A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569AA">
              <w:rPr>
                <w:bCs/>
                <w:sz w:val="22"/>
                <w:szCs w:val="22"/>
              </w:rPr>
              <w:t xml:space="preserve"> </w:t>
            </w:r>
          </w:p>
          <w:p w:rsidR="00D569AA" w:rsidRPr="00D569AA" w:rsidP="00D569AA" w14:paraId="0722F673" w14:textId="77777777">
            <w:pPr>
              <w:tabs>
                <w:tab w:val="left" w:pos="8640"/>
              </w:tabs>
              <w:rPr>
                <w:bCs/>
                <w:sz w:val="22"/>
                <w:szCs w:val="22"/>
              </w:rPr>
            </w:pPr>
            <w:bookmarkStart w:id="3" w:name="_Hlk36656200"/>
          </w:p>
          <w:bookmarkEnd w:id="3"/>
          <w:p w:rsidR="00BD19E8" w:rsidRPr="008A3940" w:rsidP="00E349AA" w14:paraId="51267823" w14:textId="77777777">
            <w:pPr>
              <w:jc w:val="both"/>
              <w:rPr>
                <w:rStyle w:val="Hyperlink"/>
                <w:sz w:val="22"/>
                <w:szCs w:val="22"/>
              </w:rPr>
            </w:pPr>
          </w:p>
          <w:p w:rsidR="004F0F1F" w:rsidRPr="00641CD8" w:rsidP="00B47F70" w14:paraId="4BDBB520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641CD8">
              <w:rPr>
                <w:sz w:val="22"/>
                <w:szCs w:val="22"/>
              </w:rPr>
              <w:t>###</w:t>
            </w:r>
          </w:p>
          <w:p w:rsidR="00473441" w:rsidRPr="0080486B" w:rsidP="00473441" w14:paraId="46C0785F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>
              <w:rPr>
                <w:b/>
                <w:bCs/>
                <w:sz w:val="17"/>
                <w:szCs w:val="17"/>
              </w:rPr>
              <w:t xml:space="preserve">Media Relations: (202) 418-0500 / ASL: (844) 432-2275 / TTY: (888) 835-5322 / Twitter: @FCC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473441" w:rsidRPr="00EE0E90" w:rsidP="00473441" w14:paraId="60D6B5FE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644FE" w:rsidP="00473441" w14:paraId="2810B72D" w14:textId="77777777">
            <w:pPr>
              <w:ind w:left="360" w:right="498"/>
              <w:jc w:val="center"/>
              <w:rPr>
                <w:b/>
                <w:bCs/>
                <w:sz w:val="18"/>
                <w:szCs w:val="18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4F0F1F" w14:paraId="2F2AE80B" w14:textId="77777777">
      <w:pPr>
        <w:rPr>
          <w:b/>
          <w:bCs/>
          <w:sz w:val="32"/>
          <w:szCs w:val="32"/>
        </w:rPr>
      </w:pPr>
    </w:p>
    <w:p w:rsidR="00D24C3D" w14:paraId="1C14ABD1" w14:textId="77777777">
      <w:pPr>
        <w:rPr>
          <w:b/>
          <w:bCs/>
          <w:sz w:val="32"/>
          <w:szCs w:val="32"/>
        </w:rPr>
      </w:pPr>
    </w:p>
    <w:sectPr w:rsidSect="00641CD8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3F0905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77"/>
    <w:rsid w:val="0002500C"/>
    <w:rsid w:val="000311FC"/>
    <w:rsid w:val="00060F78"/>
    <w:rsid w:val="00081232"/>
    <w:rsid w:val="00091E65"/>
    <w:rsid w:val="00096D4A"/>
    <w:rsid w:val="000A38EA"/>
    <w:rsid w:val="000A56AE"/>
    <w:rsid w:val="000B4CA4"/>
    <w:rsid w:val="000C1E47"/>
    <w:rsid w:val="000C26F3"/>
    <w:rsid w:val="000D7889"/>
    <w:rsid w:val="0010799B"/>
    <w:rsid w:val="00117DB2"/>
    <w:rsid w:val="00123ED2"/>
    <w:rsid w:val="00125BE0"/>
    <w:rsid w:val="00142384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17574"/>
    <w:rsid w:val="00231C32"/>
    <w:rsid w:val="00240345"/>
    <w:rsid w:val="002421F0"/>
    <w:rsid w:val="00247274"/>
    <w:rsid w:val="00247401"/>
    <w:rsid w:val="00266966"/>
    <w:rsid w:val="002819BC"/>
    <w:rsid w:val="00294C0C"/>
    <w:rsid w:val="002A0934"/>
    <w:rsid w:val="002B1013"/>
    <w:rsid w:val="002D03E5"/>
    <w:rsid w:val="002D7B60"/>
    <w:rsid w:val="002E3F1D"/>
    <w:rsid w:val="002F31D0"/>
    <w:rsid w:val="00300359"/>
    <w:rsid w:val="0031773E"/>
    <w:rsid w:val="00323539"/>
    <w:rsid w:val="00347716"/>
    <w:rsid w:val="003506E1"/>
    <w:rsid w:val="003667E3"/>
    <w:rsid w:val="00380317"/>
    <w:rsid w:val="00385A93"/>
    <w:rsid w:val="003910F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441"/>
    <w:rsid w:val="00473E9C"/>
    <w:rsid w:val="00480099"/>
    <w:rsid w:val="00482631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407"/>
    <w:rsid w:val="005A7972"/>
    <w:rsid w:val="005B17E7"/>
    <w:rsid w:val="005B2643"/>
    <w:rsid w:val="005B578D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1CD8"/>
    <w:rsid w:val="00644E3D"/>
    <w:rsid w:val="00651B9E"/>
    <w:rsid w:val="00652019"/>
    <w:rsid w:val="00653A2D"/>
    <w:rsid w:val="00657EC9"/>
    <w:rsid w:val="00665633"/>
    <w:rsid w:val="00674C86"/>
    <w:rsid w:val="0068015E"/>
    <w:rsid w:val="006861AB"/>
    <w:rsid w:val="00686B89"/>
    <w:rsid w:val="00694685"/>
    <w:rsid w:val="006A2FC5"/>
    <w:rsid w:val="006A7D75"/>
    <w:rsid w:val="006B0A70"/>
    <w:rsid w:val="006B606A"/>
    <w:rsid w:val="006C2893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608C4"/>
    <w:rsid w:val="00767BA3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65EAA"/>
    <w:rsid w:val="008728F5"/>
    <w:rsid w:val="008824C2"/>
    <w:rsid w:val="00886CC9"/>
    <w:rsid w:val="008960E4"/>
    <w:rsid w:val="008A3940"/>
    <w:rsid w:val="008B13C9"/>
    <w:rsid w:val="008C225C"/>
    <w:rsid w:val="008C248C"/>
    <w:rsid w:val="008C5432"/>
    <w:rsid w:val="008C7BF1"/>
    <w:rsid w:val="008D00D6"/>
    <w:rsid w:val="008D4D00"/>
    <w:rsid w:val="008D4E5E"/>
    <w:rsid w:val="008D5BF2"/>
    <w:rsid w:val="008D7ABD"/>
    <w:rsid w:val="008E1DB3"/>
    <w:rsid w:val="008E55A2"/>
    <w:rsid w:val="008F1609"/>
    <w:rsid w:val="008F78D8"/>
    <w:rsid w:val="00902B59"/>
    <w:rsid w:val="00922D85"/>
    <w:rsid w:val="00961620"/>
    <w:rsid w:val="009734B6"/>
    <w:rsid w:val="0098096F"/>
    <w:rsid w:val="0098437A"/>
    <w:rsid w:val="00986C92"/>
    <w:rsid w:val="00993C47"/>
    <w:rsid w:val="009A5E3A"/>
    <w:rsid w:val="009B4B16"/>
    <w:rsid w:val="009E54A1"/>
    <w:rsid w:val="009F4E25"/>
    <w:rsid w:val="009F5B1F"/>
    <w:rsid w:val="00A27E96"/>
    <w:rsid w:val="00A35DFD"/>
    <w:rsid w:val="00A41840"/>
    <w:rsid w:val="00A702DF"/>
    <w:rsid w:val="00A775A3"/>
    <w:rsid w:val="00A81B5B"/>
    <w:rsid w:val="00A82FAD"/>
    <w:rsid w:val="00A9673A"/>
    <w:rsid w:val="00A96EF2"/>
    <w:rsid w:val="00AA15BF"/>
    <w:rsid w:val="00AA1F06"/>
    <w:rsid w:val="00AA3AB9"/>
    <w:rsid w:val="00AA5C35"/>
    <w:rsid w:val="00AA5ED9"/>
    <w:rsid w:val="00AC4E0E"/>
    <w:rsid w:val="00AC517B"/>
    <w:rsid w:val="00AE4A3A"/>
    <w:rsid w:val="00AF051B"/>
    <w:rsid w:val="00B03497"/>
    <w:rsid w:val="00B037A2"/>
    <w:rsid w:val="00B03974"/>
    <w:rsid w:val="00B20477"/>
    <w:rsid w:val="00B31870"/>
    <w:rsid w:val="00B35EE2"/>
    <w:rsid w:val="00B36DEF"/>
    <w:rsid w:val="00B47F70"/>
    <w:rsid w:val="00B57131"/>
    <w:rsid w:val="00B62F2C"/>
    <w:rsid w:val="00B727C9"/>
    <w:rsid w:val="00B735C8"/>
    <w:rsid w:val="00B74626"/>
    <w:rsid w:val="00B767E1"/>
    <w:rsid w:val="00B76A63"/>
    <w:rsid w:val="00BA6350"/>
    <w:rsid w:val="00BB4E29"/>
    <w:rsid w:val="00BB70B8"/>
    <w:rsid w:val="00BB74C9"/>
    <w:rsid w:val="00BC3AB6"/>
    <w:rsid w:val="00BD19E8"/>
    <w:rsid w:val="00BD4273"/>
    <w:rsid w:val="00C26DBB"/>
    <w:rsid w:val="00C432E4"/>
    <w:rsid w:val="00C70C26"/>
    <w:rsid w:val="00C72001"/>
    <w:rsid w:val="00C772B7"/>
    <w:rsid w:val="00C80347"/>
    <w:rsid w:val="00CB7C1A"/>
    <w:rsid w:val="00CC5E08"/>
    <w:rsid w:val="00CF6860"/>
    <w:rsid w:val="00D02AC6"/>
    <w:rsid w:val="00D03F0C"/>
    <w:rsid w:val="00D04312"/>
    <w:rsid w:val="00D148D6"/>
    <w:rsid w:val="00D16A7F"/>
    <w:rsid w:val="00D16AD2"/>
    <w:rsid w:val="00D22596"/>
    <w:rsid w:val="00D22691"/>
    <w:rsid w:val="00D24C3D"/>
    <w:rsid w:val="00D452E2"/>
    <w:rsid w:val="00D46CB1"/>
    <w:rsid w:val="00D569AA"/>
    <w:rsid w:val="00D723F0"/>
    <w:rsid w:val="00D73723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349AA"/>
    <w:rsid w:val="00E34E3F"/>
    <w:rsid w:val="00E41390"/>
    <w:rsid w:val="00E41CA0"/>
    <w:rsid w:val="00E4366B"/>
    <w:rsid w:val="00E50A4A"/>
    <w:rsid w:val="00E606DE"/>
    <w:rsid w:val="00E644FE"/>
    <w:rsid w:val="00E72733"/>
    <w:rsid w:val="00E742FA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611BE"/>
    <w:rsid w:val="00F708E3"/>
    <w:rsid w:val="00F76561"/>
    <w:rsid w:val="00F84736"/>
    <w:rsid w:val="00F90917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9A6DD3E-8C31-4C82-8C6B-E6B26E3F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8C22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C225C"/>
  </w:style>
  <w:style w:type="character" w:styleId="FootnoteReference">
    <w:name w:val="footnote reference"/>
    <w:rsid w:val="008C225C"/>
    <w:rPr>
      <w:vertAlign w:val="superscript"/>
    </w:rPr>
  </w:style>
  <w:style w:type="table" w:styleId="TableGrid">
    <w:name w:val="Table Grid"/>
    <w:basedOn w:val="TableNormal"/>
    <w:rsid w:val="00E34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69A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B20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20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www.fcc.gov/openmeeting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