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A53F3">
      <w:pPr>
        <w:pStyle w:val="TOAHeading"/>
        <w:autoSpaceDE w:val="0"/>
        <w:autoSpaceDN w:val="0"/>
        <w:jc w:val="right"/>
        <w:rPr>
          <w:rFonts w:ascii="Times New Roman" w:eastAsia="Times New Roman" w:hAnsi="Times New Roman"/>
        </w:rPr>
      </w:pPr>
      <w:bookmarkStart w:id="0" w:name="_GoBack"/>
      <w:bookmarkEnd w:id="0"/>
      <w:r>
        <w:rPr>
          <w:rFonts w:ascii="Times New Roman" w:eastAsia="Times New Roman" w:hAnsi="Times New Roman"/>
        </w:rPr>
        <w:t>April 16, 2020</w:t>
      </w:r>
    </w:p>
    <w:p w:rsidR="007A53F3">
      <w:pPr>
        <w:tabs>
          <w:tab w:val="left" w:pos="-720"/>
        </w:tabs>
        <w:jc w:val="center"/>
        <w:rPr>
          <w:rFonts w:ascii="Times New Roman" w:eastAsia="Times New Roman" w:hAnsi="Times New Roman"/>
        </w:rPr>
      </w:pPr>
    </w:p>
    <w:p w:rsidR="007A53F3">
      <w:pPr>
        <w:pStyle w:val="NewHeading"/>
        <w:autoSpaceDE w:val="0"/>
        <w:autoSpaceDN w:val="0"/>
        <w:rPr>
          <w:rFonts w:ascii="Times New Roman" w:hAnsi="Times New Roman"/>
        </w:rPr>
      </w:pPr>
      <w:r>
        <w:rPr>
          <w:rFonts w:ascii="Times New Roman" w:hAnsi="Times New Roman"/>
        </w:rPr>
        <w:t>FCC TO HOLD OPEN COMMISSION MEETING</w:t>
      </w:r>
    </w:p>
    <w:p w:rsidR="007A53F3">
      <w:pPr>
        <w:pStyle w:val="NewHeading"/>
        <w:autoSpaceDE w:val="0"/>
        <w:autoSpaceDN w:val="0"/>
        <w:rPr>
          <w:rFonts w:ascii="Times New Roman" w:hAnsi="Times New Roman"/>
        </w:rPr>
      </w:pPr>
      <w:r>
        <w:rPr>
          <w:rFonts w:ascii="Times New Roman" w:hAnsi="Times New Roman"/>
        </w:rPr>
        <w:t>BY TELECONFERENCE</w:t>
      </w:r>
    </w:p>
    <w:p w:rsidR="007A53F3">
      <w:pPr>
        <w:pStyle w:val="NewHeading"/>
        <w:autoSpaceDE w:val="0"/>
        <w:autoSpaceDN w:val="0"/>
        <w:rPr>
          <w:rFonts w:ascii="Times New Roman" w:hAnsi="Times New Roman"/>
        </w:rPr>
      </w:pPr>
      <w:r>
        <w:rPr>
          <w:rFonts w:ascii="Times New Roman" w:hAnsi="Times New Roman"/>
        </w:rPr>
        <w:t>THURSDAY, APRIL 23, 2020</w:t>
      </w:r>
    </w:p>
    <w:p w:rsidR="007A53F3">
      <w:pPr>
        <w:rPr>
          <w:rFonts w:ascii="Times New Roman" w:eastAsia="Times New Roman" w:hAnsi="Times New Roman"/>
        </w:rPr>
      </w:pPr>
    </w:p>
    <w:p w:rsidR="007A53F3">
      <w:pPr>
        <w:pStyle w:val="BodyText"/>
        <w:autoSpaceDE w:val="0"/>
        <w:autoSpaceDN w:val="0"/>
        <w:rPr>
          <w:sz w:val="24"/>
          <w:szCs w:val="24"/>
        </w:rPr>
      </w:pPr>
      <w:r>
        <w:rPr>
          <w:sz w:val="24"/>
          <w:szCs w:val="24"/>
        </w:rPr>
        <w:t xml:space="preserve">The Federal Communications Commission will hold an Open Meeting on Thursday, April 23, 2020, which is scheduled to commence at 10:30 a.m.  Due to the current COVID-19 pandemic and related agency telework and headquarters access policies, this meeting will </w:t>
      </w:r>
      <w:r>
        <w:rPr>
          <w:sz w:val="24"/>
          <w:szCs w:val="24"/>
        </w:rPr>
        <w:t xml:space="preserve">be in a wholly electronic format and </w:t>
      </w:r>
      <w:r>
        <w:rPr>
          <w:sz w:val="24"/>
          <w:szCs w:val="24"/>
        </w:rPr>
        <w:t xml:space="preserve">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Because of these special circumstances, </w:t>
      </w:r>
      <w:r>
        <w:rPr>
          <w:sz w:val="24"/>
          <w:szCs w:val="24"/>
        </w:rPr>
        <w:t xml:space="preserve">the first three items on the agenda </w:t>
      </w:r>
      <w:r>
        <w:rPr>
          <w:sz w:val="24"/>
          <w:szCs w:val="24"/>
        </w:rPr>
        <w:t>will</w:t>
      </w:r>
      <w:r>
        <w:rPr>
          <w:sz w:val="24"/>
          <w:szCs w:val="24"/>
        </w:rPr>
        <w:t xml:space="preserve"> be considered by the Commission during </w:t>
      </w:r>
      <w:r>
        <w:rPr>
          <w:sz w:val="24"/>
          <w:szCs w:val="24"/>
        </w:rPr>
        <w:t>the</w:t>
      </w:r>
      <w:r>
        <w:rPr>
          <w:sz w:val="24"/>
          <w:szCs w:val="24"/>
        </w:rPr>
        <w:t xml:space="preserve"> teleconference meeting</w:t>
      </w:r>
      <w:r>
        <w:rPr>
          <w:sz w:val="24"/>
          <w:szCs w:val="24"/>
        </w:rPr>
        <w:t xml:space="preserve"> </w:t>
      </w:r>
      <w:r>
        <w:rPr>
          <w:sz w:val="24"/>
          <w:szCs w:val="24"/>
        </w:rPr>
        <w:t xml:space="preserve">while the other </w:t>
      </w:r>
      <w:r>
        <w:rPr>
          <w:sz w:val="24"/>
          <w:szCs w:val="24"/>
        </w:rPr>
        <w:t xml:space="preserve">items listed below </w:t>
      </w:r>
      <w:r>
        <w:rPr>
          <w:sz w:val="24"/>
          <w:szCs w:val="24"/>
        </w:rPr>
        <w:t xml:space="preserve">are expected to be </w:t>
      </w:r>
      <w:r>
        <w:rPr>
          <w:sz w:val="24"/>
          <w:szCs w:val="24"/>
        </w:rPr>
        <w:t xml:space="preserve">voted on circulation prior to the meeting. </w:t>
      </w:r>
      <w:bookmarkStart w:id="1" w:name="_Hlk35871337"/>
      <w:bookmarkEnd w:id="1"/>
    </w:p>
    <w:p w:rsidR="007A53F3">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ENGINEERING &amp; TECHNOLOGY</w:t>
            </w:r>
          </w:p>
        </w:tc>
        <w:tc>
          <w:tcPr>
            <w:tcW w:w="5220" w:type="dxa"/>
          </w:tcPr>
          <w:p w:rsidR="007A53F3">
            <w:pPr>
              <w:autoSpaceDE/>
              <w:spacing w:before="90" w:after="54"/>
              <w:rPr>
                <w:rFonts w:ascii="Times New Roman" w:eastAsia="Times New Roman" w:hAnsi="Times New Roman"/>
              </w:rPr>
            </w:pPr>
            <w:bookmarkStart w:id="2" w:name="OLE_LINK3"/>
            <w:r>
              <w:rPr>
                <w:rFonts w:ascii="Times New Roman" w:eastAsia="Times New Roman" w:hAnsi="Times New Roman"/>
                <w:b/>
              </w:rPr>
              <w:t>TITL</w:t>
            </w:r>
            <w:bookmarkStart w:id="3" w:name="OLE_LINK2"/>
            <w:r>
              <w:rPr>
                <w:rFonts w:ascii="Times New Roman" w:eastAsia="Times New Roman" w:hAnsi="Times New Roman"/>
                <w:b/>
              </w:rPr>
              <w:t>E:</w:t>
            </w:r>
            <w:bookmarkEnd w:id="3"/>
            <w:r>
              <w:rPr>
                <w:rFonts w:ascii="Times New Roman" w:eastAsia="Times New Roman" w:hAnsi="Times New Roman"/>
                <w:b/>
              </w:rPr>
              <w:t xml:space="preserve">  </w:t>
            </w:r>
            <w:r>
              <w:rPr>
                <w:rFonts w:ascii="Times New Roman" w:eastAsia="Times New Roman" w:hAnsi="Times New Roman"/>
              </w:rPr>
              <w:t>Unlicensed Use of the 6 GHz Band (ET Docket No. 18-295); Expanding Flexible Use in Mid-Band Spectrum Between 3.7 and 24 GHz (GN Docket No. 17-183)</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Pr>
                <w:rFonts w:ascii="Times New Roman" w:eastAsia="Times New Roman" w:hAnsi="Times New Roman"/>
              </w:rPr>
              <w:t>The Commission will consider a Report and Order and Further Notice of Proposed Rulemaking that would promote innovation and the use of mid-band spectrum for broadband by allowing unlicensed operations in the 5.925-7.125 GHz band while protecting existing l</w:t>
            </w:r>
            <w:r>
              <w:rPr>
                <w:rFonts w:ascii="Times New Roman" w:eastAsia="Times New Roman" w:hAnsi="Times New Roman"/>
              </w:rPr>
              <w:t>icensed operations.</w:t>
            </w:r>
            <w:bookmarkEnd w:id="2"/>
          </w:p>
          <w:p w:rsidR="007A53F3">
            <w:pPr>
              <w:autoSpaceDE/>
              <w:spacing w:before="90" w:after="54"/>
              <w:jc w:val="both"/>
              <w:rPr>
                <w:rFonts w:ascii="Times New Roman" w:eastAsia="Times New Roman" w:hAnsi="Times New Roman"/>
              </w:rPr>
            </w:pP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p w:rsidR="007A53F3">
            <w:pPr>
              <w:autoSpaceDE/>
              <w:autoSpaceDN/>
              <w:spacing w:before="90" w:after="54"/>
              <w:jc w:val="center"/>
              <w:rPr>
                <w:rFonts w:ascii="Times New Roman" w:eastAsia="Times New Roman" w:hAnsi="Times New Roman"/>
                <w:b/>
              </w:rPr>
            </w:pPr>
          </w:p>
        </w:tc>
        <w:tc>
          <w:tcPr>
            <w:tcW w:w="5220" w:type="dxa"/>
          </w:tcPr>
          <w:p w:rsidR="007A53F3">
            <w:pPr>
              <w:autoSpaceDE/>
              <w:spacing w:before="90" w:after="54"/>
              <w:rPr>
                <w:rFonts w:ascii="Times New Roman" w:eastAsia="Times New Roman" w:hAnsi="Times New Roman"/>
              </w:rPr>
            </w:pPr>
            <w:r>
              <w:rPr>
                <w:rFonts w:ascii="Times New Roman" w:eastAsia="Times New Roman" w:hAnsi="Times New Roman"/>
                <w:b/>
              </w:rPr>
              <w:t xml:space="preserve">TITLE:  </w:t>
            </w:r>
            <w:r>
              <w:rPr>
                <w:rFonts w:ascii="Times New Roman" w:eastAsia="Times New Roman" w:hAnsi="Times New Roman"/>
                <w:spacing w:val="-2"/>
                <w:sz w:val="22"/>
                <w:szCs w:val="22"/>
              </w:rPr>
              <w:t xml:space="preserve"> </w:t>
            </w:r>
            <w:r>
              <w:rPr>
                <w:rFonts w:ascii="Times New Roman" w:eastAsia="Times New Roman" w:hAnsi="Times New Roman"/>
              </w:rPr>
              <w:t>Establishing a 5G Fund for Rural America (GN Docket No. 20-32)</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rPr>
              <w:t xml:space="preserve">The Commission will consider a Notice of Proposed Rulemaking and Order that </w:t>
            </w:r>
            <w:r>
              <w:rPr>
                <w:rFonts w:ascii="Times New Roman" w:eastAsia="Times New Roman" w:hAnsi="Times New Roman"/>
              </w:rPr>
              <w:t>would propose to establish the 5G Fund</w:t>
            </w:r>
            <w:r>
              <w:rPr>
                <w:rFonts w:ascii="Times New Roman" w:eastAsia="Times New Roman" w:hAnsi="Times New Roman"/>
              </w:rPr>
              <w:t xml:space="preserve"> to</w:t>
            </w:r>
            <w:r>
              <w:rPr>
                <w:rFonts w:ascii="Times New Roman" w:eastAsia="Times New Roman" w:hAnsi="Times New Roman"/>
              </w:rPr>
              <w:t xml:space="preserve"> award</w:t>
            </w:r>
            <w:r>
              <w:rPr>
                <w:rFonts w:ascii="Times New Roman" w:eastAsia="Times New Roman" w:hAnsi="Times New Roman"/>
              </w:rPr>
              <w:t xml:space="preserve"> up to $9 billion in support </w:t>
            </w:r>
            <w:r>
              <w:rPr>
                <w:rFonts w:ascii="Times New Roman" w:eastAsia="Times New Roman" w:hAnsi="Times New Roman"/>
              </w:rPr>
              <w:t>in two phases</w:t>
            </w:r>
            <w:r>
              <w:rPr>
                <w:rFonts w:ascii="Times New Roman" w:eastAsia="Times New Roman" w:hAnsi="Times New Roman"/>
              </w:rPr>
              <w:t xml:space="preserve"> for the deployment of 5G mobile broadband services in rural areas. </w:t>
            </w:r>
          </w:p>
          <w:p w:rsidR="007A53F3">
            <w:pPr>
              <w:autoSpaceDE/>
              <w:spacing w:before="90" w:after="54"/>
              <w:jc w:val="both"/>
              <w:rPr>
                <w:rFonts w:ascii="Times New Roman" w:eastAsia="Times New Roman" w:hAnsi="Times New Roman"/>
                <w:b/>
              </w:rPr>
            </w:pP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INTERNATIONAL</w:t>
            </w:r>
          </w:p>
        </w:tc>
        <w:tc>
          <w:tcPr>
            <w:tcW w:w="5220" w:type="dxa"/>
          </w:tcPr>
          <w:p w:rsidR="007A53F3">
            <w:pPr>
              <w:autoSpaceDE/>
              <w:spacing w:before="90" w:after="54"/>
              <w:rPr>
                <w:rFonts w:ascii="Times New Roman" w:eastAsia="Times New Roman" w:hAnsi="Times New Roman"/>
              </w:rPr>
            </w:pPr>
            <w:r>
              <w:rPr>
                <w:rFonts w:ascii="Times New Roman" w:eastAsia="Times New Roman" w:hAnsi="Times New Roman"/>
                <w:b/>
              </w:rPr>
              <w:t xml:space="preserve">TITLE:  </w:t>
            </w:r>
            <w:r>
              <w:rPr>
                <w:rFonts w:ascii="Times New Roman" w:eastAsia="Times New Roman" w:hAnsi="Times New Roman"/>
                <w:spacing w:val="-2"/>
                <w:sz w:val="22"/>
                <w:szCs w:val="22"/>
              </w:rPr>
              <w:t xml:space="preserve"> </w:t>
            </w:r>
            <w:r>
              <w:rPr>
                <w:rFonts w:ascii="Times New Roman" w:eastAsia="Times New Roman" w:hAnsi="Times New Roman"/>
              </w:rPr>
              <w:t>Mitigation of Orbital Debris in the New Space Age (IB Docket No. 18-313)</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Pr>
                <w:rFonts w:ascii="Times New Roman" w:eastAsia="Times New Roman" w:hAnsi="Times New Roman"/>
              </w:rPr>
              <w:t>The Commission will consider a Report and Order and Further Notice of Proposed Rulemaking that would comprehensively update the Commission’s orbital debris rules for all Co</w:t>
            </w:r>
            <w:r>
              <w:rPr>
                <w:rFonts w:ascii="Times New Roman" w:eastAsia="Times New Roman" w:hAnsi="Times New Roman"/>
              </w:rPr>
              <w:t xml:space="preserve">mmission-authorized satellites. </w:t>
            </w:r>
          </w:p>
          <w:p w:rsidR="007A53F3">
            <w:pPr>
              <w:autoSpaceDE/>
              <w:spacing w:before="90" w:after="54"/>
              <w:jc w:val="both"/>
              <w:rPr>
                <w:rFonts w:ascii="Times New Roman" w:eastAsia="Times New Roman" w:hAnsi="Times New Roman"/>
                <w:b/>
              </w:rPr>
            </w:pP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INTERNATIONAL</w:t>
            </w:r>
          </w:p>
        </w:tc>
        <w:tc>
          <w:tcPr>
            <w:tcW w:w="5220" w:type="dxa"/>
          </w:tcPr>
          <w:p w:rsidR="007A53F3">
            <w:pPr>
              <w:autoSpaceDE/>
              <w:spacing w:before="9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ViaSat, Inc., Petition for Declaratory Ruling Granting Access for a Non-U.S.-Licensed Non-Geostationary Orbit Satellite Network (IBFS </w:t>
            </w:r>
            <w:r>
              <w:rPr>
                <w:rFonts w:ascii="Times New Roman" w:eastAsia="Times New Roman" w:hAnsi="Times New Roman"/>
              </w:rPr>
              <w:t>File No. SAT-PDR-20161115-00120 and SAT-APL-20180927-00076)</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Pr>
                <w:rFonts w:ascii="Times New Roman" w:eastAsia="Times New Roman" w:hAnsi="Times New Roman"/>
              </w:rPr>
              <w:t>The Commission will consider an Order and Declaratory Ruling that would grant ViaSat’s request for U.S. market access to offer broadband services using a proposed constellation of non-g</w:t>
            </w:r>
            <w:r>
              <w:rPr>
                <w:rFonts w:ascii="Times New Roman" w:eastAsia="Times New Roman" w:hAnsi="Times New Roman"/>
              </w:rPr>
              <w:t>eostationary orbit satellites.</w:t>
            </w:r>
          </w:p>
          <w:p w:rsidR="007A53F3">
            <w:pPr>
              <w:autoSpaceDE/>
              <w:spacing w:before="90" w:after="54"/>
              <w:rPr>
                <w:rFonts w:ascii="Times New Roman" w:eastAsia="Times New Roman" w:hAnsi="Times New Roman"/>
                <w:b/>
              </w:rPr>
            </w:pP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5</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7A53F3">
            <w:pPr>
              <w:autoSpaceDE/>
              <w:spacing w:before="90" w:after="54"/>
              <w:rPr>
                <w:rFonts w:ascii="Times New Roman" w:eastAsia="Times New Roman" w:hAnsi="Times New Roman"/>
              </w:rPr>
            </w:pPr>
            <w:r>
              <w:rPr>
                <w:rFonts w:ascii="Times New Roman" w:eastAsia="Times New Roman" w:hAnsi="Times New Roman"/>
                <w:b/>
              </w:rPr>
              <w:t xml:space="preserve">TITLE:  </w:t>
            </w:r>
            <w:r>
              <w:rPr>
                <w:rFonts w:ascii="Times New Roman" w:eastAsia="Times New Roman" w:hAnsi="Times New Roman"/>
                <w:spacing w:val="-2"/>
                <w:sz w:val="22"/>
                <w:szCs w:val="22"/>
              </w:rPr>
              <w:t xml:space="preserve"> </w:t>
            </w:r>
            <w:r>
              <w:rPr>
                <w:rFonts w:ascii="Times New Roman" w:eastAsia="Times New Roman" w:hAnsi="Times New Roman"/>
              </w:rPr>
              <w:t xml:space="preserve">Amendments of Parts 73 and 74 to Improve the Low Power FM Radio Service Technical Rules (MB Docket No. 19-193); </w:t>
            </w:r>
            <w:r>
              <w:rPr>
                <w:rFonts w:ascii="Times New Roman" w:eastAsia="Times New Roman" w:hAnsi="Times New Roman"/>
              </w:rPr>
              <w:t>Modernization of Media Regulation Initiative (MB Docket No. 17-105)</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Pr>
                <w:rFonts w:ascii="Times New Roman" w:eastAsia="Times New Roman" w:hAnsi="Times New Roman"/>
              </w:rPr>
              <w:t>The Commission will consider a Report and Order that would modernize the LPFM technical rules to provide more regulatory flexibility for licensees.</w:t>
            </w:r>
          </w:p>
          <w:p w:rsidR="007A53F3">
            <w:pPr>
              <w:autoSpaceDE/>
              <w:spacing w:before="90" w:after="54"/>
              <w:rPr>
                <w:rFonts w:ascii="Times New Roman" w:eastAsia="Times New Roman" w:hAnsi="Times New Roman"/>
                <w:b/>
              </w:rPr>
            </w:pPr>
          </w:p>
        </w:tc>
      </w:tr>
      <w:tr>
        <w:tblPrEx>
          <w:tblW w:w="9540" w:type="dxa"/>
          <w:tblLayout w:type="fixed"/>
          <w:tblCellMar>
            <w:left w:w="120" w:type="dxa"/>
            <w:right w:w="120" w:type="dxa"/>
          </w:tblCellMar>
          <w:tblLook w:val="0000"/>
        </w:tblPrEx>
        <w:tc>
          <w:tcPr>
            <w:tcW w:w="1440" w:type="dxa"/>
          </w:tcPr>
          <w:p w:rsidR="007A53F3">
            <w:pPr>
              <w:spacing w:before="90" w:after="54"/>
              <w:jc w:val="center"/>
              <w:rPr>
                <w:rFonts w:ascii="Times New Roman" w:eastAsia="Times New Roman" w:hAnsi="Times New Roman"/>
                <w:b/>
              </w:rPr>
            </w:pPr>
            <w:r>
              <w:rPr>
                <w:rFonts w:ascii="Times New Roman" w:eastAsia="Times New Roman" w:hAnsi="Times New Roman"/>
                <w:b/>
              </w:rPr>
              <w:t>6</w:t>
            </w:r>
          </w:p>
        </w:tc>
        <w:tc>
          <w:tcPr>
            <w:tcW w:w="2880" w:type="dxa"/>
          </w:tcPr>
          <w:p w:rsidR="007A53F3">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7A53F3">
            <w:pPr>
              <w:autoSpaceDE/>
              <w:spacing w:before="90" w:after="54"/>
              <w:rPr>
                <w:rFonts w:ascii="Times New Roman" w:eastAsia="Times New Roman" w:hAnsi="Times New Roman"/>
              </w:rPr>
            </w:pPr>
            <w:r>
              <w:rPr>
                <w:rFonts w:ascii="Times New Roman" w:eastAsia="Times New Roman" w:hAnsi="Times New Roman"/>
                <w:b/>
              </w:rPr>
              <w:t xml:space="preserve">TITLE:  </w:t>
            </w:r>
            <w:r>
              <w:rPr>
                <w:rFonts w:ascii="Times New Roman" w:eastAsia="Times New Roman" w:hAnsi="Times New Roman"/>
              </w:rPr>
              <w:t>Video Descr</w:t>
            </w:r>
            <w:r>
              <w:rPr>
                <w:rFonts w:ascii="Times New Roman" w:eastAsia="Times New Roman" w:hAnsi="Times New Roman"/>
              </w:rPr>
              <w:t>iption: Implementation of the Twenty-First Century Communications and Video Accessibility Act of 2010 (MB Docket No. 11-43)</w:t>
            </w:r>
          </w:p>
          <w:p w:rsidR="007A53F3">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Pr>
                <w:rFonts w:ascii="Times New Roman" w:eastAsia="Times New Roman" w:hAnsi="Times New Roman"/>
              </w:rPr>
              <w:t>The Commission will consider a Notice of Proposed Rulemaking that would propose to expand video description requirements t</w:t>
            </w:r>
            <w:r>
              <w:rPr>
                <w:rFonts w:ascii="Times New Roman" w:eastAsia="Times New Roman" w:hAnsi="Times New Roman"/>
              </w:rPr>
              <w:t>o 40 additional local television markets over the next four years to increase the accessibility of programming to blind and visually impaired Americans.</w:t>
            </w:r>
          </w:p>
          <w:p w:rsidR="007A53F3">
            <w:pPr>
              <w:autoSpaceDE/>
              <w:spacing w:before="90" w:after="54"/>
              <w:rPr>
                <w:rFonts w:ascii="Times New Roman" w:eastAsia="Times New Roman" w:hAnsi="Times New Roman"/>
                <w:b/>
              </w:rPr>
            </w:pPr>
          </w:p>
        </w:tc>
      </w:tr>
    </w:tbl>
    <w:p w:rsidR="007A53F3">
      <w:pPr>
        <w:spacing w:line="270" w:lineRule="exact"/>
        <w:rPr>
          <w:rFonts w:ascii="Times New Roman" w:eastAsia="Times New Roman" w:hAnsi="Times New Roman"/>
        </w:rPr>
      </w:pPr>
    </w:p>
    <w:p w:rsidR="007A53F3">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w:t>
      </w:r>
      <w:r>
        <w:rPr>
          <w:rFonts w:ascii="Times New Roman" w:eastAsia="Times New Roman" w:hAnsi="Times New Roman"/>
        </w:rPr>
        <w:t xml:space="preserve">Open </w:t>
      </w:r>
      <w:r>
        <w:rPr>
          <w:rFonts w:ascii="Times New Roman" w:eastAsia="Times New Roman" w:hAnsi="Times New Roman"/>
        </w:rPr>
        <w:t>c</w:t>
      </w:r>
      <w:r>
        <w:rPr>
          <w:rFonts w:ascii="Times New Roman" w:eastAsia="Times New Roman" w:hAnsi="Times New Roman"/>
        </w:rPr>
        <w:t xml:space="preserve">aptioning will be provided </w:t>
      </w:r>
      <w:r>
        <w:rPr>
          <w:rFonts w:ascii="Times New Roman" w:eastAsia="Times New Roman" w:hAnsi="Times New Roman"/>
        </w:rPr>
        <w:t xml:space="preserve">as well as a text only version on the FCC website.  Other reasonable </w:t>
      </w:r>
      <w:r>
        <w:rPr>
          <w:rFonts w:ascii="Times New Roman" w:eastAsia="Times New Roman" w:hAnsi="Times New Roman"/>
        </w:rPr>
        <w:t xml:space="preserve">accommodations for people with disabilities are available upon request.  In your request, include a description of the accommodation you will need and a way we can contact you if we need </w:t>
      </w:r>
      <w:r>
        <w:rPr>
          <w:rFonts w:ascii="Times New Roman" w:eastAsia="Times New Roman" w:hAnsi="Times New Roman"/>
        </w:rPr>
        <w:t xml:space="preserve">more information.  Last minute requests will be accepted but may be impossible to fill.  Send an e-mail to: </w:t>
      </w:r>
      <w:hyperlink r:id="rId5" w:tooltip="mailto:fcc504@fcc.gov" w:history="1">
        <w:r>
          <w:rPr>
            <w:rFonts w:ascii="Times New Roman" w:eastAsia="Times New Roman" w:hAnsi="Times New Roman"/>
            <w:color w:val="0000FF"/>
            <w:u w:val="single"/>
          </w:rPr>
          <w:t>fcc504@fcc.gov</w:t>
        </w:r>
      </w:hyperlink>
      <w:r>
        <w:rPr>
          <w:rFonts w:ascii="Times New Roman" w:eastAsia="Times New Roman" w:hAnsi="Times New Roman"/>
        </w:rPr>
        <w:t xml:space="preserve"> or call the Consumer &amp; Governmental Affairs Bureau at 202-418-053</w:t>
      </w:r>
      <w:r>
        <w:rPr>
          <w:rFonts w:ascii="Times New Roman" w:eastAsia="Times New Roman" w:hAnsi="Times New Roman"/>
        </w:rPr>
        <w:t>0 (voice), 202-418-0432 (TTY).</w:t>
      </w:r>
    </w:p>
    <w:p w:rsidR="007A53F3">
      <w:pPr>
        <w:rPr>
          <w:rFonts w:ascii="Times New Roman" w:eastAsia="Times New Roman" w:hAnsi="Times New Roman"/>
        </w:rPr>
      </w:pPr>
    </w:p>
    <w:p w:rsidR="007A53F3">
      <w:pPr>
        <w:rPr>
          <w:rFonts w:ascii="Times New Roman" w:eastAsia="Times New Roman" w:hAnsi="Times New Roman"/>
        </w:rPr>
      </w:pPr>
      <w:r>
        <w:rPr>
          <w:rFonts w:ascii="Times New Roman" w:eastAsia="Times New Roman" w:hAnsi="Times New Roman"/>
        </w:rPr>
        <w:t>Additional information concerning this meeting may be obtained from the Office of Media Relations, (202) 418-0500; TTY 1-888-835-5322.  Audio/Video coverage of the meeting will be broadcast live with open captioning over the</w:t>
      </w:r>
      <w:r>
        <w:rPr>
          <w:rFonts w:ascii="Times New Roman" w:eastAsia="Times New Roman" w:hAnsi="Times New Roman"/>
        </w:rPr>
        <w:t xml:space="preserv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pPr>
        <w:tabs>
          <w:tab w:val="center" w:pos="4680"/>
        </w:tabs>
        <w:spacing w:after="120"/>
        <w:rPr>
          <w:rFonts w:ascii="Times New Roman" w:eastAsia="Times New Roman" w:hAnsi="Times New Roman"/>
        </w:rPr>
      </w:pPr>
    </w:p>
    <w:p w:rsidR="007A53F3">
      <w:pPr>
        <w:tabs>
          <w:tab w:val="center" w:pos="4680"/>
        </w:tabs>
        <w:jc w:val="center"/>
        <w:rPr>
          <w:rFonts w:ascii="Times New Roman" w:eastAsia="Times New Roman" w:hAnsi="Times New Roman"/>
          <w:b/>
        </w:rPr>
      </w:pPr>
      <w:r>
        <w:rPr>
          <w:rFonts w:ascii="Times New Roman" w:eastAsia="Times New Roman" w:hAnsi="Times New Roman"/>
          <w:b/>
        </w:rPr>
        <w:t>-FCC-</w:t>
      </w:r>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A00002EF" w:usb1="4000207B" w:usb2="00000000" w:usb3="00000000" w:csb0="FFFFFF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pPr>
      <w:tabs>
        <w:tab w:val="left" w:pos="4320"/>
      </w:tabs>
      <w:spacing w:line="160" w:lineRule="exact"/>
      <w:rPr>
        <w:rFonts w:ascii="Times New Roman" w:eastAsia="Times New Roman" w:hAnsi="Times New Roman"/>
        <w:sz w:val="22"/>
        <w:szCs w:val="22"/>
      </w:rPr>
    </w:pPr>
  </w:p>
  <w:p w:rsidR="007A53F3">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w:t>
    </w:r>
    <w:r>
      <w:rPr>
        <w:sz w:val="14"/>
        <w:szCs w:val="14"/>
      </w:rPr>
      <w:t>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pPr>
                            <w:tabs>
                              <w:tab w:val="left" w:pos="-720"/>
                            </w:tabs>
                            <w:spacing w:line="240" w:lineRule="atLeast"/>
                            <w:rPr>
                              <w:sz w:val="2"/>
                              <w:szCs w:val="2"/>
                            </w:rPr>
                          </w:pPr>
                          <w:r>
                            <w:rPr>
                              <w:noProof/>
                              <w:sz w:val="20"/>
                            </w:rPr>
                            <w:drawing>
                              <wp:inline distT="0" distB="0" distL="0" distR="0">
                                <wp:extent cx="751205" cy="690880"/>
                                <wp:effectExtent l="0" t="0" r="0" b="0"/>
                                <wp:docPr id="403476123" name="Picture 3"/>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id="_x0000_s2049" style="width:60.3pt;height:57.9pt;margin-top:58pt;margin-left:7pt;mso-position-horizontal-relative:margin;mso-position-vertical-relative:page;position:absolute;z-index:-251657216" coordsize="767080,735965" path="m,l767080,,767080,735965,,735965xe" filled="f" stroked="f">
              <v:textbox inset="0,0,0,0">
                <w:txbxContent>
                  <w:p>
                    <w:pPr>
                      <w:numPr>
                        <w:ilvl w:val="0"/>
                        <w:numId w:val="0"/>
                      </w:numPr>
                      <w:tabs>
                        <w:tab w:val="left" w:pos="-720"/>
                      </w:tabs>
                      <w:autoSpaceDE w:val="0"/>
                      <w:autoSpaceDN w:val="0"/>
                      <w:spacing w:before="0" w:after="0" w:line="240" w:lineRule="atLeast"/>
                      <w:ind w:right="0" w:firstLine="0"/>
                      <w:jc w:val="left"/>
                      <w:rPr>
                        <w:rFonts w:ascii="Courier" w:eastAsia="Courier" w:hAnsi="Courier" w:hint="default"/>
                        <w:color w:val="auto"/>
                        <w:position w:val="0"/>
                        <w:sz w:val="2"/>
                        <w:szCs w:val="2"/>
                      </w:rPr>
                    </w:pPr>
                    <w:drawing>
                      <wp:inline distT="0" distB="0" distL="0" distR="0">
                        <wp:extent cx="751205" cy="69088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4D6286"/>
    <w:rsid w:val="007A53F3"/>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