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AAE020E" w14:textId="77777777" w:rsidTr="006D5D22">
        <w:tblPrEx>
          <w:tblW w:w="0" w:type="auto"/>
          <w:tblLook w:val="0000"/>
        </w:tblPrEx>
        <w:trPr>
          <w:trHeight w:val="2181"/>
        </w:trPr>
        <w:tc>
          <w:tcPr>
            <w:tcW w:w="8856" w:type="dxa"/>
          </w:tcPr>
          <w:p w:rsidR="00FF232D" w:rsidP="006A7D75" w14:paraId="4782881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90740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AAAC5E" w14:textId="77777777">
            <w:pPr>
              <w:rPr>
                <w:b/>
                <w:bCs/>
                <w:sz w:val="12"/>
                <w:szCs w:val="12"/>
              </w:rPr>
            </w:pPr>
          </w:p>
          <w:p w:rsidR="007A44F8" w:rsidRPr="008A3940" w:rsidP="00BB4E29" w14:paraId="2FA39B32" w14:textId="77777777">
            <w:pPr>
              <w:rPr>
                <w:b/>
                <w:bCs/>
                <w:sz w:val="22"/>
                <w:szCs w:val="22"/>
              </w:rPr>
            </w:pPr>
            <w:r w:rsidRPr="008A3940">
              <w:rPr>
                <w:b/>
                <w:bCs/>
                <w:sz w:val="22"/>
                <w:szCs w:val="22"/>
              </w:rPr>
              <w:t xml:space="preserve">Media Contact: </w:t>
            </w:r>
          </w:p>
          <w:p w:rsidR="007A44F8" w:rsidRPr="008A3940" w:rsidP="00BB4E29" w14:paraId="3285892F"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47EC9682" w14:textId="77777777">
            <w:pPr>
              <w:rPr>
                <w:bCs/>
                <w:sz w:val="22"/>
                <w:szCs w:val="22"/>
              </w:rPr>
            </w:pPr>
            <w:r w:rsidRPr="008A3940">
              <w:rPr>
                <w:bCs/>
                <w:sz w:val="22"/>
                <w:szCs w:val="22"/>
              </w:rPr>
              <w:t>will.wiquist@fcc.gov</w:t>
            </w:r>
          </w:p>
          <w:p w:rsidR="007A44F8" w:rsidRPr="008A3940" w:rsidP="00BB4E29" w14:paraId="5A56C92C" w14:textId="77777777">
            <w:pPr>
              <w:rPr>
                <w:bCs/>
                <w:sz w:val="22"/>
                <w:szCs w:val="22"/>
              </w:rPr>
            </w:pPr>
          </w:p>
          <w:p w:rsidR="007A44F8" w:rsidRPr="008A3940" w:rsidP="00BB4E29" w14:paraId="4E7095EB" w14:textId="77777777">
            <w:pPr>
              <w:rPr>
                <w:b/>
                <w:sz w:val="22"/>
                <w:szCs w:val="22"/>
              </w:rPr>
            </w:pPr>
            <w:r w:rsidRPr="008A3940">
              <w:rPr>
                <w:b/>
                <w:sz w:val="22"/>
                <w:szCs w:val="22"/>
              </w:rPr>
              <w:t>For Immediate Release</w:t>
            </w:r>
          </w:p>
          <w:p w:rsidR="007A44F8" w:rsidRPr="004A729A" w:rsidP="00037467" w14:paraId="503438A7" w14:textId="77777777">
            <w:pPr>
              <w:jc w:val="center"/>
              <w:rPr>
                <w:b/>
                <w:bCs/>
                <w:sz w:val="22"/>
                <w:szCs w:val="22"/>
              </w:rPr>
            </w:pPr>
          </w:p>
          <w:p w:rsidR="00037467" w:rsidRPr="00037467" w:rsidP="00037467" w14:paraId="5E51D14B" w14:textId="77777777">
            <w:pPr>
              <w:tabs>
                <w:tab w:val="left" w:pos="8625"/>
              </w:tabs>
              <w:jc w:val="center"/>
              <w:rPr>
                <w:b/>
                <w:bCs/>
                <w:sz w:val="26"/>
                <w:szCs w:val="26"/>
              </w:rPr>
            </w:pPr>
            <w:r w:rsidRPr="00037467">
              <w:rPr>
                <w:b/>
                <w:bCs/>
                <w:sz w:val="26"/>
                <w:szCs w:val="26"/>
              </w:rPr>
              <w:t xml:space="preserve">FCC UPDATES SATELLITE </w:t>
            </w:r>
          </w:p>
          <w:p w:rsidR="00CC5E08" w:rsidRPr="008A3940" w:rsidP="00037467" w14:paraId="67D369DE" w14:textId="743EB25D">
            <w:pPr>
              <w:tabs>
                <w:tab w:val="left" w:pos="8625"/>
              </w:tabs>
              <w:jc w:val="center"/>
              <w:rPr>
                <w:i/>
              </w:rPr>
            </w:pPr>
            <w:r w:rsidRPr="00037467">
              <w:rPr>
                <w:b/>
                <w:bCs/>
                <w:sz w:val="26"/>
                <w:szCs w:val="26"/>
              </w:rPr>
              <w:t>ORBITAL DEBRIS MITIGATION RULES</w:t>
            </w:r>
          </w:p>
          <w:p w:rsidR="00F61155" w:rsidRPr="006B0A70" w:rsidP="00BB4E29" w14:paraId="3491582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37467" w:rsidRPr="00037467" w:rsidP="00037467" w14:paraId="440DC23E" w14:textId="63C709F5">
            <w:pPr>
              <w:rPr>
                <w:sz w:val="22"/>
                <w:szCs w:val="22"/>
              </w:rPr>
            </w:pPr>
            <w:r w:rsidRPr="002E165B">
              <w:rPr>
                <w:sz w:val="22"/>
                <w:szCs w:val="22"/>
              </w:rPr>
              <w:t xml:space="preserve">WASHINGTON, </w:t>
            </w:r>
            <w:r w:rsidRPr="00037467">
              <w:rPr>
                <w:sz w:val="22"/>
                <w:szCs w:val="22"/>
              </w:rPr>
              <w:t xml:space="preserve">April 23, 2020—The Federal Communications Commission today comprehensively updated its satellite rules on orbital debris mitigation for the first time in over 15 years.  The Commission </w:t>
            </w:r>
            <w:r w:rsidR="005E4742">
              <w:rPr>
                <w:sz w:val="22"/>
                <w:szCs w:val="22"/>
              </w:rPr>
              <w:t>also voted to</w:t>
            </w:r>
            <w:r w:rsidRPr="00037467">
              <w:rPr>
                <w:sz w:val="22"/>
                <w:szCs w:val="22"/>
              </w:rPr>
              <w:t xml:space="preserve"> seek further public comment on other proposals related to</w:t>
            </w:r>
            <w:r w:rsidR="005E4742">
              <w:rPr>
                <w:sz w:val="22"/>
                <w:szCs w:val="22"/>
              </w:rPr>
              <w:t xml:space="preserve"> mitigating</w:t>
            </w:r>
            <w:r w:rsidRPr="00037467">
              <w:rPr>
                <w:sz w:val="22"/>
                <w:szCs w:val="22"/>
              </w:rPr>
              <w:t xml:space="preserve"> orbital debris.</w:t>
            </w:r>
            <w:r w:rsidR="000B01F6">
              <w:rPr>
                <w:sz w:val="22"/>
                <w:szCs w:val="22"/>
              </w:rPr>
              <w:t xml:space="preserve">  Orbital debris, also known as space debris, can pose a risk to satellites and </w:t>
            </w:r>
            <w:r w:rsidR="000A34F1">
              <w:rPr>
                <w:sz w:val="22"/>
                <w:szCs w:val="22"/>
              </w:rPr>
              <w:t>inhabitable</w:t>
            </w:r>
            <w:r w:rsidR="000B01F6">
              <w:rPr>
                <w:sz w:val="22"/>
                <w:szCs w:val="22"/>
              </w:rPr>
              <w:t xml:space="preserve"> spacecraft, and in some instances, pieces of debris falling back to </w:t>
            </w:r>
            <w:r w:rsidR="00471D2E">
              <w:rPr>
                <w:sz w:val="22"/>
                <w:szCs w:val="22"/>
              </w:rPr>
              <w:t>e</w:t>
            </w:r>
            <w:r w:rsidR="000B01F6">
              <w:rPr>
                <w:sz w:val="22"/>
                <w:szCs w:val="22"/>
              </w:rPr>
              <w:t xml:space="preserve">arth can pose a risk to persons and property on the surface of the </w:t>
            </w:r>
            <w:r w:rsidR="00471D2E">
              <w:rPr>
                <w:sz w:val="22"/>
                <w:szCs w:val="22"/>
              </w:rPr>
              <w:t>e</w:t>
            </w:r>
            <w:r w:rsidR="000B01F6">
              <w:rPr>
                <w:sz w:val="22"/>
                <w:szCs w:val="22"/>
              </w:rPr>
              <w:t>arth.</w:t>
            </w:r>
          </w:p>
          <w:p w:rsidR="00037467" w:rsidRPr="00037467" w:rsidP="00037467" w14:paraId="5EE19645" w14:textId="77777777">
            <w:pPr>
              <w:rPr>
                <w:sz w:val="22"/>
                <w:szCs w:val="22"/>
              </w:rPr>
            </w:pPr>
          </w:p>
          <w:p w:rsidR="00037467" w:rsidRPr="00037467" w:rsidP="00037467" w14:paraId="0F4EB56D" w14:textId="13C564F3">
            <w:pPr>
              <w:rPr>
                <w:sz w:val="22"/>
                <w:szCs w:val="22"/>
              </w:rPr>
            </w:pPr>
            <w:r w:rsidRPr="00037467">
              <w:rPr>
                <w:sz w:val="22"/>
                <w:szCs w:val="22"/>
              </w:rPr>
              <w:t>The Commission’s orbital debris rules cover all Commission-licensed satellites</w:t>
            </w:r>
            <w:r w:rsidR="000B01F6">
              <w:rPr>
                <w:sz w:val="22"/>
                <w:szCs w:val="22"/>
              </w:rPr>
              <w:t xml:space="preserve"> and</w:t>
            </w:r>
            <w:r w:rsidR="000A34F1">
              <w:rPr>
                <w:sz w:val="22"/>
                <w:szCs w:val="22"/>
              </w:rPr>
              <w:t xml:space="preserve"> satellites granted </w:t>
            </w:r>
            <w:r w:rsidR="000B01F6">
              <w:rPr>
                <w:sz w:val="22"/>
                <w:szCs w:val="22"/>
              </w:rPr>
              <w:t xml:space="preserve">access </w:t>
            </w:r>
            <w:r w:rsidR="000A34F1">
              <w:rPr>
                <w:sz w:val="22"/>
                <w:szCs w:val="22"/>
              </w:rPr>
              <w:t>to the U.S. market</w:t>
            </w:r>
            <w:r w:rsidRPr="00037467">
              <w:rPr>
                <w:sz w:val="22"/>
                <w:szCs w:val="22"/>
              </w:rPr>
              <w:t xml:space="preserve">.  Since 2004, when the rules were last updated, there have been significant changes in satellite technologies and market conditions, particularly in the low earth orbit region of space.  These changes include the increasing use of lower-cost small satellites, such as CubeSats, as well as plans for </w:t>
            </w:r>
            <w:r w:rsidR="00A03BF5">
              <w:rPr>
                <w:sz w:val="22"/>
                <w:szCs w:val="22"/>
              </w:rPr>
              <w:t xml:space="preserve">the </w:t>
            </w:r>
            <w:r w:rsidRPr="00037467">
              <w:rPr>
                <w:sz w:val="22"/>
                <w:szCs w:val="22"/>
              </w:rPr>
              <w:t>deployment of large constellations of non-geostationary orbit systems, some involving thousands of satellites.  The Report and Order adopted today updates the Commission’s rules to reflect these changes.</w:t>
            </w:r>
          </w:p>
          <w:p w:rsidR="00037467" w:rsidRPr="00037467" w:rsidP="00037467" w14:paraId="5992E0B3" w14:textId="77777777">
            <w:pPr>
              <w:rPr>
                <w:sz w:val="22"/>
                <w:szCs w:val="22"/>
              </w:rPr>
            </w:pPr>
          </w:p>
          <w:p w:rsidR="00037467" w:rsidRPr="00037467" w:rsidP="00037467" w14:paraId="72C32584" w14:textId="26A16B98">
            <w:pPr>
              <w:rPr>
                <w:sz w:val="22"/>
                <w:szCs w:val="22"/>
              </w:rPr>
            </w:pPr>
            <w:r w:rsidRPr="00037467">
              <w:rPr>
                <w:sz w:val="22"/>
                <w:szCs w:val="22"/>
              </w:rPr>
              <w:t xml:space="preserve">Specifically, the new rules improve the specificity and clarity of rules that require disclosure of debris mitigation plans by satellite companies.  The changes include </w:t>
            </w:r>
            <w:r w:rsidRPr="00384235">
              <w:rPr>
                <w:sz w:val="22"/>
                <w:szCs w:val="22"/>
              </w:rPr>
              <w:t xml:space="preserve">requiring that </w:t>
            </w:r>
            <w:r w:rsidRPr="00A65510" w:rsidR="00351200">
              <w:rPr>
                <w:sz w:val="22"/>
                <w:szCs w:val="22"/>
              </w:rPr>
              <w:t>s</w:t>
            </w:r>
            <w:r w:rsidRPr="001D0A36" w:rsidR="00351200">
              <w:rPr>
                <w:sz w:val="22"/>
                <w:szCs w:val="22"/>
              </w:rPr>
              <w:t>atellite</w:t>
            </w:r>
            <w:r w:rsidR="00351200">
              <w:t xml:space="preserve"> </w:t>
            </w:r>
            <w:r w:rsidRPr="00037467">
              <w:rPr>
                <w:sz w:val="22"/>
                <w:szCs w:val="22"/>
              </w:rPr>
              <w:t>applicants assign numerical values</w:t>
            </w:r>
            <w:r w:rsidR="006969A0">
              <w:rPr>
                <w:sz w:val="22"/>
                <w:szCs w:val="22"/>
              </w:rPr>
              <w:t xml:space="preserve"> to</w:t>
            </w:r>
            <w:r w:rsidRPr="00037467">
              <w:rPr>
                <w:sz w:val="22"/>
                <w:szCs w:val="22"/>
              </w:rPr>
              <w:t xml:space="preserve"> collision risk, probability of successful post-mission disposal, and casualty risk associated with those satellites that will re-enter earth’s atmosphere.  Satellite applicants will also </w:t>
            </w:r>
            <w:r w:rsidR="00AA36F5">
              <w:rPr>
                <w:sz w:val="22"/>
                <w:szCs w:val="22"/>
              </w:rPr>
              <w:t xml:space="preserve">have new disclosure requirements </w:t>
            </w:r>
            <w:r w:rsidRPr="00037467">
              <w:rPr>
                <w:sz w:val="22"/>
                <w:szCs w:val="22"/>
              </w:rPr>
              <w:t>related to protecting inhabitable spacecraft, maneuverability, use of deployment devices, release of persistent liquids, proximity operations</w:t>
            </w:r>
            <w:r w:rsidR="00AA36F5">
              <w:rPr>
                <w:sz w:val="22"/>
                <w:szCs w:val="22"/>
              </w:rPr>
              <w:t>,</w:t>
            </w:r>
            <w:r w:rsidRPr="00037467">
              <w:rPr>
                <w:sz w:val="22"/>
                <w:szCs w:val="22"/>
              </w:rPr>
              <w:t xml:space="preserve"> trackability</w:t>
            </w:r>
            <w:r w:rsidR="00AA36F5">
              <w:rPr>
                <w:sz w:val="22"/>
                <w:szCs w:val="22"/>
              </w:rPr>
              <w:t xml:space="preserve"> and</w:t>
            </w:r>
            <w:r w:rsidR="00DD6B58">
              <w:rPr>
                <w:sz w:val="22"/>
                <w:szCs w:val="22"/>
              </w:rPr>
              <w:t xml:space="preserve"> </w:t>
            </w:r>
            <w:r w:rsidRPr="00037467">
              <w:rPr>
                <w:sz w:val="22"/>
                <w:szCs w:val="22"/>
              </w:rPr>
              <w:t xml:space="preserve">identification, and </w:t>
            </w:r>
            <w:r w:rsidR="00AA36F5">
              <w:rPr>
                <w:sz w:val="22"/>
                <w:szCs w:val="22"/>
              </w:rPr>
              <w:t>information</w:t>
            </w:r>
            <w:r w:rsidRPr="00037467">
              <w:rPr>
                <w:sz w:val="22"/>
                <w:szCs w:val="22"/>
              </w:rPr>
              <w:t xml:space="preserve"> shar</w:t>
            </w:r>
            <w:r w:rsidR="00AA36F5">
              <w:rPr>
                <w:sz w:val="22"/>
                <w:szCs w:val="22"/>
              </w:rPr>
              <w:t>ing for</w:t>
            </w:r>
            <w:r w:rsidRPr="00037467">
              <w:rPr>
                <w:sz w:val="22"/>
                <w:szCs w:val="22"/>
              </w:rPr>
              <w:t xml:space="preserve"> situational awareness.  The new rules also update the process for geostationary orbit satellite license term extension requests</w:t>
            </w:r>
            <w:r w:rsidR="00DD6B58">
              <w:rPr>
                <w:sz w:val="22"/>
                <w:szCs w:val="22"/>
              </w:rPr>
              <w:t>.</w:t>
            </w:r>
          </w:p>
          <w:p w:rsidR="00037467" w:rsidRPr="00037467" w:rsidP="00037467" w14:paraId="438327C6" w14:textId="77777777">
            <w:pPr>
              <w:rPr>
                <w:sz w:val="22"/>
                <w:szCs w:val="22"/>
              </w:rPr>
            </w:pPr>
          </w:p>
          <w:p w:rsidR="00037467" w:rsidRPr="00037467" w:rsidP="00037467" w14:paraId="1999A349" w14:textId="708B71B4">
            <w:pPr>
              <w:rPr>
                <w:sz w:val="22"/>
                <w:szCs w:val="22"/>
              </w:rPr>
            </w:pPr>
            <w:r w:rsidRPr="00037467">
              <w:rPr>
                <w:sz w:val="22"/>
                <w:szCs w:val="22"/>
              </w:rPr>
              <w:t xml:space="preserve">The Commission today also </w:t>
            </w:r>
            <w:r w:rsidRPr="00AA36F5">
              <w:rPr>
                <w:sz w:val="22"/>
                <w:szCs w:val="22"/>
              </w:rPr>
              <w:t xml:space="preserve">adopted a Further Notice of Proposed Rulemaking, which invites additional comment on </w:t>
            </w:r>
            <w:r w:rsidRPr="00AA36F5" w:rsidR="00A03BF5">
              <w:rPr>
                <w:sz w:val="22"/>
                <w:szCs w:val="22"/>
              </w:rPr>
              <w:t>o</w:t>
            </w:r>
            <w:r w:rsidRPr="00DD6B58" w:rsidR="00A03BF5">
              <w:rPr>
                <w:sz w:val="22"/>
                <w:szCs w:val="22"/>
              </w:rPr>
              <w:t>rbital debris mitigation measures</w:t>
            </w:r>
            <w:r w:rsidRPr="00DD6B58" w:rsidR="00351200">
              <w:rPr>
                <w:sz w:val="22"/>
                <w:szCs w:val="22"/>
              </w:rPr>
              <w:t xml:space="preserve"> related to</w:t>
            </w:r>
            <w:r w:rsidRPr="00AA36F5">
              <w:rPr>
                <w:sz w:val="22"/>
                <w:szCs w:val="22"/>
              </w:rPr>
              <w:t xml:space="preserve"> the probability of accidental explosions</w:t>
            </w:r>
            <w:r w:rsidRPr="00AA36F5" w:rsidR="00351200">
              <w:rPr>
                <w:sz w:val="22"/>
                <w:szCs w:val="22"/>
              </w:rPr>
              <w:t>;</w:t>
            </w:r>
            <w:r w:rsidRPr="00AA36F5">
              <w:rPr>
                <w:sz w:val="22"/>
                <w:szCs w:val="22"/>
              </w:rPr>
              <w:t xml:space="preserve"> collision risk and casualty</w:t>
            </w:r>
            <w:r w:rsidRPr="00037467">
              <w:rPr>
                <w:sz w:val="22"/>
                <w:szCs w:val="22"/>
              </w:rPr>
              <w:t xml:space="preserve"> risk for satellite constellations on a system-wide basis; </w:t>
            </w:r>
            <w:r w:rsidR="006969A0">
              <w:rPr>
                <w:sz w:val="22"/>
                <w:szCs w:val="22"/>
              </w:rPr>
              <w:t xml:space="preserve">and on </w:t>
            </w:r>
            <w:r w:rsidRPr="00037467">
              <w:rPr>
                <w:sz w:val="22"/>
                <w:szCs w:val="22"/>
              </w:rPr>
              <w:t xml:space="preserve">requiring maneuverability for space stations located above a certain altitude in the low earth orbit region and limiting post-mission orbital lifetime.  The Commission will also seek public comment on </w:t>
            </w:r>
            <w:r w:rsidR="006969A0">
              <w:rPr>
                <w:sz w:val="22"/>
                <w:szCs w:val="22"/>
              </w:rPr>
              <w:t>adopting</w:t>
            </w:r>
            <w:r w:rsidRPr="00037467" w:rsidR="006969A0">
              <w:rPr>
                <w:sz w:val="22"/>
                <w:szCs w:val="22"/>
              </w:rPr>
              <w:t xml:space="preserve"> </w:t>
            </w:r>
            <w:r w:rsidRPr="00037467">
              <w:rPr>
                <w:sz w:val="22"/>
                <w:szCs w:val="22"/>
              </w:rPr>
              <w:t>an indemnification requirement similar to one used in some other countries and on the use of a surety bond tied to post-mission disposal.</w:t>
            </w:r>
          </w:p>
          <w:p w:rsidR="00A03BF5" w:rsidP="00037467" w14:paraId="6CF250AA" w14:textId="77777777">
            <w:pPr>
              <w:rPr>
                <w:sz w:val="22"/>
                <w:szCs w:val="22"/>
              </w:rPr>
            </w:pPr>
          </w:p>
          <w:p w:rsidR="00037467" w:rsidRPr="00037467" w:rsidP="00037467" w14:paraId="3619DE85" w14:textId="0C8F3509">
            <w:pPr>
              <w:rPr>
                <w:sz w:val="22"/>
                <w:szCs w:val="22"/>
              </w:rPr>
            </w:pPr>
            <w:r>
              <w:rPr>
                <w:sz w:val="22"/>
                <w:szCs w:val="22"/>
              </w:rPr>
              <w:t xml:space="preserve">Today’s </w:t>
            </w:r>
            <w:r w:rsidRPr="00037467">
              <w:rPr>
                <w:sz w:val="22"/>
                <w:szCs w:val="22"/>
              </w:rPr>
              <w:t>action will help to preserve the space environment for continued investment, deployment</w:t>
            </w:r>
            <w:r>
              <w:rPr>
                <w:sz w:val="22"/>
                <w:szCs w:val="22"/>
              </w:rPr>
              <w:t>,</w:t>
            </w:r>
            <w:r w:rsidRPr="00037467">
              <w:rPr>
                <w:sz w:val="22"/>
                <w:szCs w:val="22"/>
              </w:rPr>
              <w:t xml:space="preserve"> and innovation in space-based services.  </w:t>
            </w:r>
          </w:p>
          <w:p w:rsidR="00A03BF5" w:rsidP="00037467" w14:paraId="4CB4BCA6" w14:textId="77777777">
            <w:pPr>
              <w:rPr>
                <w:sz w:val="22"/>
                <w:szCs w:val="22"/>
              </w:rPr>
            </w:pPr>
          </w:p>
          <w:p w:rsidR="00143812" w:rsidRPr="00143812" w:rsidP="00143812" w14:paraId="1723921F" w14:textId="0FEEF286">
            <w:pPr>
              <w:rPr>
                <w:sz w:val="22"/>
                <w:szCs w:val="22"/>
              </w:rPr>
            </w:pPr>
            <w:r w:rsidRPr="00143812">
              <w:rPr>
                <w:sz w:val="22"/>
                <w:szCs w:val="22"/>
              </w:rPr>
              <w:t xml:space="preserve">Action by the Commission April 23, 2020 by Report and Order and Further Notice of Proposed Rulemaking (FCC 20-54).  Chairman Pai, Commissioners O’Rielly, Carr, and Starks approving. </w:t>
            </w:r>
            <w:r>
              <w:rPr>
                <w:sz w:val="22"/>
                <w:szCs w:val="22"/>
              </w:rPr>
              <w:t xml:space="preserve"> Commissioner </w:t>
            </w:r>
            <w:r w:rsidRPr="00143812">
              <w:rPr>
                <w:sz w:val="22"/>
                <w:szCs w:val="22"/>
              </w:rPr>
              <w:t>Rosenworcel</w:t>
            </w:r>
            <w:r>
              <w:rPr>
                <w:sz w:val="22"/>
                <w:szCs w:val="22"/>
              </w:rPr>
              <w:t xml:space="preserve"> concurring. </w:t>
            </w:r>
            <w:r w:rsidRPr="00143812">
              <w:rPr>
                <w:sz w:val="22"/>
                <w:szCs w:val="22"/>
              </w:rPr>
              <w:t xml:space="preserve"> Chairman Pai, Commissioners O’Rielly, Carr, Rosenworcel, and Starks issuing separate statements.</w:t>
            </w:r>
          </w:p>
          <w:p w:rsidR="00143812" w:rsidRPr="00143812" w:rsidP="00143812" w14:paraId="4AA97C5D" w14:textId="77777777">
            <w:pPr>
              <w:rPr>
                <w:sz w:val="22"/>
                <w:szCs w:val="22"/>
              </w:rPr>
            </w:pPr>
          </w:p>
          <w:p w:rsidR="00BD19E8" w:rsidP="00143812" w14:paraId="7FDB95F3" w14:textId="3A47BE00">
            <w:pPr>
              <w:rPr>
                <w:sz w:val="22"/>
                <w:szCs w:val="22"/>
              </w:rPr>
            </w:pPr>
            <w:r w:rsidRPr="00143812">
              <w:rPr>
                <w:sz w:val="22"/>
                <w:szCs w:val="22"/>
              </w:rPr>
              <w:t>IB Docket No. 18-313</w:t>
            </w:r>
          </w:p>
          <w:p w:rsidR="00260ECE" w:rsidRPr="002E165B" w:rsidP="00143812" w14:paraId="6D50D4AC" w14:textId="77777777">
            <w:pPr>
              <w:rPr>
                <w:sz w:val="22"/>
                <w:szCs w:val="22"/>
              </w:rPr>
            </w:pPr>
          </w:p>
          <w:p w:rsidR="004F0F1F" w:rsidRPr="007475A1" w:rsidP="00850E26" w14:paraId="261476BA" w14:textId="77777777">
            <w:pPr>
              <w:ind w:right="72"/>
              <w:jc w:val="center"/>
              <w:rPr>
                <w:sz w:val="22"/>
                <w:szCs w:val="22"/>
              </w:rPr>
            </w:pPr>
            <w:r w:rsidRPr="007475A1">
              <w:rPr>
                <w:sz w:val="22"/>
                <w:szCs w:val="22"/>
              </w:rPr>
              <w:t>###</w:t>
            </w:r>
          </w:p>
          <w:p w:rsidR="00CC5E08" w:rsidRPr="0080486B" w:rsidP="00850E26" w14:paraId="7A1B835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C8A0B7B" w14:textId="77777777">
            <w:pPr>
              <w:ind w:right="72"/>
              <w:jc w:val="center"/>
              <w:rPr>
                <w:b/>
                <w:bCs/>
                <w:sz w:val="18"/>
                <w:szCs w:val="18"/>
              </w:rPr>
            </w:pPr>
          </w:p>
          <w:p w:rsidR="00EE0E90" w:rsidRPr="00EF729B" w:rsidP="00850E26" w14:paraId="26E718C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091874F" w14:textId="77777777">
      <w:pPr>
        <w:rPr>
          <w:b/>
          <w:bCs/>
          <w:sz w:val="2"/>
          <w:szCs w:val="2"/>
        </w:rPr>
      </w:pPr>
    </w:p>
    <w:sectPr w:rsidSect="002A3776">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2A70"/>
    <w:rsid w:val="0002500C"/>
    <w:rsid w:val="000311FC"/>
    <w:rsid w:val="00037467"/>
    <w:rsid w:val="00040127"/>
    <w:rsid w:val="00065E2D"/>
    <w:rsid w:val="00081232"/>
    <w:rsid w:val="00091E65"/>
    <w:rsid w:val="00096D4A"/>
    <w:rsid w:val="000A34F1"/>
    <w:rsid w:val="000A38EA"/>
    <w:rsid w:val="000B01F6"/>
    <w:rsid w:val="000C1E47"/>
    <w:rsid w:val="000C26F3"/>
    <w:rsid w:val="000D7007"/>
    <w:rsid w:val="000E049E"/>
    <w:rsid w:val="0010799B"/>
    <w:rsid w:val="00117DB2"/>
    <w:rsid w:val="00123ED2"/>
    <w:rsid w:val="00125BE0"/>
    <w:rsid w:val="00142C13"/>
    <w:rsid w:val="00143812"/>
    <w:rsid w:val="00152776"/>
    <w:rsid w:val="00153222"/>
    <w:rsid w:val="001577D3"/>
    <w:rsid w:val="001733A6"/>
    <w:rsid w:val="001865A9"/>
    <w:rsid w:val="00187DB2"/>
    <w:rsid w:val="001B20BB"/>
    <w:rsid w:val="001C4370"/>
    <w:rsid w:val="001D0A36"/>
    <w:rsid w:val="001D3779"/>
    <w:rsid w:val="001F0469"/>
    <w:rsid w:val="00203A98"/>
    <w:rsid w:val="00206EDD"/>
    <w:rsid w:val="0021247E"/>
    <w:rsid w:val="002146F6"/>
    <w:rsid w:val="00231C32"/>
    <w:rsid w:val="00240345"/>
    <w:rsid w:val="002421F0"/>
    <w:rsid w:val="00247274"/>
    <w:rsid w:val="00260ECE"/>
    <w:rsid w:val="00266966"/>
    <w:rsid w:val="00285C36"/>
    <w:rsid w:val="00294C0C"/>
    <w:rsid w:val="002A0934"/>
    <w:rsid w:val="002A3776"/>
    <w:rsid w:val="002B1013"/>
    <w:rsid w:val="002D03E5"/>
    <w:rsid w:val="002E165B"/>
    <w:rsid w:val="002E3F1D"/>
    <w:rsid w:val="002F31D0"/>
    <w:rsid w:val="00300359"/>
    <w:rsid w:val="0031773E"/>
    <w:rsid w:val="00333871"/>
    <w:rsid w:val="00347716"/>
    <w:rsid w:val="003506E1"/>
    <w:rsid w:val="00351200"/>
    <w:rsid w:val="003727E3"/>
    <w:rsid w:val="00384235"/>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1D2E"/>
    <w:rsid w:val="00473E9C"/>
    <w:rsid w:val="00480099"/>
    <w:rsid w:val="004941A2"/>
    <w:rsid w:val="00497858"/>
    <w:rsid w:val="004A729A"/>
    <w:rsid w:val="004B4FEA"/>
    <w:rsid w:val="004C0ADA"/>
    <w:rsid w:val="004C433E"/>
    <w:rsid w:val="004C4512"/>
    <w:rsid w:val="004C4F36"/>
    <w:rsid w:val="004D3D85"/>
    <w:rsid w:val="004E056F"/>
    <w:rsid w:val="004E2BD8"/>
    <w:rsid w:val="004F0F1F"/>
    <w:rsid w:val="005022AA"/>
    <w:rsid w:val="00504845"/>
    <w:rsid w:val="0050757F"/>
    <w:rsid w:val="00516AD2"/>
    <w:rsid w:val="00545DAE"/>
    <w:rsid w:val="00571B83"/>
    <w:rsid w:val="00575A00"/>
    <w:rsid w:val="00586417"/>
    <w:rsid w:val="0058673C"/>
    <w:rsid w:val="005871DD"/>
    <w:rsid w:val="005A7972"/>
    <w:rsid w:val="005B17E7"/>
    <w:rsid w:val="005B2643"/>
    <w:rsid w:val="005D17FD"/>
    <w:rsid w:val="005E4742"/>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69A0"/>
    <w:rsid w:val="006A2FC5"/>
    <w:rsid w:val="006A7D75"/>
    <w:rsid w:val="006B0A70"/>
    <w:rsid w:val="006B606A"/>
    <w:rsid w:val="006C33AF"/>
    <w:rsid w:val="006D16EF"/>
    <w:rsid w:val="006D5D22"/>
    <w:rsid w:val="006E0324"/>
    <w:rsid w:val="006E4A76"/>
    <w:rsid w:val="006F1DBD"/>
    <w:rsid w:val="00700556"/>
    <w:rsid w:val="0070589A"/>
    <w:rsid w:val="00711235"/>
    <w:rsid w:val="007167DD"/>
    <w:rsid w:val="0072478B"/>
    <w:rsid w:val="0073414D"/>
    <w:rsid w:val="007475A1"/>
    <w:rsid w:val="0075235E"/>
    <w:rsid w:val="007528A5"/>
    <w:rsid w:val="007732CC"/>
    <w:rsid w:val="00774079"/>
    <w:rsid w:val="0077752B"/>
    <w:rsid w:val="00793D6F"/>
    <w:rsid w:val="00794090"/>
    <w:rsid w:val="007A44F8"/>
    <w:rsid w:val="007C409F"/>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50523"/>
    <w:rsid w:val="00961620"/>
    <w:rsid w:val="009734B6"/>
    <w:rsid w:val="00974AAB"/>
    <w:rsid w:val="0098096F"/>
    <w:rsid w:val="0098437A"/>
    <w:rsid w:val="00986C92"/>
    <w:rsid w:val="00993C47"/>
    <w:rsid w:val="009972BC"/>
    <w:rsid w:val="009B4B16"/>
    <w:rsid w:val="009E54A1"/>
    <w:rsid w:val="009F4E25"/>
    <w:rsid w:val="009F5B1F"/>
    <w:rsid w:val="00A03BF5"/>
    <w:rsid w:val="00A225A9"/>
    <w:rsid w:val="00A3308E"/>
    <w:rsid w:val="00A35DFD"/>
    <w:rsid w:val="00A65510"/>
    <w:rsid w:val="00A702DF"/>
    <w:rsid w:val="00A775A3"/>
    <w:rsid w:val="00A81700"/>
    <w:rsid w:val="00A81B5B"/>
    <w:rsid w:val="00A82FAD"/>
    <w:rsid w:val="00A9673A"/>
    <w:rsid w:val="00A96EF2"/>
    <w:rsid w:val="00AA36F5"/>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4A46"/>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E3E82"/>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C4D7D"/>
    <w:rsid w:val="00DC54BA"/>
    <w:rsid w:val="00DD1750"/>
    <w:rsid w:val="00DD6B5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8587D23-2BED-4EDA-8F3B-DF626F33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AA36F5"/>
    <w:rPr>
      <w:sz w:val="16"/>
      <w:szCs w:val="16"/>
    </w:rPr>
  </w:style>
  <w:style w:type="paragraph" w:styleId="CommentText">
    <w:name w:val="annotation text"/>
    <w:basedOn w:val="Normal"/>
    <w:link w:val="CommentTextChar"/>
    <w:semiHidden/>
    <w:unhideWhenUsed/>
    <w:rsid w:val="00AA36F5"/>
    <w:rPr>
      <w:sz w:val="20"/>
      <w:szCs w:val="20"/>
    </w:rPr>
  </w:style>
  <w:style w:type="character" w:customStyle="1" w:styleId="CommentTextChar">
    <w:name w:val="Comment Text Char"/>
    <w:basedOn w:val="DefaultParagraphFont"/>
    <w:link w:val="CommentText"/>
    <w:semiHidden/>
    <w:rsid w:val="00AA36F5"/>
  </w:style>
  <w:style w:type="paragraph" w:styleId="CommentSubject">
    <w:name w:val="annotation subject"/>
    <w:basedOn w:val="CommentText"/>
    <w:next w:val="CommentText"/>
    <w:link w:val="CommentSubjectChar"/>
    <w:semiHidden/>
    <w:unhideWhenUsed/>
    <w:rsid w:val="00AA36F5"/>
    <w:rPr>
      <w:b/>
      <w:bCs/>
    </w:rPr>
  </w:style>
  <w:style w:type="character" w:customStyle="1" w:styleId="CommentSubjectChar">
    <w:name w:val="Comment Subject Char"/>
    <w:basedOn w:val="CommentTextChar"/>
    <w:link w:val="CommentSubject"/>
    <w:semiHidden/>
    <w:rsid w:val="00AA3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