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4FA0" w:rsidRPr="00B74A03" w:rsidP="00D14FA0" w14:paraId="30516326" w14:textId="77777777">
      <w:pPr>
        <w:pStyle w:val="Default"/>
        <w:spacing w:line="235" w:lineRule="auto"/>
        <w:rPr>
          <w:sz w:val="22"/>
          <w:szCs w:val="22"/>
        </w:rPr>
      </w:pPr>
      <w:bookmarkStart w:id="0" w:name="_GoBack"/>
      <w:bookmarkEnd w:id="0"/>
      <w:r w:rsidRPr="00B74A03">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D14FA0" w:rsidRPr="00B74A03" w:rsidP="00D14FA0" w14:paraId="3D557588" w14:textId="77777777">
      <w:pPr>
        <w:pStyle w:val="Default"/>
        <w:spacing w:line="235" w:lineRule="auto"/>
        <w:rPr>
          <w:sz w:val="22"/>
          <w:szCs w:val="22"/>
        </w:rPr>
      </w:pPr>
    </w:p>
    <w:p w:rsidR="00D14FA0" w:rsidRPr="00B74A03" w:rsidP="00D14FA0" w14:paraId="128ABC40"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54AED20" w14:textId="77777777" w:rsidTr="00BA591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D14FA0" w:rsidRPr="00B74A03" w:rsidP="00BA5911" w14:paraId="6F648E8E" w14:textId="77777777">
            <w:pPr>
              <w:spacing w:line="235" w:lineRule="auto"/>
              <w:rPr>
                <w:rFonts w:ascii="Times New Roman" w:hAnsi="Times New Roman"/>
                <w:sz w:val="22"/>
                <w:szCs w:val="22"/>
              </w:rPr>
            </w:pPr>
            <w:r w:rsidRPr="00B74A03">
              <w:rPr>
                <w:rFonts w:ascii="Times New Roman" w:hAnsi="Times New Roman"/>
                <w:b/>
                <w:sz w:val="22"/>
                <w:szCs w:val="22"/>
              </w:rPr>
              <w:t>Media Contact:</w:t>
            </w:r>
          </w:p>
          <w:p w:rsidR="00D14FA0" w:rsidRPr="00B74A03" w:rsidP="00BA5911" w14:paraId="7FBDDD56" w14:textId="3383DB90">
            <w:pPr>
              <w:spacing w:line="235" w:lineRule="auto"/>
              <w:rPr>
                <w:rFonts w:ascii="Times New Roman" w:hAnsi="Times New Roman"/>
                <w:sz w:val="22"/>
                <w:szCs w:val="22"/>
              </w:rPr>
            </w:pPr>
            <w:r>
              <w:rPr>
                <w:rFonts w:ascii="Times New Roman" w:hAnsi="Times New Roman"/>
                <w:sz w:val="22"/>
                <w:szCs w:val="22"/>
              </w:rPr>
              <w:t>Benjamin Arden (202) 418-0288</w:t>
            </w:r>
          </w:p>
          <w:p w:rsidR="00D14FA0" w:rsidRPr="00B74A03" w:rsidP="00BA5911" w14:paraId="31E120E8" w14:textId="68CFF265">
            <w:pPr>
              <w:spacing w:line="235" w:lineRule="auto"/>
              <w:rPr>
                <w:rFonts w:ascii="Times New Roman" w:hAnsi="Times New Roman"/>
                <w:sz w:val="22"/>
                <w:szCs w:val="22"/>
              </w:rPr>
            </w:pPr>
            <w:r>
              <w:rPr>
                <w:rFonts w:ascii="Times New Roman" w:hAnsi="Times New Roman"/>
                <w:sz w:val="22"/>
                <w:szCs w:val="22"/>
              </w:rPr>
              <w:t>Benjamin.Arden</w:t>
            </w:r>
            <w:r w:rsidRPr="00B74A03">
              <w:rPr>
                <w:rFonts w:ascii="Times New Roman" w:hAnsi="Times New Roman"/>
                <w:sz w:val="22"/>
                <w:szCs w:val="22"/>
              </w:rPr>
              <w:t xml:space="preserve">@fcc.gov </w:t>
            </w:r>
          </w:p>
          <w:p w:rsidR="00D14FA0" w:rsidRPr="00B74A03" w:rsidP="00BA5911" w14:paraId="24B83714" w14:textId="77777777">
            <w:pPr>
              <w:spacing w:line="235" w:lineRule="auto"/>
              <w:rPr>
                <w:rFonts w:ascii="Times New Roman" w:hAnsi="Times New Roman"/>
                <w:b/>
                <w:sz w:val="22"/>
                <w:szCs w:val="22"/>
              </w:rPr>
            </w:pPr>
            <w:r w:rsidRPr="00B74A03">
              <w:rPr>
                <w:rFonts w:ascii="Times New Roman" w:hAnsi="Times New Roman"/>
                <w:b/>
                <w:sz w:val="22"/>
                <w:szCs w:val="22"/>
              </w:rPr>
              <w:t xml:space="preserve"> </w:t>
            </w:r>
          </w:p>
          <w:p w:rsidR="00D14FA0" w:rsidRPr="00B74A03" w:rsidP="00BA5911" w14:paraId="4A25C917" w14:textId="77777777">
            <w:pPr>
              <w:spacing w:line="235" w:lineRule="auto"/>
              <w:rPr>
                <w:rFonts w:ascii="Times New Roman" w:hAnsi="Times New Roman"/>
                <w:b/>
                <w:sz w:val="22"/>
                <w:szCs w:val="22"/>
              </w:rPr>
            </w:pPr>
            <w:r w:rsidRPr="00B74A03">
              <w:rPr>
                <w:rFonts w:ascii="Times New Roman" w:hAnsi="Times New Roman"/>
                <w:b/>
                <w:sz w:val="22"/>
                <w:szCs w:val="22"/>
              </w:rPr>
              <w:t>For Immediate Release</w:t>
            </w:r>
          </w:p>
        </w:tc>
        <w:tc>
          <w:tcPr>
            <w:tcW w:w="4675" w:type="dxa"/>
          </w:tcPr>
          <w:p w:rsidR="00D14FA0" w:rsidRPr="00B74A03" w:rsidP="00BA5911" w14:paraId="26A0547E" w14:textId="77777777">
            <w:pPr>
              <w:spacing w:line="235" w:lineRule="auto"/>
              <w:ind w:left="1877"/>
              <w:rPr>
                <w:rFonts w:ascii="Times New Roman" w:hAnsi="Times New Roman"/>
                <w:b/>
                <w:sz w:val="22"/>
                <w:szCs w:val="22"/>
              </w:rPr>
            </w:pPr>
          </w:p>
          <w:p w:rsidR="00D14FA0" w:rsidRPr="00B74A03" w:rsidP="00BA5911" w14:paraId="6FD63725" w14:textId="77777777">
            <w:pPr>
              <w:spacing w:line="235" w:lineRule="auto"/>
              <w:ind w:left="1877"/>
              <w:rPr>
                <w:rFonts w:ascii="Times New Roman" w:hAnsi="Times New Roman"/>
                <w:b/>
                <w:sz w:val="22"/>
                <w:szCs w:val="22"/>
              </w:rPr>
            </w:pPr>
          </w:p>
          <w:p w:rsidR="00D14FA0" w:rsidRPr="00B74A03" w:rsidP="00BA5911" w14:paraId="080E6A53" w14:textId="77777777">
            <w:pPr>
              <w:spacing w:line="235" w:lineRule="auto"/>
              <w:ind w:left="1877"/>
              <w:rPr>
                <w:rFonts w:ascii="Times New Roman" w:hAnsi="Times New Roman"/>
                <w:b/>
                <w:sz w:val="22"/>
                <w:szCs w:val="22"/>
              </w:rPr>
            </w:pPr>
          </w:p>
          <w:p w:rsidR="00D14FA0" w:rsidRPr="00B74A03" w:rsidP="00BA5911" w14:paraId="2C11AA93" w14:textId="79EFF47E">
            <w:pPr>
              <w:spacing w:line="235" w:lineRule="auto"/>
              <w:ind w:left="1877"/>
              <w:rPr>
                <w:rFonts w:ascii="Times New Roman" w:hAnsi="Times New Roman"/>
                <w:b/>
                <w:sz w:val="22"/>
                <w:szCs w:val="22"/>
              </w:rPr>
            </w:pPr>
            <w:r>
              <w:rPr>
                <w:rFonts w:ascii="Times New Roman" w:hAnsi="Times New Roman"/>
                <w:b/>
                <w:sz w:val="22"/>
                <w:szCs w:val="22"/>
              </w:rPr>
              <w:t xml:space="preserve"> </w:t>
            </w:r>
          </w:p>
          <w:p w:rsidR="00D14FA0" w:rsidRPr="00B74A03" w:rsidP="00BA5911" w14:paraId="3CC99AA0" w14:textId="77777777">
            <w:pPr>
              <w:spacing w:line="235" w:lineRule="auto"/>
              <w:ind w:left="1877"/>
              <w:rPr>
                <w:rFonts w:ascii="Times New Roman" w:hAnsi="Times New Roman"/>
                <w:b/>
                <w:sz w:val="22"/>
                <w:szCs w:val="22"/>
              </w:rPr>
            </w:pPr>
          </w:p>
          <w:p w:rsidR="00D14FA0" w:rsidRPr="00B74A03" w:rsidP="00BA5911" w14:paraId="1D3DC212" w14:textId="77777777">
            <w:pPr>
              <w:spacing w:line="235" w:lineRule="auto"/>
              <w:ind w:left="1877"/>
              <w:rPr>
                <w:rFonts w:ascii="Times New Roman" w:hAnsi="Times New Roman"/>
                <w:b/>
                <w:sz w:val="22"/>
                <w:szCs w:val="22"/>
              </w:rPr>
            </w:pPr>
          </w:p>
        </w:tc>
      </w:tr>
    </w:tbl>
    <w:p w:rsidR="00D66A79" w:rsidP="00D66A79" w14:paraId="1F5DB830" w14:textId="77777777">
      <w:pPr>
        <w:jc w:val="center"/>
        <w:rPr>
          <w:b/>
          <w:bCs/>
          <w:sz w:val="26"/>
          <w:szCs w:val="26"/>
        </w:rPr>
      </w:pPr>
    </w:p>
    <w:p w:rsidR="00D641D3" w:rsidP="00D66A79" w14:paraId="7A01196A" w14:textId="6EAA992D">
      <w:pPr>
        <w:jc w:val="center"/>
        <w:rPr>
          <w:b/>
          <w:bCs/>
          <w:sz w:val="26"/>
          <w:szCs w:val="26"/>
        </w:rPr>
      </w:pPr>
      <w:r>
        <w:rPr>
          <w:b/>
          <w:bCs/>
          <w:sz w:val="26"/>
          <w:szCs w:val="26"/>
        </w:rPr>
        <w:t xml:space="preserve">FCC Orders Telecom Carriers With Ties To China’s Communist </w:t>
      </w:r>
      <w:r w:rsidR="00A94443">
        <w:rPr>
          <w:b/>
          <w:bCs/>
          <w:sz w:val="26"/>
          <w:szCs w:val="26"/>
        </w:rPr>
        <w:t>Regime</w:t>
      </w:r>
      <w:r>
        <w:rPr>
          <w:b/>
          <w:bCs/>
          <w:sz w:val="26"/>
          <w:szCs w:val="26"/>
        </w:rPr>
        <w:t xml:space="preserve"> To Show Cause Why Th</w:t>
      </w:r>
      <w:r w:rsidR="00267444">
        <w:rPr>
          <w:b/>
          <w:bCs/>
          <w:sz w:val="26"/>
          <w:szCs w:val="26"/>
        </w:rPr>
        <w:t>eir Authority T</w:t>
      </w:r>
      <w:r>
        <w:rPr>
          <w:b/>
          <w:bCs/>
          <w:sz w:val="26"/>
          <w:szCs w:val="26"/>
        </w:rPr>
        <w:t>o Operate In The U.S. Should Not Be Revoked</w:t>
      </w:r>
    </w:p>
    <w:p w:rsidR="00B74A03" w:rsidRPr="00B74A03" w:rsidP="00D14FA0" w14:paraId="4A3C45A6" w14:textId="77777777">
      <w:pPr>
        <w:jc w:val="center"/>
        <w:rPr>
          <w:b/>
          <w:bCs/>
          <w:sz w:val="26"/>
          <w:szCs w:val="26"/>
        </w:rPr>
      </w:pPr>
    </w:p>
    <w:p w:rsidR="00D14FA0" w:rsidP="00D66A79" w14:paraId="3518101A" w14:textId="11E8F4D6">
      <w:pPr>
        <w:rPr>
          <w:sz w:val="22"/>
          <w:szCs w:val="22"/>
        </w:rPr>
      </w:pPr>
      <w:r w:rsidRPr="00B74A03">
        <w:rPr>
          <w:sz w:val="22"/>
          <w:szCs w:val="22"/>
        </w:rPr>
        <w:t>WASHINGTON, DC, April 24, 202</w:t>
      </w:r>
      <w:r w:rsidR="00D66A79">
        <w:rPr>
          <w:sz w:val="22"/>
          <w:szCs w:val="22"/>
        </w:rPr>
        <w:t>0—Today, the Federal Communications Commission issued Show Cause Orders to four telecom companies with ties to the communist regime in China.  Those orders provide the carriers with 30 days to explain why the FCC should not initiate proceedings to revoke their authority to operate in the U.S.</w:t>
      </w:r>
      <w:r w:rsidR="00A72F13">
        <w:rPr>
          <w:sz w:val="22"/>
          <w:szCs w:val="22"/>
        </w:rPr>
        <w:t xml:space="preserve">  The four carriers</w:t>
      </w:r>
      <w:r w:rsidR="00D66A79">
        <w:rPr>
          <w:sz w:val="22"/>
          <w:szCs w:val="22"/>
        </w:rPr>
        <w:t xml:space="preserve"> are </w:t>
      </w:r>
      <w:r w:rsidRPr="00B74A03" w:rsidR="006A4EC6">
        <w:rPr>
          <w:sz w:val="22"/>
          <w:szCs w:val="22"/>
        </w:rPr>
        <w:t xml:space="preserve">China Telecom Americas, China Unicom Americas, Pacific Networks, and </w:t>
      </w:r>
      <w:r w:rsidRPr="00B74A03" w:rsidR="006A4EC6">
        <w:rPr>
          <w:sz w:val="22"/>
          <w:szCs w:val="22"/>
        </w:rPr>
        <w:t>ComNet</w:t>
      </w:r>
      <w:r w:rsidR="00AB4AB3">
        <w:rPr>
          <w:sz w:val="22"/>
          <w:szCs w:val="22"/>
        </w:rPr>
        <w:t>.</w:t>
      </w:r>
      <w:r w:rsidR="00A94443">
        <w:rPr>
          <w:sz w:val="22"/>
          <w:szCs w:val="22"/>
        </w:rPr>
        <w:t xml:space="preserve">  Commissioner Carr issued the following statemen</w:t>
      </w:r>
      <w:r w:rsidR="005020EB">
        <w:rPr>
          <w:sz w:val="22"/>
          <w:szCs w:val="22"/>
        </w:rPr>
        <w:t>t</w:t>
      </w:r>
      <w:r w:rsidR="00A94443">
        <w:rPr>
          <w:sz w:val="22"/>
          <w:szCs w:val="22"/>
        </w:rPr>
        <w:t>:</w:t>
      </w:r>
    </w:p>
    <w:p w:rsidR="006A4EC6" w:rsidRPr="00B74A03" w:rsidP="00D14FA0" w14:paraId="5E929344" w14:textId="38288254">
      <w:pPr>
        <w:rPr>
          <w:sz w:val="22"/>
          <w:szCs w:val="22"/>
        </w:rPr>
      </w:pPr>
    </w:p>
    <w:p w:rsidR="00A94443" w:rsidP="00B74A03" w14:paraId="2BBD7BCF" w14:textId="6DBC08D8">
      <w:pPr>
        <w:spacing w:after="200"/>
        <w:rPr>
          <w:sz w:val="22"/>
          <w:szCs w:val="22"/>
        </w:rPr>
      </w:pPr>
      <w:r w:rsidRPr="00B74A03">
        <w:rPr>
          <w:sz w:val="22"/>
          <w:szCs w:val="22"/>
        </w:rPr>
        <w:t>“</w:t>
      </w:r>
      <w:r w:rsidR="00AB4AB3">
        <w:rPr>
          <w:sz w:val="22"/>
          <w:szCs w:val="22"/>
        </w:rPr>
        <w:t xml:space="preserve">Last year, when we blocked China Mobile from entering the U.S. market based on national security concerns, I </w:t>
      </w:r>
      <w:r>
        <w:rPr>
          <w:sz w:val="22"/>
          <w:szCs w:val="22"/>
        </w:rPr>
        <w:t>said it was time for a</w:t>
      </w:r>
      <w:r w:rsidR="00AB4AB3">
        <w:rPr>
          <w:sz w:val="22"/>
          <w:szCs w:val="22"/>
        </w:rPr>
        <w:t xml:space="preserve"> top to bottom review of every telecom carrier with ties to the communist regime in China.</w:t>
      </w:r>
      <w:r>
        <w:rPr>
          <w:sz w:val="22"/>
          <w:szCs w:val="22"/>
        </w:rPr>
        <w:t xml:space="preserve">  </w:t>
      </w:r>
      <w:r w:rsidR="00AB4AB3">
        <w:rPr>
          <w:sz w:val="22"/>
          <w:szCs w:val="22"/>
        </w:rPr>
        <w:t>I am pleased with the progress we are making on that front</w:t>
      </w:r>
      <w:r>
        <w:rPr>
          <w:sz w:val="22"/>
          <w:szCs w:val="22"/>
        </w:rPr>
        <w:t>, as evidenced by today’s Show Cause orders.</w:t>
      </w:r>
    </w:p>
    <w:p w:rsidR="00C53DC1" w:rsidP="00B74A03" w14:paraId="63449FAB" w14:textId="2926629F">
      <w:pPr>
        <w:spacing w:after="200"/>
        <w:rPr>
          <w:sz w:val="22"/>
          <w:szCs w:val="22"/>
        </w:rPr>
      </w:pPr>
      <w:r>
        <w:rPr>
          <w:sz w:val="22"/>
          <w:szCs w:val="22"/>
        </w:rPr>
        <w:t>“Over the past few weeks, Americans</w:t>
      </w:r>
      <w:r w:rsidR="00306FE7">
        <w:rPr>
          <w:sz w:val="22"/>
          <w:szCs w:val="22"/>
        </w:rPr>
        <w:t xml:space="preserve"> have learned that they </w:t>
      </w:r>
      <w:r>
        <w:rPr>
          <w:sz w:val="22"/>
          <w:szCs w:val="22"/>
        </w:rPr>
        <w:t xml:space="preserve">no longer need to page through dusty foreign policy magazines to understand the consequences that flow from communist China’s </w:t>
      </w:r>
      <w:r w:rsidR="005F7A42">
        <w:rPr>
          <w:sz w:val="22"/>
          <w:szCs w:val="22"/>
        </w:rPr>
        <w:t xml:space="preserve">brutal </w:t>
      </w:r>
      <w:r>
        <w:rPr>
          <w:sz w:val="22"/>
          <w:szCs w:val="22"/>
        </w:rPr>
        <w:t>crackdown on freedom and free speech.</w:t>
      </w:r>
      <w:r w:rsidR="00306FE7">
        <w:rPr>
          <w:sz w:val="22"/>
          <w:szCs w:val="22"/>
        </w:rPr>
        <w:t xml:space="preserve">  </w:t>
      </w:r>
      <w:r>
        <w:rPr>
          <w:sz w:val="22"/>
          <w:szCs w:val="22"/>
        </w:rPr>
        <w:t>The communist party’s</w:t>
      </w:r>
      <w:r>
        <w:rPr>
          <w:sz w:val="22"/>
          <w:szCs w:val="22"/>
        </w:rPr>
        <w:t xml:space="preserve"> </w:t>
      </w:r>
      <w:r>
        <w:rPr>
          <w:sz w:val="22"/>
          <w:szCs w:val="22"/>
        </w:rPr>
        <w:t>silencing of critics and its disappearance of hero doctors a</w:t>
      </w:r>
      <w:r w:rsidR="005020EB">
        <w:rPr>
          <w:sz w:val="22"/>
          <w:szCs w:val="22"/>
        </w:rPr>
        <w:t>nd citizen journalists</w:t>
      </w:r>
      <w:r>
        <w:rPr>
          <w:sz w:val="22"/>
          <w:szCs w:val="22"/>
        </w:rPr>
        <w:t xml:space="preserve"> exacerbated the global spread of Covid-19.  </w:t>
      </w:r>
      <w:r>
        <w:rPr>
          <w:sz w:val="22"/>
          <w:szCs w:val="22"/>
        </w:rPr>
        <w:t>Americans are now experiencing the consequences of those oppressive actions in their own lives—whether in the loss of their jobs or their kids not being able to attend school due to Covid-19.</w:t>
      </w:r>
    </w:p>
    <w:p w:rsidR="00C53DC1" w:rsidP="00B74A03" w14:paraId="54A3B2A0" w14:textId="342B9879">
      <w:pPr>
        <w:spacing w:after="200"/>
        <w:rPr>
          <w:sz w:val="22"/>
          <w:szCs w:val="22"/>
        </w:rPr>
      </w:pPr>
      <w:r>
        <w:rPr>
          <w:sz w:val="22"/>
          <w:szCs w:val="22"/>
        </w:rPr>
        <w:t>“</w:t>
      </w:r>
      <w:r w:rsidR="003830FB">
        <w:rPr>
          <w:sz w:val="22"/>
          <w:szCs w:val="22"/>
        </w:rPr>
        <w:t xml:space="preserve">Since </w:t>
      </w:r>
      <w:r w:rsidR="005F7A42">
        <w:rPr>
          <w:sz w:val="22"/>
          <w:szCs w:val="22"/>
        </w:rPr>
        <w:t xml:space="preserve">communist China is willing to disappear its own people </w:t>
      </w:r>
      <w:r>
        <w:rPr>
          <w:sz w:val="22"/>
          <w:szCs w:val="22"/>
        </w:rPr>
        <w:t xml:space="preserve">to advance </w:t>
      </w:r>
      <w:r w:rsidR="005F7A42">
        <w:rPr>
          <w:sz w:val="22"/>
          <w:szCs w:val="22"/>
        </w:rPr>
        <w:t>the regime’s geopolitical agenda, it is appropriate</w:t>
      </w:r>
      <w:r w:rsidR="003830FB">
        <w:rPr>
          <w:sz w:val="22"/>
          <w:szCs w:val="22"/>
        </w:rPr>
        <w:t xml:space="preserve"> for the FCC to closely scrutinize telecom carriers with ties to that regime.  </w:t>
      </w:r>
      <w:r w:rsidR="005020EB">
        <w:rPr>
          <w:sz w:val="22"/>
          <w:szCs w:val="22"/>
        </w:rPr>
        <w:t>This is a prudent step to ensure the security of America’s telecom networks.  I</w:t>
      </w:r>
      <w:r w:rsidR="003830FB">
        <w:rPr>
          <w:sz w:val="22"/>
          <w:szCs w:val="22"/>
        </w:rPr>
        <w:t xml:space="preserve">n the Show Cause orders issued today, we give carriers 30 days to explain why the FCC should not initiate proceedings to revoke their authority.  They now have the opportunity to </w:t>
      </w:r>
      <w:r>
        <w:rPr>
          <w:sz w:val="22"/>
          <w:szCs w:val="22"/>
        </w:rPr>
        <w:t xml:space="preserve">provide evidence showing that they are not subject </w:t>
      </w:r>
      <w:r w:rsidRPr="003830FB" w:rsidR="003830FB">
        <w:rPr>
          <w:sz w:val="22"/>
          <w:szCs w:val="22"/>
        </w:rPr>
        <w:t>to the</w:t>
      </w:r>
      <w:r>
        <w:rPr>
          <w:sz w:val="22"/>
          <w:szCs w:val="22"/>
        </w:rPr>
        <w:t xml:space="preserve"> </w:t>
      </w:r>
      <w:r w:rsidRPr="003830FB" w:rsidR="003830FB">
        <w:rPr>
          <w:sz w:val="22"/>
          <w:szCs w:val="22"/>
        </w:rPr>
        <w:t>exploitation, influence, and control of the Chinese government</w:t>
      </w:r>
      <w:r w:rsidR="005020EB">
        <w:rPr>
          <w:sz w:val="22"/>
          <w:szCs w:val="22"/>
        </w:rPr>
        <w:t xml:space="preserve"> such that we should not look to revoke their</w:t>
      </w:r>
      <w:r>
        <w:rPr>
          <w:sz w:val="22"/>
          <w:szCs w:val="22"/>
        </w:rPr>
        <w:t xml:space="preserve"> authority </w:t>
      </w:r>
      <w:r w:rsidR="005020EB">
        <w:rPr>
          <w:sz w:val="22"/>
          <w:szCs w:val="22"/>
        </w:rPr>
        <w:t>to operate in the U.S.</w:t>
      </w:r>
      <w:r>
        <w:rPr>
          <w:sz w:val="22"/>
          <w:szCs w:val="22"/>
        </w:rPr>
        <w:t xml:space="preserve">  I look forward to reviewing the record that develops and reaching a final decision on those key issues.”</w:t>
      </w:r>
      <w:r w:rsidR="00AB4AB3">
        <w:rPr>
          <w:sz w:val="22"/>
          <w:szCs w:val="22"/>
        </w:rPr>
        <w:t xml:space="preserve"> </w:t>
      </w:r>
    </w:p>
    <w:p w:rsidR="00B74A03" w:rsidRPr="00B74A03" w:rsidP="00B74A03" w14:paraId="144670F4" w14:textId="2708956B">
      <w:pPr>
        <w:spacing w:after="200"/>
        <w:rPr>
          <w:sz w:val="22"/>
          <w:szCs w:val="22"/>
        </w:rPr>
      </w:pPr>
      <w:r>
        <w:rPr>
          <w:sz w:val="22"/>
          <w:szCs w:val="22"/>
        </w:rPr>
        <w:t xml:space="preserve">  </w:t>
      </w:r>
    </w:p>
    <w:p w:rsidR="00364379" w:rsidP="00364379" w14:paraId="0CA8C130" w14:textId="77777777">
      <w:pPr>
        <w:spacing w:line="235" w:lineRule="auto"/>
        <w:jc w:val="center"/>
        <w:rPr>
          <w:sz w:val="22"/>
          <w:szCs w:val="22"/>
        </w:rPr>
      </w:pPr>
      <w:r>
        <w:rPr>
          <w:sz w:val="22"/>
          <w:szCs w:val="22"/>
        </w:rPr>
        <w:t>###</w:t>
      </w:r>
    </w:p>
    <w:p w:rsidR="00364379" w:rsidRPr="009E01AA" w:rsidP="00364379" w14:paraId="41080283" w14:textId="77777777">
      <w:pPr>
        <w:spacing w:line="235" w:lineRule="auto"/>
        <w:rPr>
          <w:sz w:val="22"/>
          <w:szCs w:val="22"/>
        </w:rPr>
      </w:pPr>
    </w:p>
    <w:p w:rsidR="00364379" w:rsidRPr="00361516" w:rsidP="00364379" w14:paraId="6B553EA5" w14:textId="77777777">
      <w:pPr>
        <w:spacing w:line="235" w:lineRule="auto"/>
        <w:jc w:val="center"/>
        <w:rPr>
          <w:b/>
          <w:sz w:val="22"/>
          <w:szCs w:val="22"/>
        </w:rPr>
      </w:pPr>
      <w:r w:rsidRPr="00361516">
        <w:rPr>
          <w:b/>
          <w:sz w:val="22"/>
          <w:szCs w:val="22"/>
        </w:rPr>
        <w:t>Office of Commissioner Brendan Carr: (202) 418-2200</w:t>
      </w:r>
    </w:p>
    <w:p w:rsidR="00B74A03" w:rsidRPr="00B74A03" w:rsidP="00D66A79" w14:paraId="7BAA7791" w14:textId="799F95CD">
      <w:pPr>
        <w:spacing w:line="235" w:lineRule="auto"/>
        <w:jc w:val="center"/>
        <w:rPr>
          <w:sz w:val="22"/>
          <w:szCs w:val="22"/>
        </w:rPr>
      </w:pPr>
      <w:r w:rsidRPr="00361516">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A0"/>
    <w:rsid w:val="00267444"/>
    <w:rsid w:val="00306FE7"/>
    <w:rsid w:val="00361516"/>
    <w:rsid w:val="00364379"/>
    <w:rsid w:val="003830FB"/>
    <w:rsid w:val="003A6E9A"/>
    <w:rsid w:val="004502C6"/>
    <w:rsid w:val="005020EB"/>
    <w:rsid w:val="005722BF"/>
    <w:rsid w:val="005F7A42"/>
    <w:rsid w:val="00624A35"/>
    <w:rsid w:val="006A4EC6"/>
    <w:rsid w:val="009E01AA"/>
    <w:rsid w:val="00A72F13"/>
    <w:rsid w:val="00A94443"/>
    <w:rsid w:val="00AB4AB3"/>
    <w:rsid w:val="00AD79BF"/>
    <w:rsid w:val="00B74A03"/>
    <w:rsid w:val="00BA5911"/>
    <w:rsid w:val="00C53DC1"/>
    <w:rsid w:val="00CE2804"/>
    <w:rsid w:val="00D14FA0"/>
    <w:rsid w:val="00D641D3"/>
    <w:rsid w:val="00D66A79"/>
    <w:rsid w:val="00E00835"/>
    <w:rsid w:val="00EE3D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9F4A89D-ABD0-4182-B9D2-FFB6ED95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A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FA0"/>
    <w:pPr>
      <w:autoSpaceDE w:val="0"/>
      <w:autoSpaceDN w:val="0"/>
      <w:adjustRightInd w:val="0"/>
    </w:pPr>
    <w:rPr>
      <w:rFonts w:cs="Times New Roman"/>
      <w:color w:val="000000"/>
      <w:sz w:val="24"/>
      <w:szCs w:val="24"/>
    </w:rPr>
  </w:style>
  <w:style w:type="table" w:styleId="TableGrid">
    <w:name w:val="Table Grid"/>
    <w:basedOn w:val="TableNormal"/>
    <w:uiPriority w:val="39"/>
    <w:rsid w:val="00D14FA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