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28B" w14:paraId="4E9576AD" w14:textId="77777777">
      <w:pPr>
        <w:jc w:val="center"/>
        <w:rPr>
          <w:b/>
        </w:rPr>
      </w:pPr>
      <w:r>
        <w:rPr>
          <w:b/>
        </w:rPr>
        <w:t>Before the</w:t>
      </w:r>
    </w:p>
    <w:p w:rsidR="0060228B" w14:paraId="56F6A463" w14:textId="77777777">
      <w:pPr>
        <w:jc w:val="center"/>
        <w:rPr>
          <w:b/>
        </w:rPr>
      </w:pPr>
      <w:r>
        <w:rPr>
          <w:b/>
        </w:rPr>
        <w:t>Federal Communications Commission</w:t>
      </w:r>
    </w:p>
    <w:p w:rsidR="0060228B" w14:paraId="4F0D4620"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4B482380" w14:textId="77777777"/>
    <w:p w:rsidR="0060228B" w14:paraId="2986B23A" w14:textId="77777777"/>
    <w:tbl>
      <w:tblPr>
        <w:tblW w:w="0" w:type="auto"/>
        <w:tblLayout w:type="fixed"/>
        <w:tblLook w:val="0000"/>
      </w:tblPr>
      <w:tblGrid>
        <w:gridCol w:w="4698"/>
        <w:gridCol w:w="720"/>
        <w:gridCol w:w="4230"/>
      </w:tblGrid>
      <w:tr w14:paraId="529B2B35" w14:textId="77777777">
        <w:tblPrEx>
          <w:tblW w:w="0" w:type="auto"/>
          <w:tblLayout w:type="fixed"/>
          <w:tblLook w:val="0000"/>
        </w:tblPrEx>
        <w:tc>
          <w:tcPr>
            <w:tcW w:w="4698" w:type="dxa"/>
          </w:tcPr>
          <w:p w:rsidR="0060228B" w14:paraId="2F7034E9" w14:textId="77777777">
            <w:pPr>
              <w:ind w:right="-18"/>
            </w:pPr>
            <w:r>
              <w:t xml:space="preserve">In the </w:t>
            </w:r>
            <w:r w:rsidR="002A29D2">
              <w:t>M</w:t>
            </w:r>
            <w:r>
              <w:t>atter of</w:t>
            </w:r>
          </w:p>
          <w:p w:rsidR="0060228B" w14:paraId="7EAAA050" w14:textId="77777777">
            <w:pPr>
              <w:ind w:right="-18"/>
            </w:pPr>
          </w:p>
          <w:p w:rsidR="0060228B" w14:paraId="72D51CD0" w14:textId="0A73FDDD">
            <w:pPr>
              <w:ind w:right="-18"/>
            </w:pPr>
            <w:r>
              <w:t>Implementing Section 13(d) of the Pallone-Thune Telephone Robocall Abuse Criminal Enforcement And Deterrence Act (TRACED Act)</w:t>
            </w:r>
          </w:p>
        </w:tc>
        <w:tc>
          <w:tcPr>
            <w:tcW w:w="720" w:type="dxa"/>
          </w:tcPr>
          <w:p w:rsidR="0060228B" w14:paraId="74BF4C39" w14:textId="77777777">
            <w:pPr>
              <w:rPr>
                <w:b/>
              </w:rPr>
            </w:pPr>
            <w:r>
              <w:rPr>
                <w:b/>
              </w:rPr>
              <w:t>)</w:t>
            </w:r>
          </w:p>
          <w:p w:rsidR="0060228B" w14:paraId="69DC1FDD" w14:textId="77777777">
            <w:pPr>
              <w:rPr>
                <w:b/>
              </w:rPr>
            </w:pPr>
            <w:r>
              <w:rPr>
                <w:b/>
              </w:rPr>
              <w:t>)</w:t>
            </w:r>
          </w:p>
          <w:p w:rsidR="0060228B" w14:paraId="3CBF568C" w14:textId="77777777">
            <w:pPr>
              <w:rPr>
                <w:b/>
              </w:rPr>
            </w:pPr>
            <w:r>
              <w:rPr>
                <w:b/>
              </w:rPr>
              <w:t>)</w:t>
            </w:r>
          </w:p>
          <w:p w:rsidR="0060228B" w14:paraId="13681CF7" w14:textId="77777777">
            <w:pPr>
              <w:rPr>
                <w:b/>
              </w:rPr>
            </w:pPr>
            <w:r>
              <w:rPr>
                <w:b/>
              </w:rPr>
              <w:t>)</w:t>
            </w:r>
          </w:p>
          <w:p w:rsidR="0060228B" w14:paraId="1C2BFCFC" w14:textId="77777777">
            <w:pPr>
              <w:rPr>
                <w:b/>
              </w:rPr>
            </w:pPr>
            <w:r>
              <w:rPr>
                <w:b/>
              </w:rPr>
              <w:t>)</w:t>
            </w:r>
          </w:p>
          <w:p w:rsidR="0060228B" w14:paraId="5E950D70" w14:textId="77777777">
            <w:pPr>
              <w:rPr>
                <w:b/>
              </w:rPr>
            </w:pPr>
            <w:r>
              <w:rPr>
                <w:b/>
              </w:rPr>
              <w:t>)</w:t>
            </w:r>
          </w:p>
          <w:p w:rsidR="0060228B" w14:paraId="17315CE1" w14:textId="77777777">
            <w:pPr>
              <w:rPr>
                <w:b/>
              </w:rPr>
            </w:pPr>
            <w:r>
              <w:rPr>
                <w:b/>
              </w:rPr>
              <w:t>)</w:t>
            </w:r>
          </w:p>
          <w:p w:rsidR="0060228B" w14:paraId="5BC4D963" w14:textId="77777777">
            <w:pPr>
              <w:rPr>
                <w:b/>
              </w:rPr>
            </w:pPr>
          </w:p>
        </w:tc>
        <w:tc>
          <w:tcPr>
            <w:tcW w:w="4230" w:type="dxa"/>
          </w:tcPr>
          <w:p w:rsidR="0060228B" w14:paraId="29D486E7" w14:textId="77777777"/>
          <w:p w:rsidR="0060228B" w14:paraId="594820E3" w14:textId="77777777"/>
          <w:p w:rsidR="0060228B" w14:paraId="3F227D8E" w14:textId="77777777"/>
          <w:p w:rsidR="0060228B" w:rsidRPr="008B5772" w:rsidP="00F25801" w14:paraId="2937894E" w14:textId="4617AEFF">
            <w:pPr>
              <w:rPr>
                <w:bCs/>
              </w:rPr>
            </w:pPr>
            <w:r w:rsidRPr="008B5772">
              <w:rPr>
                <w:bCs/>
              </w:rPr>
              <w:t>EB Docket No. 20-22</w:t>
            </w:r>
          </w:p>
        </w:tc>
      </w:tr>
    </w:tbl>
    <w:p w:rsidR="0060228B" w14:paraId="25D58119" w14:textId="77777777"/>
    <w:p w:rsidR="0060228B" w:rsidP="002A4E36" w14:paraId="0AC664B1" w14:textId="77FCE94E">
      <w:pPr>
        <w:spacing w:before="120"/>
        <w:jc w:val="center"/>
        <w:rPr>
          <w:b/>
          <w:spacing w:val="-2"/>
        </w:rPr>
      </w:pPr>
      <w:r>
        <w:rPr>
          <w:b/>
          <w:spacing w:val="-2"/>
        </w:rPr>
        <w:t>ERRATUM</w:t>
      </w:r>
    </w:p>
    <w:p w:rsidR="00E00E22" w14:paraId="78118E26" w14:textId="77777777">
      <w:pPr>
        <w:tabs>
          <w:tab w:val="left" w:pos="5760"/>
        </w:tabs>
        <w:rPr>
          <w:b/>
        </w:rPr>
      </w:pPr>
    </w:p>
    <w:p w:rsidR="0060228B" w:rsidP="002A29D2" w14:paraId="54873C51" w14:textId="1CB5B73B">
      <w:pPr>
        <w:jc w:val="right"/>
        <w:rPr>
          <w:b/>
        </w:rPr>
      </w:pPr>
      <w:r>
        <w:rPr>
          <w:b/>
        </w:rPr>
        <w:t xml:space="preserve">Released:  </w:t>
      </w:r>
      <w:r w:rsidR="0041676B">
        <w:rPr>
          <w:b/>
        </w:rPr>
        <w:t xml:space="preserve">April </w:t>
      </w:r>
      <w:r w:rsidR="00052F6C">
        <w:rPr>
          <w:b/>
        </w:rPr>
        <w:t>27</w:t>
      </w:r>
      <w:r w:rsidR="0041676B">
        <w:rPr>
          <w:b/>
        </w:rPr>
        <w:t>, 2020</w:t>
      </w:r>
    </w:p>
    <w:p w:rsidR="0060228B" w14:paraId="6321DAA5" w14:textId="77777777">
      <w:pPr>
        <w:tabs>
          <w:tab w:val="left" w:pos="5760"/>
        </w:tabs>
        <w:rPr>
          <w:b/>
        </w:rPr>
      </w:pPr>
    </w:p>
    <w:p w:rsidR="0060228B" w14:paraId="24CDE960" w14:textId="08BA027B">
      <w:pPr>
        <w:tabs>
          <w:tab w:val="left" w:pos="5760"/>
        </w:tabs>
      </w:pPr>
      <w:r>
        <w:t xml:space="preserve">By the </w:t>
      </w:r>
      <w:r w:rsidR="0041676B">
        <w:t>Chief, Enforcement Bureau</w:t>
      </w:r>
      <w:r>
        <w:rPr>
          <w:spacing w:val="-2"/>
        </w:rPr>
        <w:t>:</w:t>
      </w:r>
    </w:p>
    <w:p w:rsidR="0060228B" w14:paraId="0A7EBDE7" w14:textId="77777777"/>
    <w:p w:rsidR="0041676B" w:rsidP="002A29D2" w14:paraId="5FAB9B78" w14:textId="57483F72">
      <w:pPr>
        <w:pStyle w:val="ParaNum"/>
        <w:numPr>
          <w:ilvl w:val="0"/>
          <w:numId w:val="0"/>
        </w:numPr>
      </w:pPr>
      <w:r>
        <w:t xml:space="preserve"> </w:t>
      </w:r>
      <w:r>
        <w:tab/>
      </w:r>
      <w:r w:rsidR="00B07300">
        <w:t xml:space="preserve">On </w:t>
      </w:r>
      <w:r w:rsidRPr="0041676B">
        <w:t>March 27, 2020, the Commission released the Report and Order and Further Notice of Proposed Rulemaking (</w:t>
      </w:r>
      <w:r w:rsidRPr="0041676B">
        <w:rPr>
          <w:i/>
        </w:rPr>
        <w:t>R&amp;O and FNPRM</w:t>
      </w:r>
      <w:r w:rsidRPr="0041676B">
        <w:t xml:space="preserve">), FCC 20-34, in the above captioned proceeding.  To conform to the publishing conventions of the National Archives and Records Administration’s Office of the Federal Register, this Erratum amends Appendix A of the </w:t>
      </w:r>
      <w:r w:rsidRPr="0041676B">
        <w:rPr>
          <w:i/>
        </w:rPr>
        <w:t>R&amp;O and FNPRM</w:t>
      </w:r>
      <w:r w:rsidRPr="0041676B">
        <w:t xml:space="preserve"> as indicated below</w:t>
      </w:r>
      <w:r>
        <w:t>.</w:t>
      </w:r>
    </w:p>
    <w:p w:rsidR="0041676B" w:rsidP="0041676B" w14:paraId="598B4430" w14:textId="77777777">
      <w:pPr>
        <w:pStyle w:val="ParaNum"/>
        <w:tabs>
          <w:tab w:val="num" w:pos="720"/>
        </w:tabs>
        <w:ind w:firstLine="360"/>
      </w:pPr>
      <w:r>
        <w:t xml:space="preserve">In </w:t>
      </w:r>
      <w:r w:rsidRPr="00AD1B9A">
        <w:rPr>
          <w:b/>
        </w:rPr>
        <w:t>A</w:t>
      </w:r>
      <w:r w:rsidRPr="00AD1B9A">
        <w:rPr>
          <w:rFonts w:ascii="Times New Roman Bold" w:hAnsi="Times New Roman Bold"/>
          <w:b/>
          <w:caps/>
        </w:rPr>
        <w:t>ppendix</w:t>
      </w:r>
      <w:r w:rsidRPr="00AD1B9A">
        <w:rPr>
          <w:b/>
        </w:rPr>
        <w:t xml:space="preserve"> A</w:t>
      </w:r>
      <w:r>
        <w:t>, the first sentence is corrected to read as follows:</w:t>
      </w:r>
    </w:p>
    <w:p w:rsidR="0041676B" w:rsidP="0041676B" w14:paraId="4EC3BC5B" w14:textId="395279A8">
      <w:pPr>
        <w:pStyle w:val="ParaNum"/>
        <w:numPr>
          <w:ilvl w:val="0"/>
          <w:numId w:val="0"/>
        </w:numPr>
        <w:ind w:left="720"/>
      </w:pPr>
      <w:r>
        <w:t>“For the reasons discussed in the preamble</w:t>
      </w:r>
      <w:r w:rsidR="00C67E76">
        <w:t>,</w:t>
      </w:r>
      <w:r>
        <w:t xml:space="preserve"> the Federal Communications Commission amends 47 CFR part 0 and 64 as follows:”</w:t>
      </w:r>
    </w:p>
    <w:p w:rsidR="0041676B" w:rsidP="0041676B" w14:paraId="461DBD82" w14:textId="231E1C37">
      <w:pPr>
        <w:pStyle w:val="ParaNum"/>
        <w:tabs>
          <w:tab w:val="num" w:pos="720"/>
        </w:tabs>
        <w:ind w:firstLine="360"/>
      </w:pPr>
      <w:r>
        <w:t xml:space="preserve">In paragraph 2 under </w:t>
      </w:r>
      <w:r w:rsidR="001A738E">
        <w:t>p</w:t>
      </w:r>
      <w:r>
        <w:t>art</w:t>
      </w:r>
      <w:r>
        <w:t xml:space="preserve"> 0 — Commission Organization, the amendatory language is corrected to read as follows:</w:t>
      </w:r>
    </w:p>
    <w:p w:rsidR="0041676B" w:rsidP="0041676B" w14:paraId="7DFC04E1" w14:textId="09B6E391">
      <w:pPr>
        <w:pStyle w:val="ParaNum"/>
        <w:numPr>
          <w:ilvl w:val="0"/>
          <w:numId w:val="0"/>
        </w:numPr>
        <w:ind w:left="720"/>
      </w:pPr>
      <w:r>
        <w:t xml:space="preserve">       “2.  Amend </w:t>
      </w:r>
      <w:r w:rsidRPr="002F4037">
        <w:rPr>
          <w:rFonts w:eastAsia="Calibri"/>
        </w:rPr>
        <w:t>§</w:t>
      </w:r>
      <w:r>
        <w:rPr>
          <w:rFonts w:eastAsia="Calibri"/>
        </w:rPr>
        <w:t xml:space="preserve"> 0.111 by redesignating paragraph (i) as paragraph (j) and adding a new paragraph (i) </w:t>
      </w:r>
      <w:r w:rsidRPr="00965578">
        <w:t>to</w:t>
      </w:r>
      <w:r>
        <w:rPr>
          <w:rFonts w:eastAsia="Calibri"/>
        </w:rPr>
        <w:t xml:space="preserve"> read as follows:”</w:t>
      </w:r>
    </w:p>
    <w:p w:rsidR="0041676B" w:rsidP="0041676B" w14:paraId="48543814" w14:textId="77777777">
      <w:pPr>
        <w:pStyle w:val="ParaNum"/>
        <w:numPr>
          <w:ilvl w:val="0"/>
          <w:numId w:val="0"/>
        </w:numPr>
        <w:ind w:left="360" w:firstLine="270"/>
      </w:pPr>
      <w:r>
        <w:t xml:space="preserve"> And, reference to redesignated paragraph (j) is deleted.</w:t>
      </w:r>
    </w:p>
    <w:p w:rsidR="0041676B" w:rsidP="0041676B" w14:paraId="61F83958" w14:textId="77777777">
      <w:pPr>
        <w:pStyle w:val="ParaNum"/>
        <w:tabs>
          <w:tab w:val="num" w:pos="720"/>
          <w:tab w:val="left" w:pos="1440"/>
        </w:tabs>
        <w:ind w:firstLine="360"/>
      </w:pPr>
      <w:r>
        <w:t>Paragraph (i), under section 0.111, is corrected to read as follows:</w:t>
      </w:r>
    </w:p>
    <w:p w:rsidR="0041676B" w:rsidRPr="00225B9D" w:rsidP="0041676B" w14:paraId="0ABCDC42" w14:textId="77777777">
      <w:pPr>
        <w:pStyle w:val="ParaNum"/>
        <w:numPr>
          <w:ilvl w:val="0"/>
          <w:numId w:val="0"/>
        </w:numPr>
        <w:ind w:left="720"/>
      </w:pPr>
      <w:r>
        <w:t xml:space="preserve">       “(i) C</w:t>
      </w:r>
      <w:r w:rsidRPr="00225B9D">
        <w:t>onduct the annual registration and select a single consortium to conduct private-led</w:t>
      </w:r>
      <w:r>
        <w:t xml:space="preserve">                    </w:t>
      </w:r>
      <w:r w:rsidRPr="00225B9D">
        <w:t>efforts to trace back the origin of suspected unlawful robocalls, under section 13(d) of the TRACED Act, 133 Stat. at 3287, and § 64.1203 of this chapter, consistent with FCC No. 20-34.</w:t>
      </w:r>
    </w:p>
    <w:p w:rsidR="0041676B" w:rsidRPr="00142F09" w:rsidP="0041676B" w14:paraId="0A5A8A0D" w14:textId="77777777">
      <w:pPr>
        <w:pStyle w:val="ParaNum"/>
        <w:numPr>
          <w:ilvl w:val="0"/>
          <w:numId w:val="0"/>
        </w:numPr>
        <w:ind w:left="720"/>
      </w:pPr>
      <w:r w:rsidRPr="00225B9D">
        <w:t>*****</w:t>
      </w:r>
    </w:p>
    <w:p w:rsidR="0041676B" w:rsidP="0041676B" w14:paraId="4E6EBF6E" w14:textId="3FC9F7ED">
      <w:pPr>
        <w:pStyle w:val="ParaNum"/>
        <w:tabs>
          <w:tab w:val="num" w:pos="720"/>
        </w:tabs>
        <w:ind w:firstLine="360"/>
      </w:pPr>
      <w:r w:rsidRPr="00C22835">
        <w:t xml:space="preserve">In paragraph </w:t>
      </w:r>
      <w:r>
        <w:t xml:space="preserve">1 under </w:t>
      </w:r>
      <w:r w:rsidR="001A738E">
        <w:t>p</w:t>
      </w:r>
      <w:r>
        <w:t>art</w:t>
      </w:r>
      <w:r>
        <w:t xml:space="preserve"> 64 — Miscellaneous Rules Relating To Common Carriers, paragraph 1 is redesignated paragraph 3 and the authority language is corrected to read as follows:</w:t>
      </w:r>
    </w:p>
    <w:p w:rsidR="0041676B" w:rsidRPr="00E82D7D" w:rsidP="0041676B" w14:paraId="09B2CD55" w14:textId="4BBDA92E">
      <w:pPr>
        <w:pStyle w:val="ParaNum"/>
        <w:numPr>
          <w:ilvl w:val="0"/>
          <w:numId w:val="0"/>
        </w:numPr>
        <w:ind w:left="720"/>
        <w:rPr>
          <w:rFonts w:eastAsia="Calibri"/>
          <w:szCs w:val="22"/>
        </w:rPr>
      </w:pPr>
      <w:r>
        <w:t xml:space="preserve">       “</w:t>
      </w:r>
      <w:r>
        <w:rPr>
          <w:b/>
          <w:bCs/>
        </w:rPr>
        <w:t>Authority:</w:t>
      </w:r>
      <w:r>
        <w:t xml:space="preserve">  </w:t>
      </w:r>
      <w:r w:rsidRPr="005371D9">
        <w:rPr>
          <w:rFonts w:eastAsia="Calibri"/>
          <w:szCs w:val="22"/>
        </w:rPr>
        <w:t>47 U.S</w:t>
      </w:r>
      <w:r>
        <w:rPr>
          <w:rFonts w:eastAsia="Calibri"/>
          <w:szCs w:val="22"/>
        </w:rPr>
        <w:t>.</w:t>
      </w:r>
      <w:r w:rsidRPr="005371D9">
        <w:rPr>
          <w:rFonts w:eastAsia="Calibri"/>
          <w:szCs w:val="22"/>
        </w:rPr>
        <w:t>C. 154, 201, 202, 217, 218, 220, 225, 226, 227, 228, 251(e), 254(k), 262</w:t>
      </w:r>
      <w:r>
        <w:rPr>
          <w:rFonts w:eastAsia="Calibri"/>
          <w:szCs w:val="22"/>
        </w:rPr>
        <w:t xml:space="preserve">, </w:t>
      </w:r>
      <w:r w:rsidRPr="005371D9">
        <w:rPr>
          <w:rFonts w:eastAsia="Calibri"/>
          <w:szCs w:val="22"/>
        </w:rPr>
        <w:t>403(b),</w:t>
      </w:r>
      <w:r>
        <w:rPr>
          <w:rFonts w:eastAsia="Calibri"/>
          <w:szCs w:val="22"/>
        </w:rPr>
        <w:t xml:space="preserve"> </w:t>
      </w:r>
      <w:r w:rsidRPr="005371D9">
        <w:rPr>
          <w:rFonts w:eastAsia="Calibri"/>
          <w:szCs w:val="22"/>
        </w:rPr>
        <w:t>(2)(B), (c), 616, 620, 1401-1473</w:t>
      </w:r>
      <w:r>
        <w:rPr>
          <w:rFonts w:eastAsia="Calibri"/>
          <w:szCs w:val="22"/>
        </w:rPr>
        <w:t>,</w:t>
      </w:r>
      <w:r w:rsidRPr="005371D9">
        <w:rPr>
          <w:rFonts w:eastAsia="Calibri"/>
          <w:szCs w:val="22"/>
        </w:rPr>
        <w:t xml:space="preserve"> unless otherwise noted</w:t>
      </w:r>
      <w:r w:rsidR="00B35E64">
        <w:rPr>
          <w:rFonts w:eastAsia="Calibri"/>
          <w:szCs w:val="22"/>
        </w:rPr>
        <w:t>.</w:t>
      </w:r>
      <w:r>
        <w:rPr>
          <w:rFonts w:eastAsia="Calibri"/>
          <w:szCs w:val="22"/>
        </w:rPr>
        <w:t xml:space="preserve"> </w:t>
      </w:r>
      <w:r w:rsidRPr="00E82D7D">
        <w:rPr>
          <w:rFonts w:eastAsia="Calibri"/>
          <w:szCs w:val="22"/>
        </w:rPr>
        <w:t>sec. 503, Pub. L. 115-141, 132 Stat. 348.”</w:t>
      </w:r>
    </w:p>
    <w:p w:rsidR="0041676B" w:rsidP="0041676B" w14:paraId="2B7BFEB6" w14:textId="2F08E32F">
      <w:pPr>
        <w:pStyle w:val="ParaNum"/>
        <w:tabs>
          <w:tab w:val="num" w:pos="720"/>
          <w:tab w:val="left" w:pos="1440"/>
        </w:tabs>
        <w:ind w:firstLine="360"/>
      </w:pPr>
      <w:r>
        <w:t xml:space="preserve">In </w:t>
      </w:r>
      <w:r w:rsidR="001A738E">
        <w:t>p</w:t>
      </w:r>
      <w:r>
        <w:t xml:space="preserve">aragraph 2 under </w:t>
      </w:r>
      <w:r w:rsidR="001A738E">
        <w:t>p</w:t>
      </w:r>
      <w:r>
        <w:t>art</w:t>
      </w:r>
      <w:r>
        <w:t xml:space="preserve"> 64 — Miscellaneous Rules Relating To Common Carriers, paragraph 2 is redesignated paragraph 4 and is corrected to read as follows:</w:t>
      </w:r>
    </w:p>
    <w:p w:rsidR="0041676B" w:rsidP="0041676B" w14:paraId="4EE754DF" w14:textId="77777777">
      <w:pPr>
        <w:pStyle w:val="ParaNum"/>
        <w:numPr>
          <w:ilvl w:val="0"/>
          <w:numId w:val="0"/>
        </w:numPr>
        <w:ind w:left="720"/>
      </w:pPr>
      <w:r>
        <w:t xml:space="preserve">        “Add </w:t>
      </w:r>
      <w:r w:rsidRPr="002F4037">
        <w:rPr>
          <w:rFonts w:eastAsia="Calibri"/>
        </w:rPr>
        <w:t>§</w:t>
      </w:r>
      <w:r>
        <w:t xml:space="preserve"> 64.1203 to read as follows:” </w:t>
      </w:r>
    </w:p>
    <w:p w:rsidR="0087060A" w:rsidP="0041676B" w14:paraId="5DD438F7" w14:textId="7531E359">
      <w:pPr>
        <w:pStyle w:val="ParaNum"/>
        <w:tabs>
          <w:tab w:val="num" w:pos="720"/>
          <w:tab w:val="left" w:pos="1440"/>
        </w:tabs>
        <w:ind w:firstLine="360"/>
      </w:pPr>
      <w:r>
        <w:t>Paragraph (a), under section 64.1203, is corrected to read as follows:</w:t>
      </w:r>
    </w:p>
    <w:p w:rsidR="0087060A" w:rsidP="00E82D7D" w14:paraId="15EBB8EF" w14:textId="2644ED08">
      <w:pPr>
        <w:pStyle w:val="ParaNum"/>
        <w:numPr>
          <w:ilvl w:val="0"/>
          <w:numId w:val="0"/>
        </w:numPr>
        <w:ind w:left="720"/>
      </w:pPr>
      <w:r>
        <w:t xml:space="preserve">      </w:t>
      </w:r>
      <w:r>
        <w:t>“</w:t>
      </w:r>
      <w:r w:rsidRPr="0087060A">
        <w:t>(a) The Enforcement Bureau shall issue a public notice no later than April 28 annually seeking registration of a single consortium that conducts private-led efforts to trace back the origin of suspected unlawful robocalls.</w:t>
      </w:r>
      <w:r>
        <w:t>”</w:t>
      </w:r>
    </w:p>
    <w:p w:rsidR="0041676B" w:rsidP="0041676B" w14:paraId="1BAFD72A" w14:textId="3C91572F">
      <w:pPr>
        <w:pStyle w:val="ParaNum"/>
        <w:tabs>
          <w:tab w:val="num" w:pos="720"/>
          <w:tab w:val="left" w:pos="1440"/>
        </w:tabs>
        <w:ind w:firstLine="360"/>
      </w:pPr>
      <w:r>
        <w:t xml:space="preserve">In </w:t>
      </w:r>
      <w:r w:rsidR="001A738E">
        <w:t>p</w:t>
      </w:r>
      <w:r>
        <w:t>aragraph (b), under section 64.1203, the first sentence is corrected to read as follows:</w:t>
      </w:r>
    </w:p>
    <w:p w:rsidR="0041676B" w:rsidP="0041676B" w14:paraId="43DE2C2A" w14:textId="1ADC354F">
      <w:pPr>
        <w:pStyle w:val="ParaNum"/>
        <w:numPr>
          <w:ilvl w:val="0"/>
          <w:numId w:val="0"/>
        </w:numPr>
        <w:ind w:left="720"/>
        <w:rPr>
          <w:rFonts w:eastAsia="Calibri"/>
          <w:szCs w:val="22"/>
        </w:rPr>
      </w:pPr>
      <w:r>
        <w:t xml:space="preserve">       “(b) </w:t>
      </w:r>
      <w:r>
        <w:rPr>
          <w:rFonts w:eastAsia="Calibri"/>
          <w:szCs w:val="22"/>
        </w:rPr>
        <w:t>Except as provided in paragraph (c) of this section, a</w:t>
      </w:r>
      <w:r w:rsidRPr="007B50B9">
        <w:rPr>
          <w:rFonts w:eastAsia="Calibri"/>
          <w:szCs w:val="22"/>
        </w:rPr>
        <w:t xml:space="preserve">n entity that seeks to register as the single consortium that conducts private-led efforts to trace back the origin of suspected unlawful robocalls must submit a letter and associated documentation in response to the public notice issued pursuant to </w:t>
      </w:r>
      <w:r>
        <w:rPr>
          <w:rFonts w:eastAsia="Calibri"/>
          <w:szCs w:val="22"/>
        </w:rPr>
        <w:t>paragraph</w:t>
      </w:r>
      <w:r w:rsidRPr="007B50B9">
        <w:rPr>
          <w:rFonts w:eastAsia="Calibri"/>
          <w:szCs w:val="22"/>
        </w:rPr>
        <w:t xml:space="preserve"> (a) of this </w:t>
      </w:r>
      <w:r>
        <w:rPr>
          <w:rFonts w:eastAsia="Calibri"/>
          <w:szCs w:val="22"/>
        </w:rPr>
        <w:t>section</w:t>
      </w:r>
      <w:r w:rsidRPr="007B50B9">
        <w:rPr>
          <w:rFonts w:eastAsia="Calibri"/>
          <w:szCs w:val="22"/>
        </w:rPr>
        <w:t>.  In the letter, the entity must:</w:t>
      </w:r>
      <w:r w:rsidR="007C5B30">
        <w:rPr>
          <w:rFonts w:eastAsia="Calibri"/>
          <w:szCs w:val="22"/>
        </w:rPr>
        <w:t>”</w:t>
      </w:r>
    </w:p>
    <w:p w:rsidR="0041676B" w:rsidP="0041676B" w14:paraId="3D513328" w14:textId="77777777">
      <w:pPr>
        <w:pStyle w:val="ParaNum"/>
        <w:tabs>
          <w:tab w:val="num" w:pos="720"/>
          <w:tab w:val="left" w:pos="1440"/>
        </w:tabs>
        <w:ind w:firstLine="360"/>
      </w:pPr>
      <w:r>
        <w:t>Paragraph (b)(5)(i) is corrected to read as follows:</w:t>
      </w:r>
    </w:p>
    <w:p w:rsidR="0041676B" w:rsidP="0041676B" w14:paraId="6F244E95" w14:textId="77777777">
      <w:pPr>
        <w:pStyle w:val="ParaNum"/>
        <w:numPr>
          <w:ilvl w:val="0"/>
          <w:numId w:val="0"/>
        </w:numPr>
        <w:ind w:left="720"/>
      </w:pPr>
      <w:r>
        <w:t xml:space="preserve">        “(i) Remain in compliance with the requirements of paragraphs (b)(1) through (4) of this section;”</w:t>
      </w:r>
    </w:p>
    <w:p w:rsidR="0041676B" w:rsidP="0041676B" w14:paraId="5EE7AE27" w14:textId="77777777">
      <w:pPr>
        <w:pStyle w:val="ParaNum"/>
        <w:tabs>
          <w:tab w:val="num" w:pos="720"/>
          <w:tab w:val="left" w:pos="1440"/>
        </w:tabs>
        <w:ind w:firstLine="360"/>
      </w:pPr>
      <w:r>
        <w:t xml:space="preserve"> Paragraph (b)(5)(ii) is corrected to read as follows:</w:t>
      </w:r>
    </w:p>
    <w:p w:rsidR="0041676B" w:rsidP="0041676B" w14:paraId="7910EA1A" w14:textId="77777777">
      <w:pPr>
        <w:pStyle w:val="ParaNum"/>
        <w:numPr>
          <w:ilvl w:val="0"/>
          <w:numId w:val="0"/>
        </w:numPr>
        <w:ind w:left="720"/>
      </w:pPr>
      <w:r>
        <w:t xml:space="preserve">        “(ii) Conduct an annual review to ensure compliance with the requirements set forth in paragraphs (b)(1) through (4) of this section; and”</w:t>
      </w:r>
    </w:p>
    <w:p w:rsidR="0041676B" w:rsidRPr="00C22835" w:rsidP="0041676B" w14:paraId="18F1E2C8" w14:textId="77777777">
      <w:pPr>
        <w:pStyle w:val="ParaNum"/>
        <w:tabs>
          <w:tab w:val="num" w:pos="720"/>
          <w:tab w:val="left" w:pos="1440"/>
        </w:tabs>
        <w:ind w:firstLine="360"/>
      </w:pPr>
      <w:r>
        <w:t>Paragraph (c) is corrected to read as follows:</w:t>
      </w:r>
    </w:p>
    <w:p w:rsidR="0041676B" w:rsidRPr="00A32859" w:rsidP="0041676B" w14:paraId="1295C589" w14:textId="77777777">
      <w:pPr>
        <w:pStyle w:val="ParaNum"/>
        <w:numPr>
          <w:ilvl w:val="0"/>
          <w:numId w:val="0"/>
        </w:numPr>
        <w:ind w:left="720" w:firstLine="360"/>
      </w:pPr>
      <w:r>
        <w:t xml:space="preserve"> “(c) The entity selected to be the registered consortium will not be required to file the letter mandated in paragraph (b) of this section in subsequent years after the consortium’s initial registration.  The registered consortium’s initial certifications, required by paragraph (b) of this section, will continue for the duration of each subsequent year unless the registered consortium notifies the Commission otherwise in writing on or before the date for filing letters set forth in the annual public notice issued pursuant to paragraph (a) of this section.  </w:t>
      </w:r>
    </w:p>
    <w:p w:rsidR="0041676B" w:rsidRPr="00A32859" w:rsidP="0041676B" w14:paraId="16C7D910" w14:textId="77777777">
      <w:pPr>
        <w:pStyle w:val="ParaNum"/>
        <w:keepNext/>
        <w:widowControl/>
        <w:numPr>
          <w:ilvl w:val="0"/>
          <w:numId w:val="0"/>
        </w:numPr>
        <w:spacing w:after="0"/>
        <w:rPr>
          <w:szCs w:val="22"/>
        </w:rPr>
      </w:pPr>
    </w:p>
    <w:p w:rsidR="0041676B" w:rsidRPr="00A32859" w:rsidP="0041676B" w14:paraId="0BDEE873" w14:textId="77777777">
      <w:pPr>
        <w:keepNext/>
        <w:widowControl/>
      </w:pPr>
      <w:r w:rsidRPr="00A32859">
        <w:tab/>
      </w:r>
      <w:r w:rsidRPr="00A32859">
        <w:tab/>
      </w:r>
      <w:r w:rsidRPr="00A32859">
        <w:tab/>
      </w:r>
      <w:r w:rsidRPr="00A32859">
        <w:tab/>
      </w:r>
      <w:r w:rsidRPr="00A32859">
        <w:tab/>
      </w:r>
      <w:r w:rsidRPr="00A32859">
        <w:tab/>
        <w:t>FEDERAL COMMUNICATIONS COMMISSION</w:t>
      </w:r>
    </w:p>
    <w:p w:rsidR="0041676B" w:rsidRPr="00A32859" w:rsidP="0041676B" w14:paraId="018828A5" w14:textId="77777777">
      <w:pPr>
        <w:keepNext/>
        <w:widowControl/>
      </w:pPr>
    </w:p>
    <w:p w:rsidR="0041676B" w:rsidRPr="00A32859" w:rsidP="0041676B" w14:paraId="5F8C0381" w14:textId="77777777">
      <w:pPr>
        <w:keepNext/>
        <w:widowControl/>
      </w:pPr>
    </w:p>
    <w:p w:rsidR="0041676B" w:rsidRPr="00A32859" w:rsidP="0041676B" w14:paraId="196F433C" w14:textId="77777777">
      <w:pPr>
        <w:keepNext/>
        <w:widowControl/>
      </w:pPr>
    </w:p>
    <w:p w:rsidR="0041676B" w:rsidRPr="00A32859" w:rsidP="0041676B" w14:paraId="5C730BCB" w14:textId="77777777">
      <w:pPr>
        <w:keepNext/>
        <w:widowControl/>
      </w:pPr>
    </w:p>
    <w:p w:rsidR="0041676B" w:rsidRPr="00A32859" w:rsidP="0041676B" w14:paraId="44985106" w14:textId="77777777">
      <w:pPr>
        <w:keepNext/>
        <w:widowControl/>
      </w:pPr>
      <w:r w:rsidRPr="00A32859">
        <w:tab/>
      </w:r>
      <w:r w:rsidRPr="00A32859">
        <w:tab/>
      </w:r>
      <w:r w:rsidRPr="00A32859">
        <w:tab/>
      </w:r>
      <w:r w:rsidRPr="00A32859">
        <w:tab/>
      </w:r>
      <w:r w:rsidRPr="00A32859">
        <w:tab/>
      </w:r>
      <w:r w:rsidRPr="00A32859">
        <w:tab/>
      </w:r>
      <w:r>
        <w:t>Rosemary C. Harold</w:t>
      </w:r>
    </w:p>
    <w:p w:rsidR="00005721" w:rsidP="0041676B" w14:paraId="79F2BE9A" w14:textId="77777777">
      <w:pPr>
        <w:keepNext/>
        <w:widowControl/>
      </w:pPr>
      <w:r w:rsidRPr="00A32859">
        <w:tab/>
      </w:r>
      <w:r w:rsidRPr="00A32859">
        <w:tab/>
      </w:r>
      <w:r w:rsidRPr="00A32859">
        <w:tab/>
      </w:r>
      <w:r w:rsidRPr="00A32859">
        <w:tab/>
      </w:r>
      <w:r w:rsidRPr="00A32859">
        <w:tab/>
      </w:r>
      <w:r w:rsidRPr="00A32859">
        <w:tab/>
        <w:t xml:space="preserve">Chief </w:t>
      </w:r>
    </w:p>
    <w:p w:rsidR="0041676B" w:rsidRPr="00A32859" w:rsidP="00AC1F1E" w14:paraId="22692AB3" w14:textId="0F93FCAA">
      <w:pPr>
        <w:keepNext/>
        <w:widowControl/>
      </w:pPr>
      <w:r>
        <w:tab/>
      </w:r>
      <w:r>
        <w:tab/>
      </w:r>
      <w:r>
        <w:tab/>
      </w:r>
      <w:r>
        <w:tab/>
      </w:r>
      <w:r>
        <w:tab/>
      </w:r>
      <w:r>
        <w:tab/>
      </w:r>
      <w:r>
        <w:t>Enforcement Bureau</w:t>
      </w:r>
    </w:p>
    <w:p w:rsidR="002E484C" w:rsidP="00E00E22" w14:paraId="4202B32A" w14:textId="77777777">
      <w:pPr>
        <w:pStyle w:val="Heading1"/>
        <w:numPr>
          <w:ilvl w:val="0"/>
          <w:numId w:val="0"/>
        </w:numPr>
      </w:pPr>
      <w:bookmarkStart w:id="0" w:name="_GoBack"/>
      <w:bookmarkEnd w:id="0"/>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3755A36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C0C" w:rsidRPr="002A29D2" w:rsidP="00A47C0C" w14:paraId="2EB14085" w14:textId="78BD290A">
    <w:pPr>
      <w:pStyle w:val="Header"/>
    </w:pPr>
    <w:r>
      <w:tab/>
    </w:r>
    <w:r w:rsidRPr="002A29D2">
      <w:t>Federal Communications Commission</w:t>
    </w:r>
    <w:r w:rsidRPr="002A29D2">
      <w:tab/>
      <w:t xml:space="preserve"> </w:t>
    </w:r>
  </w:p>
  <w:p w:rsidR="00A47C0C" w:rsidP="00A47C0C" w14:paraId="61050874"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p w:rsidR="0060228B" w:rsidP="00A47C0C" w14:paraId="3C64FEAD" w14:textId="676BD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616ABB0E" w14:textId="021CA18F">
    <w:pPr>
      <w:pStyle w:val="Header"/>
    </w:pPr>
    <w:r>
      <w:tab/>
    </w:r>
    <w:r w:rsidRPr="002A29D2">
      <w:t>Federal Communications Commission</w:t>
    </w:r>
    <w:r w:rsidRPr="002A29D2">
      <w:tab/>
      <w:t xml:space="preserve"> </w:t>
    </w:r>
  </w:p>
  <w:p w:rsidR="0060228B" w:rsidP="002A29D2" w14:paraId="5696F09C"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4">
    <w:nsid w:val="37B84686"/>
    <w:multiLevelType w:val="hybridMultilevel"/>
    <w:tmpl w:val="17BA8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7"/>
  </w:num>
  <w:num w:numId="3">
    <w:abstractNumId w:val="4"/>
  </w:num>
  <w:num w:numId="4">
    <w:abstractNumId w:val="21"/>
  </w:num>
  <w:num w:numId="5">
    <w:abstractNumId w:val="8"/>
  </w:num>
  <w:num w:numId="6">
    <w:abstractNumId w:val="24"/>
  </w:num>
  <w:num w:numId="7">
    <w:abstractNumId w:val="17"/>
  </w:num>
  <w:num w:numId="8">
    <w:abstractNumId w:val="9"/>
  </w:num>
  <w:num w:numId="9">
    <w:abstractNumId w:val="23"/>
  </w:num>
  <w:num w:numId="10">
    <w:abstractNumId w:val="15"/>
  </w:num>
  <w:num w:numId="11">
    <w:abstractNumId w:val="13"/>
  </w:num>
  <w:num w:numId="12">
    <w:abstractNumId w:val="10"/>
  </w:num>
  <w:num w:numId="13">
    <w:abstractNumId w:val="16"/>
  </w:num>
  <w:num w:numId="14">
    <w:abstractNumId w:val="22"/>
  </w:num>
  <w:num w:numId="15">
    <w:abstractNumId w:val="2"/>
  </w:num>
  <w:num w:numId="16">
    <w:abstractNumId w:val="3"/>
  </w:num>
  <w:num w:numId="17">
    <w:abstractNumId w:val="11"/>
  </w:num>
  <w:num w:numId="18">
    <w:abstractNumId w:val="1"/>
  </w:num>
  <w:num w:numId="19">
    <w:abstractNumId w:val="12"/>
  </w:num>
  <w:num w:numId="20">
    <w:abstractNumId w:val="18"/>
  </w:num>
  <w:num w:numId="21">
    <w:abstractNumId w:val="20"/>
  </w:num>
  <w:num w:numId="22">
    <w:abstractNumId w:val="5"/>
  </w:num>
  <w:num w:numId="23">
    <w:abstractNumId w:val="25"/>
  </w:num>
  <w:num w:numId="24">
    <w:abstractNumId w:val="7"/>
  </w:num>
  <w:num w:numId="25">
    <w:abstractNumId w:val="19"/>
  </w:num>
  <w:num w:numId="26">
    <w:abstractNumId w:val="6"/>
  </w:num>
  <w:num w:numId="27">
    <w:abstractNumId w:val="0"/>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4C"/>
    <w:rsid w:val="00005721"/>
    <w:rsid w:val="00052F6C"/>
    <w:rsid w:val="00142F09"/>
    <w:rsid w:val="001713C9"/>
    <w:rsid w:val="001A738E"/>
    <w:rsid w:val="001C302F"/>
    <w:rsid w:val="00225B9D"/>
    <w:rsid w:val="00280E26"/>
    <w:rsid w:val="002A29D2"/>
    <w:rsid w:val="002A4E36"/>
    <w:rsid w:val="002C2A8B"/>
    <w:rsid w:val="002E484C"/>
    <w:rsid w:val="002F4037"/>
    <w:rsid w:val="003A3B5F"/>
    <w:rsid w:val="0041676B"/>
    <w:rsid w:val="00456E40"/>
    <w:rsid w:val="005371D9"/>
    <w:rsid w:val="005A09E4"/>
    <w:rsid w:val="005C4054"/>
    <w:rsid w:val="005E2B3D"/>
    <w:rsid w:val="005E7CEC"/>
    <w:rsid w:val="0060228B"/>
    <w:rsid w:val="0068369B"/>
    <w:rsid w:val="00752430"/>
    <w:rsid w:val="00790272"/>
    <w:rsid w:val="007B50B9"/>
    <w:rsid w:val="007C5B30"/>
    <w:rsid w:val="0087060A"/>
    <w:rsid w:val="00880AC7"/>
    <w:rsid w:val="00891ADC"/>
    <w:rsid w:val="008B5772"/>
    <w:rsid w:val="008C0300"/>
    <w:rsid w:val="00965578"/>
    <w:rsid w:val="00A32859"/>
    <w:rsid w:val="00A3709D"/>
    <w:rsid w:val="00A47C0C"/>
    <w:rsid w:val="00AB200F"/>
    <w:rsid w:val="00AC1F1E"/>
    <w:rsid w:val="00AD1B9A"/>
    <w:rsid w:val="00B07300"/>
    <w:rsid w:val="00B35E64"/>
    <w:rsid w:val="00BD1056"/>
    <w:rsid w:val="00C22835"/>
    <w:rsid w:val="00C67E76"/>
    <w:rsid w:val="00D43EF5"/>
    <w:rsid w:val="00D82FAA"/>
    <w:rsid w:val="00E00E22"/>
    <w:rsid w:val="00E82D7D"/>
    <w:rsid w:val="00EB15AA"/>
    <w:rsid w:val="00EB1A95"/>
    <w:rsid w:val="00ED2EA8"/>
    <w:rsid w:val="00F258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E4873A3-A87E-4AD2-BC10-22DCCC26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772"/>
    <w:pPr>
      <w:widowControl w:val="0"/>
    </w:pPr>
    <w:rPr>
      <w:snapToGrid w:val="0"/>
      <w:kern w:val="28"/>
      <w:sz w:val="22"/>
    </w:rPr>
  </w:style>
  <w:style w:type="paragraph" w:styleId="Heading1">
    <w:name w:val="heading 1"/>
    <w:basedOn w:val="Normal"/>
    <w:next w:val="ParaNum"/>
    <w:qFormat/>
    <w:rsid w:val="008B5772"/>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5772"/>
    <w:pPr>
      <w:keepNext/>
      <w:numPr>
        <w:ilvl w:val="1"/>
        <w:numId w:val="24"/>
      </w:numPr>
      <w:spacing w:after="120"/>
      <w:outlineLvl w:val="1"/>
    </w:pPr>
    <w:rPr>
      <w:b/>
    </w:rPr>
  </w:style>
  <w:style w:type="paragraph" w:styleId="Heading3">
    <w:name w:val="heading 3"/>
    <w:basedOn w:val="Normal"/>
    <w:next w:val="ParaNum"/>
    <w:qFormat/>
    <w:rsid w:val="008B5772"/>
    <w:pPr>
      <w:keepNext/>
      <w:numPr>
        <w:ilvl w:val="2"/>
        <w:numId w:val="24"/>
      </w:numPr>
      <w:tabs>
        <w:tab w:val="left" w:pos="2160"/>
      </w:tabs>
      <w:spacing w:after="120"/>
      <w:outlineLvl w:val="2"/>
    </w:pPr>
    <w:rPr>
      <w:b/>
    </w:rPr>
  </w:style>
  <w:style w:type="paragraph" w:styleId="Heading4">
    <w:name w:val="heading 4"/>
    <w:basedOn w:val="Normal"/>
    <w:next w:val="ParaNum"/>
    <w:qFormat/>
    <w:rsid w:val="008B5772"/>
    <w:pPr>
      <w:keepNext/>
      <w:numPr>
        <w:ilvl w:val="3"/>
        <w:numId w:val="24"/>
      </w:numPr>
      <w:tabs>
        <w:tab w:val="left" w:pos="2880"/>
      </w:tabs>
      <w:spacing w:after="120"/>
      <w:outlineLvl w:val="3"/>
    </w:pPr>
    <w:rPr>
      <w:b/>
    </w:rPr>
  </w:style>
  <w:style w:type="paragraph" w:styleId="Heading5">
    <w:name w:val="heading 5"/>
    <w:basedOn w:val="Normal"/>
    <w:next w:val="ParaNum"/>
    <w:qFormat/>
    <w:rsid w:val="008B5772"/>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8B5772"/>
    <w:pPr>
      <w:numPr>
        <w:ilvl w:val="5"/>
        <w:numId w:val="24"/>
      </w:numPr>
      <w:tabs>
        <w:tab w:val="left" w:pos="4320"/>
      </w:tabs>
      <w:spacing w:after="120"/>
      <w:outlineLvl w:val="5"/>
    </w:pPr>
    <w:rPr>
      <w:b/>
    </w:rPr>
  </w:style>
  <w:style w:type="paragraph" w:styleId="Heading7">
    <w:name w:val="heading 7"/>
    <w:basedOn w:val="Normal"/>
    <w:next w:val="ParaNum"/>
    <w:qFormat/>
    <w:rsid w:val="008B5772"/>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8B5772"/>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8B5772"/>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57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5772"/>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8B5772"/>
    <w:pPr>
      <w:numPr>
        <w:numId w:val="23"/>
      </w:numPr>
      <w:tabs>
        <w:tab w:val="clear" w:pos="1080"/>
        <w:tab w:val="num" w:pos="1440"/>
      </w:tabs>
      <w:spacing w:after="120"/>
    </w:pPr>
  </w:style>
  <w:style w:type="paragraph" w:styleId="FootnoteText">
    <w:name w:val="footnote text"/>
    <w:rsid w:val="008B5772"/>
    <w:pPr>
      <w:spacing w:after="120"/>
    </w:pPr>
  </w:style>
  <w:style w:type="paragraph" w:customStyle="1" w:styleId="Bullet">
    <w:name w:val="Bullet"/>
    <w:basedOn w:val="Normal"/>
    <w:rsid w:val="008B5772"/>
    <w:pPr>
      <w:tabs>
        <w:tab w:val="left" w:pos="2160"/>
      </w:tabs>
      <w:spacing w:after="220"/>
      <w:ind w:left="2160" w:hanging="720"/>
    </w:pPr>
  </w:style>
  <w:style w:type="paragraph" w:styleId="BlockText">
    <w:name w:val="Block Text"/>
    <w:basedOn w:val="Normal"/>
    <w:rsid w:val="008B5772"/>
    <w:pPr>
      <w:spacing w:after="240"/>
      <w:ind w:left="1440" w:right="1440"/>
    </w:pPr>
  </w:style>
  <w:style w:type="paragraph" w:customStyle="1" w:styleId="TableFormat">
    <w:name w:val="TableFormat"/>
    <w:basedOn w:val="Bullet"/>
    <w:rsid w:val="008B5772"/>
    <w:pPr>
      <w:tabs>
        <w:tab w:val="clear" w:pos="2160"/>
        <w:tab w:val="left" w:pos="5040"/>
      </w:tabs>
      <w:ind w:left="5040" w:hanging="3600"/>
    </w:pPr>
  </w:style>
  <w:style w:type="character" w:styleId="FootnoteReference">
    <w:name w:val="footnote reference"/>
    <w:rsid w:val="008B5772"/>
    <w:rPr>
      <w:rFonts w:ascii="Times New Roman" w:hAnsi="Times New Roman"/>
      <w:dstrike w:val="0"/>
      <w:color w:val="auto"/>
      <w:sz w:val="20"/>
      <w:vertAlign w:val="superscript"/>
    </w:rPr>
  </w:style>
  <w:style w:type="paragraph" w:styleId="Header">
    <w:name w:val="header"/>
    <w:basedOn w:val="Normal"/>
    <w:autoRedefine/>
    <w:rsid w:val="008B5772"/>
    <w:pPr>
      <w:tabs>
        <w:tab w:val="center" w:pos="4680"/>
        <w:tab w:val="right" w:pos="9360"/>
      </w:tabs>
    </w:pPr>
    <w:rPr>
      <w:b/>
    </w:rPr>
  </w:style>
  <w:style w:type="paragraph" w:styleId="Footer">
    <w:name w:val="footer"/>
    <w:basedOn w:val="Normal"/>
    <w:link w:val="FooterChar"/>
    <w:uiPriority w:val="99"/>
    <w:rsid w:val="008B5772"/>
    <w:pPr>
      <w:tabs>
        <w:tab w:val="center" w:pos="4320"/>
        <w:tab w:val="right" w:pos="8640"/>
      </w:tabs>
    </w:pPr>
  </w:style>
  <w:style w:type="paragraph" w:styleId="TOC2">
    <w:name w:val="toc 2"/>
    <w:basedOn w:val="Normal"/>
    <w:next w:val="Normal"/>
    <w:semiHidden/>
    <w:rsid w:val="008B577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8B577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8B57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57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57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57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57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57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5772"/>
    <w:pPr>
      <w:tabs>
        <w:tab w:val="left" w:pos="3240"/>
        <w:tab w:val="right" w:leader="dot" w:pos="9360"/>
      </w:tabs>
      <w:suppressAutoHyphens/>
      <w:ind w:left="3240" w:hanging="360"/>
    </w:pPr>
    <w:rPr>
      <w:noProof/>
    </w:rPr>
  </w:style>
  <w:style w:type="character" w:styleId="PageNumber">
    <w:name w:val="page number"/>
    <w:basedOn w:val="DefaultParagraphFont"/>
    <w:rsid w:val="008B5772"/>
  </w:style>
  <w:style w:type="paragraph" w:styleId="Title">
    <w:name w:val="Title"/>
    <w:basedOn w:val="Normal"/>
    <w:qFormat/>
    <w:pPr>
      <w:jc w:val="center"/>
    </w:pPr>
    <w:rPr>
      <w:b/>
    </w:rPr>
  </w:style>
  <w:style w:type="paragraph" w:styleId="EndnoteText">
    <w:name w:val="endnote text"/>
    <w:basedOn w:val="Normal"/>
    <w:link w:val="EndnoteTextChar"/>
    <w:rsid w:val="008B5772"/>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8B5772"/>
    <w:rPr>
      <w:vertAlign w:val="superscript"/>
    </w:rPr>
  </w:style>
  <w:style w:type="paragraph" w:styleId="TOAHeading">
    <w:name w:val="toa heading"/>
    <w:basedOn w:val="Normal"/>
    <w:next w:val="Normal"/>
    <w:rsid w:val="008B5772"/>
    <w:pPr>
      <w:tabs>
        <w:tab w:val="right" w:pos="9360"/>
      </w:tabs>
      <w:suppressAutoHyphens/>
    </w:pPr>
  </w:style>
  <w:style w:type="character" w:customStyle="1" w:styleId="EquationCaption">
    <w:name w:val="_Equation Caption"/>
    <w:rsid w:val="008B5772"/>
  </w:style>
  <w:style w:type="paragraph" w:customStyle="1" w:styleId="Paratitle">
    <w:name w:val="Para title"/>
    <w:basedOn w:val="Normal"/>
    <w:rsid w:val="008B5772"/>
    <w:pPr>
      <w:tabs>
        <w:tab w:val="center" w:pos="9270"/>
      </w:tabs>
      <w:spacing w:after="240"/>
    </w:pPr>
    <w:rPr>
      <w:spacing w:val="-2"/>
    </w:rPr>
  </w:style>
  <w:style w:type="paragraph" w:customStyle="1" w:styleId="TOCTitle">
    <w:name w:val="TOC Title"/>
    <w:basedOn w:val="Normal"/>
    <w:rsid w:val="008B57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5772"/>
    <w:pPr>
      <w:jc w:val="center"/>
    </w:pPr>
    <w:rPr>
      <w:rFonts w:ascii="Times New Roman Bold" w:hAnsi="Times New Roman Bold"/>
      <w:b/>
      <w:bCs/>
      <w:caps/>
      <w:szCs w:val="22"/>
    </w:rPr>
  </w:style>
  <w:style w:type="character" w:styleId="Hyperlink">
    <w:name w:val="Hyperlink"/>
    <w:rsid w:val="008B5772"/>
    <w:rPr>
      <w:color w:val="0000FF"/>
      <w:u w:val="single"/>
    </w:rPr>
  </w:style>
  <w:style w:type="character" w:customStyle="1" w:styleId="FooterChar">
    <w:name w:val="Footer Char"/>
    <w:link w:val="Footer"/>
    <w:uiPriority w:val="99"/>
    <w:rsid w:val="008B5772"/>
    <w:rPr>
      <w:snapToGrid w:val="0"/>
      <w:kern w:val="28"/>
      <w:sz w:val="22"/>
    </w:rPr>
  </w:style>
  <w:style w:type="paragraph" w:styleId="BalloonText">
    <w:name w:val="Balloon Text"/>
    <w:basedOn w:val="Normal"/>
    <w:link w:val="BalloonTextChar"/>
    <w:rsid w:val="0041676B"/>
    <w:rPr>
      <w:rFonts w:ascii="Segoe UI" w:hAnsi="Segoe UI" w:cs="Segoe UI"/>
      <w:sz w:val="18"/>
      <w:szCs w:val="18"/>
    </w:rPr>
  </w:style>
  <w:style w:type="character" w:customStyle="1" w:styleId="BalloonTextChar">
    <w:name w:val="Balloon Text Char"/>
    <w:basedOn w:val="DefaultParagraphFont"/>
    <w:link w:val="BalloonText"/>
    <w:rsid w:val="0041676B"/>
    <w:rPr>
      <w:rFonts w:ascii="Segoe UI" w:hAnsi="Segoe UI" w:cs="Segoe UI"/>
      <w:snapToGrid w:val="0"/>
      <w:kern w:val="28"/>
      <w:sz w:val="18"/>
      <w:szCs w:val="18"/>
    </w:rPr>
  </w:style>
  <w:style w:type="character" w:customStyle="1" w:styleId="ParaNumChar">
    <w:name w:val="ParaNum Char"/>
    <w:link w:val="ParaNum"/>
    <w:locked/>
    <w:rsid w:val="0041676B"/>
    <w:rPr>
      <w:snapToGrid w:val="0"/>
      <w:kern w:val="28"/>
      <w:sz w:val="22"/>
    </w:rPr>
  </w:style>
  <w:style w:type="character" w:styleId="CommentReference">
    <w:name w:val="annotation reference"/>
    <w:basedOn w:val="DefaultParagraphFont"/>
    <w:semiHidden/>
    <w:unhideWhenUsed/>
    <w:rsid w:val="0068369B"/>
    <w:rPr>
      <w:sz w:val="16"/>
      <w:szCs w:val="16"/>
    </w:rPr>
  </w:style>
  <w:style w:type="paragraph" w:styleId="CommentText">
    <w:name w:val="annotation text"/>
    <w:basedOn w:val="Normal"/>
    <w:link w:val="CommentTextChar"/>
    <w:semiHidden/>
    <w:unhideWhenUsed/>
    <w:rsid w:val="0068369B"/>
    <w:rPr>
      <w:sz w:val="20"/>
    </w:rPr>
  </w:style>
  <w:style w:type="character" w:customStyle="1" w:styleId="CommentTextChar">
    <w:name w:val="Comment Text Char"/>
    <w:basedOn w:val="DefaultParagraphFont"/>
    <w:link w:val="CommentText"/>
    <w:semiHidden/>
    <w:rsid w:val="0068369B"/>
    <w:rPr>
      <w:snapToGrid w:val="0"/>
      <w:kern w:val="28"/>
    </w:rPr>
  </w:style>
  <w:style w:type="paragraph" w:styleId="CommentSubject">
    <w:name w:val="annotation subject"/>
    <w:basedOn w:val="CommentText"/>
    <w:next w:val="CommentText"/>
    <w:link w:val="CommentSubjectChar"/>
    <w:semiHidden/>
    <w:unhideWhenUsed/>
    <w:rsid w:val="0068369B"/>
    <w:rPr>
      <w:b/>
      <w:bCs/>
    </w:rPr>
  </w:style>
  <w:style w:type="character" w:customStyle="1" w:styleId="CommentSubjectChar">
    <w:name w:val="Comment Subject Char"/>
    <w:basedOn w:val="CommentTextChar"/>
    <w:link w:val="CommentSubject"/>
    <w:semiHidden/>
    <w:rsid w:val="0068369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