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7A53F3" w:rsidP="00025A86" w14:paraId="797DF8C1" w14:textId="74DF2FDE">
      <w:pPr>
        <w:pStyle w:val="TOAHeading"/>
        <w:autoSpaceDE w:val="0"/>
        <w:autoSpaceDN w:val="0"/>
        <w:jc w:val="right"/>
        <w:rPr>
          <w:rFonts w:ascii="Times New Roman" w:eastAsia="Times New Roman" w:hAnsi="Times New Roman"/>
        </w:rPr>
      </w:pPr>
      <w:bookmarkStart w:id="0" w:name="_Hlk39571163"/>
      <w:r>
        <w:rPr>
          <w:rFonts w:ascii="Times New Roman" w:eastAsia="Times New Roman" w:hAnsi="Times New Roman"/>
        </w:rPr>
        <w:t>May 6</w:t>
      </w:r>
      <w:r w:rsidR="004D6286">
        <w:rPr>
          <w:rFonts w:ascii="Times New Roman" w:eastAsia="Times New Roman" w:hAnsi="Times New Roman"/>
        </w:rPr>
        <w:t>, 2020</w:t>
      </w:r>
    </w:p>
    <w:p w:rsidR="003D2DA9" w14:paraId="5B8391B3" w14:textId="77777777">
      <w:pPr>
        <w:pStyle w:val="NewHeading"/>
        <w:autoSpaceDE w:val="0"/>
        <w:autoSpaceDN w:val="0"/>
        <w:rPr>
          <w:rFonts w:ascii="Times New Roman" w:hAnsi="Times New Roman"/>
        </w:rPr>
      </w:pPr>
    </w:p>
    <w:p w:rsidR="007A53F3" w14:paraId="1DDCEEDE" w14:textId="7714295B">
      <w:pPr>
        <w:pStyle w:val="NewHeading"/>
        <w:autoSpaceDE w:val="0"/>
        <w:autoSpaceDN w:val="0"/>
        <w:rPr>
          <w:rFonts w:ascii="Times New Roman" w:hAnsi="Times New Roman"/>
        </w:rPr>
      </w:pPr>
      <w:r>
        <w:rPr>
          <w:rFonts w:ascii="Times New Roman" w:hAnsi="Times New Roman"/>
        </w:rPr>
        <w:t>FCC TO HOLD OPEN COMMISSION MEETING</w:t>
      </w:r>
    </w:p>
    <w:p w:rsidR="007A53F3" w14:paraId="3FC46A3A" w14:textId="77777777">
      <w:pPr>
        <w:pStyle w:val="NewHeading"/>
        <w:autoSpaceDE w:val="0"/>
        <w:autoSpaceDN w:val="0"/>
        <w:rPr>
          <w:rFonts w:ascii="Times New Roman" w:hAnsi="Times New Roman"/>
        </w:rPr>
      </w:pPr>
      <w:r>
        <w:rPr>
          <w:rFonts w:ascii="Times New Roman" w:hAnsi="Times New Roman"/>
        </w:rPr>
        <w:t>BY TELECONFERENCE</w:t>
      </w:r>
    </w:p>
    <w:p w:rsidR="007A53F3" w14:paraId="6D2C1A05" w14:textId="0311FB86">
      <w:pPr>
        <w:pStyle w:val="NewHeading"/>
        <w:autoSpaceDE w:val="0"/>
        <w:autoSpaceDN w:val="0"/>
        <w:rPr>
          <w:rFonts w:ascii="Times New Roman" w:hAnsi="Times New Roman"/>
        </w:rPr>
      </w:pPr>
      <w:r>
        <w:rPr>
          <w:rFonts w:ascii="Times New Roman" w:hAnsi="Times New Roman"/>
        </w:rPr>
        <w:t>WEDNESDAY</w:t>
      </w:r>
      <w:r w:rsidR="004D6286">
        <w:rPr>
          <w:rFonts w:ascii="Times New Roman" w:hAnsi="Times New Roman"/>
        </w:rPr>
        <w:t xml:space="preserve">, </w:t>
      </w:r>
      <w:r>
        <w:rPr>
          <w:rFonts w:ascii="Times New Roman" w:hAnsi="Times New Roman"/>
        </w:rPr>
        <w:t>MAY 13</w:t>
      </w:r>
      <w:r w:rsidR="004D6286">
        <w:rPr>
          <w:rFonts w:ascii="Times New Roman" w:hAnsi="Times New Roman"/>
        </w:rPr>
        <w:t>, 2020</w:t>
      </w:r>
    </w:p>
    <w:p w:rsidR="007A53F3" w14:paraId="4FEF21AF" w14:textId="77777777">
      <w:pPr>
        <w:rPr>
          <w:rFonts w:ascii="Times New Roman" w:eastAsia="Times New Roman" w:hAnsi="Times New Roman"/>
        </w:rPr>
      </w:pPr>
    </w:p>
    <w:p w:rsidR="007A53F3" w:rsidP="00B852D0" w14:paraId="23EC17C2" w14:textId="4EA179C0">
      <w:pPr>
        <w:pStyle w:val="BodyText"/>
        <w:autoSpaceDE w:val="0"/>
        <w:autoSpaceDN w:val="0"/>
        <w:jc w:val="left"/>
        <w:rPr>
          <w:sz w:val="24"/>
          <w:szCs w:val="24"/>
        </w:rPr>
      </w:pPr>
      <w:r>
        <w:rPr>
          <w:sz w:val="24"/>
          <w:szCs w:val="24"/>
        </w:rPr>
        <w:t>The Federal Communications Commission will hold an Open Meeting on</w:t>
      </w:r>
      <w:r w:rsidR="00661AFE">
        <w:rPr>
          <w:sz w:val="24"/>
          <w:szCs w:val="24"/>
        </w:rPr>
        <w:t xml:space="preserve"> Wednesday, May 13</w:t>
      </w:r>
      <w:r>
        <w:rPr>
          <w:sz w:val="24"/>
          <w:szCs w:val="24"/>
        </w:rPr>
        <w:t xml:space="preserve">, 2020, which is scheduled to commence at 10:30 a.m.  Due to the current COVID-19 pandemic and related agency telework and headquarters access policies, this meeting will be in a wholly electronic format and will be open to the public on the Internet via live feed from the FCC’s web page at </w:t>
      </w:r>
      <w:hyperlink r:id="rId4" w:history="1">
        <w:r>
          <w:rPr>
            <w:rStyle w:val="Hyperlink"/>
            <w:sz w:val="24"/>
            <w:szCs w:val="24"/>
          </w:rPr>
          <w:t>www.fcc.gov/live</w:t>
        </w:r>
      </w:hyperlink>
      <w:r>
        <w:rPr>
          <w:sz w:val="24"/>
          <w:szCs w:val="24"/>
        </w:rPr>
        <w:t xml:space="preserve"> and on the FCC’s YouTube channel. </w:t>
      </w:r>
      <w:r w:rsidRPr="006E1BFC">
        <w:rPr>
          <w:sz w:val="24"/>
          <w:szCs w:val="24"/>
        </w:rPr>
        <w:t xml:space="preserve">Because of these special circumstances, </w:t>
      </w:r>
      <w:r w:rsidR="001E6333">
        <w:rPr>
          <w:sz w:val="24"/>
          <w:szCs w:val="24"/>
        </w:rPr>
        <w:t>the</w:t>
      </w:r>
      <w:r w:rsidRPr="006E1BFC" w:rsidR="00AA5389">
        <w:rPr>
          <w:sz w:val="24"/>
          <w:szCs w:val="24"/>
        </w:rPr>
        <w:t xml:space="preserve"> </w:t>
      </w:r>
      <w:r w:rsidRPr="006E1BFC">
        <w:rPr>
          <w:sz w:val="24"/>
          <w:szCs w:val="24"/>
        </w:rPr>
        <w:t>items listed below are expected to be voted prior to the meeting.</w:t>
      </w:r>
      <w:r>
        <w:rPr>
          <w:sz w:val="24"/>
          <w:szCs w:val="24"/>
        </w:rPr>
        <w:t xml:space="preserve"> </w:t>
      </w:r>
      <w:bookmarkStart w:id="1" w:name="_Hlk35871337"/>
      <w:bookmarkEnd w:id="1"/>
    </w:p>
    <w:p w:rsidR="007A53F3" w14:paraId="33583782" w14:textId="77777777">
      <w:pPr>
        <w:pStyle w:val="BodyText"/>
        <w:autoSpaceDE w:val="0"/>
        <w:autoSpaceDN w:val="0"/>
        <w:rPr>
          <w:sz w:val="24"/>
          <w:szCs w:val="24"/>
        </w:rPr>
      </w:pPr>
    </w:p>
    <w:tbl>
      <w:tblPr>
        <w:tblpPr w:leftFromText="180" w:rightFromText="180" w:vertAnchor="text" w:tblpXSpec="right" w:tblpY="1"/>
        <w:tblOverlap w:val="never"/>
        <w:tblW w:w="9540" w:type="dxa"/>
        <w:tblLayout w:type="fixed"/>
        <w:tblCellMar>
          <w:left w:w="120" w:type="dxa"/>
          <w:right w:w="120" w:type="dxa"/>
        </w:tblCellMar>
        <w:tblLook w:val="0000"/>
      </w:tblPr>
      <w:tblGrid>
        <w:gridCol w:w="1440"/>
        <w:gridCol w:w="2880"/>
        <w:gridCol w:w="5220"/>
      </w:tblGrid>
      <w:tr w14:paraId="44269BF8" w14:textId="77777777">
        <w:tblPrEx>
          <w:tblW w:w="9540" w:type="dxa"/>
          <w:tblLayout w:type="fixed"/>
          <w:tblCellMar>
            <w:left w:w="120" w:type="dxa"/>
            <w:right w:w="120" w:type="dxa"/>
          </w:tblCellMar>
          <w:tblLook w:val="0000"/>
        </w:tblPrEx>
        <w:tc>
          <w:tcPr>
            <w:tcW w:w="1440" w:type="dxa"/>
          </w:tcPr>
          <w:p w:rsidR="007A53F3" w14:paraId="5A563B62" w14:textId="77777777">
            <w:pPr>
              <w:spacing w:before="90" w:after="54"/>
              <w:jc w:val="center"/>
              <w:rPr>
                <w:rFonts w:ascii="Times New Roman" w:eastAsia="Times New Roman" w:hAnsi="Times New Roman"/>
                <w:b/>
                <w:u w:val="single"/>
              </w:rPr>
            </w:pPr>
            <w:r>
              <w:rPr>
                <w:rFonts w:ascii="Times New Roman" w:eastAsia="Times New Roman" w:hAnsi="Times New Roman"/>
                <w:b/>
                <w:u w:val="single"/>
              </w:rPr>
              <w:t>ITEM NO.</w:t>
            </w:r>
          </w:p>
        </w:tc>
        <w:tc>
          <w:tcPr>
            <w:tcW w:w="2880" w:type="dxa"/>
          </w:tcPr>
          <w:p w:rsidR="007A53F3" w14:paraId="3931118B" w14:textId="77777777">
            <w:pPr>
              <w:spacing w:before="90" w:after="54"/>
              <w:jc w:val="center"/>
              <w:rPr>
                <w:rFonts w:ascii="Times New Roman" w:eastAsia="Times New Roman" w:hAnsi="Times New Roman"/>
                <w:b/>
                <w:u w:val="single"/>
              </w:rPr>
            </w:pPr>
            <w:r>
              <w:rPr>
                <w:rFonts w:ascii="Times New Roman" w:eastAsia="Times New Roman" w:hAnsi="Times New Roman"/>
                <w:b/>
                <w:u w:val="single"/>
              </w:rPr>
              <w:t>BUREAU</w:t>
            </w:r>
          </w:p>
        </w:tc>
        <w:tc>
          <w:tcPr>
            <w:tcW w:w="5220" w:type="dxa"/>
          </w:tcPr>
          <w:p w:rsidR="007A53F3" w14:paraId="2A7ACD66" w14:textId="77777777">
            <w:pPr>
              <w:spacing w:before="90" w:after="54"/>
              <w:jc w:val="center"/>
              <w:rPr>
                <w:rFonts w:ascii="Times New Roman" w:eastAsia="Times New Roman" w:hAnsi="Times New Roman"/>
                <w:b/>
                <w:u w:val="single"/>
              </w:rPr>
            </w:pPr>
            <w:r>
              <w:rPr>
                <w:rFonts w:ascii="Times New Roman" w:eastAsia="Times New Roman" w:hAnsi="Times New Roman"/>
                <w:b/>
                <w:u w:val="single"/>
              </w:rPr>
              <w:t>SUBJECT</w:t>
            </w:r>
          </w:p>
        </w:tc>
      </w:tr>
      <w:tr w14:paraId="275011C4" w14:textId="77777777">
        <w:tblPrEx>
          <w:tblW w:w="9540" w:type="dxa"/>
          <w:tblLayout w:type="fixed"/>
          <w:tblCellMar>
            <w:left w:w="120" w:type="dxa"/>
            <w:right w:w="120" w:type="dxa"/>
          </w:tblCellMar>
          <w:tblLook w:val="0000"/>
        </w:tblPrEx>
        <w:tc>
          <w:tcPr>
            <w:tcW w:w="1440" w:type="dxa"/>
          </w:tcPr>
          <w:p w:rsidR="007A53F3" w14:paraId="183A51BD" w14:textId="77777777">
            <w:pPr>
              <w:spacing w:before="90" w:after="54"/>
              <w:jc w:val="center"/>
              <w:rPr>
                <w:rFonts w:ascii="Times New Roman" w:eastAsia="Times New Roman" w:hAnsi="Times New Roman"/>
                <w:b/>
              </w:rPr>
            </w:pPr>
            <w:r>
              <w:rPr>
                <w:rFonts w:ascii="Times New Roman" w:eastAsia="Times New Roman" w:hAnsi="Times New Roman"/>
                <w:b/>
              </w:rPr>
              <w:t>1</w:t>
            </w:r>
          </w:p>
        </w:tc>
        <w:tc>
          <w:tcPr>
            <w:tcW w:w="2880" w:type="dxa"/>
          </w:tcPr>
          <w:p w:rsidR="007A53F3" w14:paraId="105E6E92" w14:textId="7D9E24E1">
            <w:pPr>
              <w:autoSpaceDE/>
              <w:autoSpaceDN/>
              <w:spacing w:before="90" w:after="54"/>
              <w:jc w:val="center"/>
              <w:rPr>
                <w:rFonts w:ascii="Times New Roman" w:eastAsia="Times New Roman" w:hAnsi="Times New Roman"/>
                <w:b/>
              </w:rPr>
            </w:pPr>
            <w:r>
              <w:rPr>
                <w:rFonts w:ascii="Times New Roman" w:eastAsia="Times New Roman" w:hAnsi="Times New Roman"/>
                <w:b/>
              </w:rPr>
              <w:t>WIRELESS TELE</w:t>
            </w:r>
            <w:r w:rsidR="00F0594B">
              <w:rPr>
                <w:rFonts w:ascii="Times New Roman" w:eastAsia="Times New Roman" w:hAnsi="Times New Roman"/>
                <w:b/>
              </w:rPr>
              <w:t>-</w:t>
            </w:r>
            <w:r>
              <w:rPr>
                <w:rFonts w:ascii="Times New Roman" w:eastAsia="Times New Roman" w:hAnsi="Times New Roman"/>
                <w:b/>
              </w:rPr>
              <w:t>COMM</w:t>
            </w:r>
            <w:r w:rsidR="00F0594B">
              <w:rPr>
                <w:rFonts w:ascii="Times New Roman" w:eastAsia="Times New Roman" w:hAnsi="Times New Roman"/>
                <w:b/>
              </w:rPr>
              <w:t>U</w:t>
            </w:r>
            <w:r>
              <w:rPr>
                <w:rFonts w:ascii="Times New Roman" w:eastAsia="Times New Roman" w:hAnsi="Times New Roman"/>
                <w:b/>
              </w:rPr>
              <w:t>NICATIONS</w:t>
            </w:r>
          </w:p>
        </w:tc>
        <w:tc>
          <w:tcPr>
            <w:tcW w:w="5220" w:type="dxa"/>
          </w:tcPr>
          <w:p w:rsidR="00A31569" w:rsidRPr="00A31569" w:rsidP="00A31569" w14:paraId="4A276860" w14:textId="5449E3A5">
            <w:pPr>
              <w:tabs>
                <w:tab w:val="center" w:pos="4680"/>
              </w:tabs>
              <w:suppressAutoHyphens/>
              <w:rPr>
                <w:rFonts w:ascii="Times New Roman" w:eastAsia="Times New Roman" w:hAnsi="Times New Roman"/>
                <w:spacing w:val="-2"/>
                <w:kern w:val="28"/>
              </w:rPr>
            </w:pPr>
            <w:bookmarkStart w:id="2" w:name="OLE_LINK3"/>
            <w:r>
              <w:rPr>
                <w:rFonts w:ascii="Times New Roman" w:eastAsia="Times New Roman" w:hAnsi="Times New Roman"/>
                <w:b/>
              </w:rPr>
              <w:t>TITL</w:t>
            </w:r>
            <w:bookmarkStart w:id="3" w:name="OLE_LINK2"/>
            <w:r>
              <w:rPr>
                <w:rFonts w:ascii="Times New Roman" w:eastAsia="Times New Roman" w:hAnsi="Times New Roman"/>
                <w:b/>
              </w:rPr>
              <w:t>E:</w:t>
            </w:r>
            <w:bookmarkEnd w:id="3"/>
            <w:r>
              <w:rPr>
                <w:rFonts w:ascii="Times New Roman" w:eastAsia="Times New Roman" w:hAnsi="Times New Roman"/>
                <w:b/>
              </w:rPr>
              <w:t xml:space="preserve">  </w:t>
            </w:r>
            <w:r w:rsidRPr="00A31569">
              <w:rPr>
                <w:rFonts w:ascii="Times New Roman" w:eastAsia="Times New Roman" w:hAnsi="Times New Roman"/>
                <w:spacing w:val="-2"/>
                <w:kern w:val="28"/>
              </w:rPr>
              <w:t>Review of the Commission’s Rules Governing the 896-901/935-940 MHz Band (WT Docket No. 17-200)</w:t>
            </w:r>
          </w:p>
          <w:p w:rsidR="007A53F3" w:rsidP="00A31569" w14:paraId="6017CA10" w14:textId="06413B59">
            <w:pPr>
              <w:autoSpaceDE/>
              <w:spacing w:before="90" w:after="54"/>
              <w:rPr>
                <w:rFonts w:ascii="Times New Roman" w:eastAsia="Times New Roman" w:hAnsi="Times New Roman"/>
              </w:rPr>
            </w:pPr>
            <w:r>
              <w:rPr>
                <w:rFonts w:ascii="Times New Roman" w:eastAsia="Times New Roman" w:hAnsi="Times New Roman"/>
                <w:b/>
              </w:rPr>
              <w:t xml:space="preserve">SUMMARY:  </w:t>
            </w:r>
            <w:bookmarkStart w:id="4" w:name="_GoBack"/>
            <w:bookmarkEnd w:id="2"/>
            <w:bookmarkEnd w:id="4"/>
            <w:r w:rsidRPr="00A31569" w:rsidR="00A31569">
              <w:rPr>
                <w:rFonts w:ascii="Times New Roman" w:eastAsia="Times New Roman" w:hAnsi="Times New Roman"/>
              </w:rPr>
              <w:t xml:space="preserve">The Commission will consider a Report and Order that would realign the 900 MHz band to create a new six megahertz broadband segment to support the growing technological needs of our nation’s industries, while reserving the remaining four megahertz of the band for narrowband operations. </w:t>
            </w:r>
          </w:p>
          <w:p w:rsidR="00A31569" w:rsidP="00A31569" w14:paraId="32A2B6EB" w14:textId="585C1829">
            <w:pPr>
              <w:autoSpaceDE/>
              <w:spacing w:before="90" w:after="54"/>
              <w:rPr>
                <w:rFonts w:ascii="Times New Roman" w:eastAsia="Times New Roman" w:hAnsi="Times New Roman"/>
              </w:rPr>
            </w:pPr>
          </w:p>
        </w:tc>
      </w:tr>
      <w:tr w14:paraId="5805400E" w14:textId="77777777">
        <w:tblPrEx>
          <w:tblW w:w="9540" w:type="dxa"/>
          <w:tblLayout w:type="fixed"/>
          <w:tblCellMar>
            <w:left w:w="120" w:type="dxa"/>
            <w:right w:w="120" w:type="dxa"/>
          </w:tblCellMar>
          <w:tblLook w:val="0000"/>
        </w:tblPrEx>
        <w:tc>
          <w:tcPr>
            <w:tcW w:w="1440" w:type="dxa"/>
          </w:tcPr>
          <w:p w:rsidR="007A53F3" w14:paraId="45C64F1D" w14:textId="77777777">
            <w:pPr>
              <w:spacing w:before="90" w:after="54"/>
              <w:jc w:val="center"/>
              <w:rPr>
                <w:rFonts w:ascii="Times New Roman" w:eastAsia="Times New Roman" w:hAnsi="Times New Roman"/>
                <w:b/>
              </w:rPr>
            </w:pPr>
            <w:r>
              <w:rPr>
                <w:rFonts w:ascii="Times New Roman" w:eastAsia="Times New Roman" w:hAnsi="Times New Roman"/>
                <w:b/>
              </w:rPr>
              <w:t>2</w:t>
            </w:r>
          </w:p>
        </w:tc>
        <w:tc>
          <w:tcPr>
            <w:tcW w:w="2880" w:type="dxa"/>
          </w:tcPr>
          <w:p w:rsidR="007A53F3" w14:paraId="63D5ED3D" w14:textId="615DB8EE">
            <w:pPr>
              <w:autoSpaceDE/>
              <w:autoSpaceDN/>
              <w:spacing w:before="90" w:after="54"/>
              <w:jc w:val="center"/>
              <w:rPr>
                <w:rFonts w:ascii="Times New Roman" w:eastAsia="Times New Roman" w:hAnsi="Times New Roman"/>
                <w:b/>
              </w:rPr>
            </w:pPr>
            <w:r>
              <w:rPr>
                <w:rFonts w:ascii="Times New Roman" w:eastAsia="Times New Roman" w:hAnsi="Times New Roman"/>
                <w:b/>
              </w:rPr>
              <w:t xml:space="preserve">INTERNATIONAL </w:t>
            </w:r>
          </w:p>
          <w:p w:rsidR="007A53F3" w14:paraId="20FB37F8" w14:textId="77777777">
            <w:pPr>
              <w:autoSpaceDE/>
              <w:autoSpaceDN/>
              <w:spacing w:before="90" w:after="54"/>
              <w:jc w:val="center"/>
              <w:rPr>
                <w:rFonts w:ascii="Times New Roman" w:eastAsia="Times New Roman" w:hAnsi="Times New Roman"/>
                <w:b/>
              </w:rPr>
            </w:pPr>
          </w:p>
        </w:tc>
        <w:tc>
          <w:tcPr>
            <w:tcW w:w="5220" w:type="dxa"/>
          </w:tcPr>
          <w:p w:rsidR="00A31569" w:rsidRPr="00A31569" w:rsidP="00A31569" w14:paraId="72542342" w14:textId="24161CEC">
            <w:pPr>
              <w:tabs>
                <w:tab w:val="center" w:pos="4680"/>
              </w:tabs>
              <w:suppressAutoHyphens/>
              <w:rPr>
                <w:rFonts w:ascii="Times New Roman" w:eastAsia="Times New Roman" w:hAnsi="Times New Roman"/>
                <w:snapToGrid w:val="0"/>
                <w:spacing w:val="-2"/>
                <w:kern w:val="28"/>
              </w:rPr>
            </w:pPr>
            <w:r>
              <w:rPr>
                <w:rFonts w:ascii="Times New Roman" w:eastAsia="Times New Roman" w:hAnsi="Times New Roman"/>
                <w:b/>
              </w:rPr>
              <w:t xml:space="preserve">TITLE:  </w:t>
            </w:r>
            <w:r w:rsidRPr="00A31569">
              <w:rPr>
                <w:rFonts w:ascii="Times New Roman" w:eastAsia="Times New Roman" w:hAnsi="Times New Roman"/>
                <w:snapToGrid w:val="0"/>
                <w:spacing w:val="-2"/>
                <w:kern w:val="28"/>
              </w:rPr>
              <w:t xml:space="preserve">Amendment of Parts 2 and 25 of the </w:t>
            </w:r>
          </w:p>
          <w:p w:rsidR="00A31569" w:rsidRPr="00A31569" w:rsidP="00A31569" w14:paraId="20D99543" w14:textId="77777777">
            <w:pPr>
              <w:tabs>
                <w:tab w:val="center" w:pos="4680"/>
              </w:tabs>
              <w:suppressAutoHyphens/>
              <w:rPr>
                <w:rFonts w:ascii="Times New Roman" w:eastAsia="Times New Roman" w:hAnsi="Times New Roman"/>
                <w:snapToGrid w:val="0"/>
                <w:spacing w:val="-2"/>
                <w:kern w:val="28"/>
              </w:rPr>
            </w:pPr>
            <w:r w:rsidRPr="00A31569">
              <w:rPr>
                <w:rFonts w:ascii="Times New Roman" w:eastAsia="Times New Roman" w:hAnsi="Times New Roman"/>
                <w:snapToGrid w:val="0"/>
                <w:spacing w:val="-2"/>
                <w:kern w:val="28"/>
              </w:rPr>
              <w:t>Commission’s Rules</w:t>
            </w:r>
            <w:r w:rsidRPr="00A31569">
              <w:rPr>
                <w:rFonts w:ascii="Times New Roman" w:eastAsia="Times New Roman" w:hAnsi="Times New Roman"/>
                <w:snapToGrid w:val="0"/>
                <w:spacing w:val="-2"/>
                <w:kern w:val="28"/>
              </w:rPr>
              <w:t xml:space="preserve"> </w:t>
            </w:r>
            <w:r w:rsidRPr="00A31569">
              <w:rPr>
                <w:rFonts w:ascii="Times New Roman" w:eastAsia="Times New Roman" w:hAnsi="Times New Roman"/>
                <w:snapToGrid w:val="0"/>
                <w:spacing w:val="-2"/>
                <w:kern w:val="28"/>
              </w:rPr>
              <w:t>to Facilitate the Use of Earth Stations in Motion Communicating with Geostationary Orbit Space Stations in Frequency Bands Allocated to the Fixed Satellite Service</w:t>
            </w:r>
          </w:p>
          <w:p w:rsidR="00A31569" w:rsidRPr="00A31569" w:rsidP="00A31569" w14:paraId="21F54CA8" w14:textId="340714A4">
            <w:pPr>
              <w:tabs>
                <w:tab w:val="center" w:pos="4680"/>
              </w:tabs>
              <w:suppressAutoHyphens/>
              <w:rPr>
                <w:rFonts w:ascii="Times New Roman" w:eastAsia="Times New Roman" w:hAnsi="Times New Roman"/>
                <w:spacing w:val="-2"/>
                <w:sz w:val="22"/>
                <w:szCs w:val="22"/>
              </w:rPr>
            </w:pPr>
            <w:r>
              <w:rPr>
                <w:rFonts w:ascii="Times New Roman" w:eastAsia="Times New Roman" w:hAnsi="Times New Roman"/>
                <w:spacing w:val="-2"/>
                <w:sz w:val="22"/>
                <w:szCs w:val="22"/>
              </w:rPr>
              <w:t xml:space="preserve"> (</w:t>
            </w:r>
            <w:r w:rsidRPr="00A31569">
              <w:rPr>
                <w:rFonts w:ascii="Times New Roman" w:eastAsia="Times New Roman" w:hAnsi="Times New Roman"/>
                <w:spacing w:val="-2"/>
              </w:rPr>
              <w:t>IB Docket No. 17-95</w:t>
            </w:r>
            <w:r>
              <w:rPr>
                <w:rFonts w:ascii="Times New Roman" w:eastAsia="Times New Roman" w:hAnsi="Times New Roman"/>
                <w:spacing w:val="-2"/>
                <w:sz w:val="22"/>
                <w:szCs w:val="22"/>
              </w:rPr>
              <w:t xml:space="preserve">); </w:t>
            </w:r>
            <w:r w:rsidRPr="00A31569">
              <w:rPr>
                <w:rFonts w:ascii="Times New Roman" w:hAnsi="Times New Roman"/>
                <w:spacing w:val="-2"/>
              </w:rPr>
              <w:t>Facilitating the Communications of Earth Stations in Motion with Non-Geostationary Orbit Space Stations</w:t>
            </w:r>
            <w:r>
              <w:rPr>
                <w:rFonts w:ascii="Times New Roman" w:hAnsi="Times New Roman"/>
                <w:spacing w:val="-2"/>
              </w:rPr>
              <w:t xml:space="preserve"> (IB Docket No. 18-315)</w:t>
            </w:r>
          </w:p>
          <w:p w:rsidR="007A53F3" w:rsidRPr="00AE3708" w14:paraId="4CFA9BC4" w14:textId="7F604047">
            <w:pPr>
              <w:autoSpaceDE/>
              <w:spacing w:before="90" w:after="54"/>
              <w:rPr>
                <w:rFonts w:ascii="Times New Roman" w:eastAsia="Times New Roman" w:hAnsi="Times New Roman"/>
                <w:bCs/>
              </w:rPr>
            </w:pPr>
            <w:r>
              <w:rPr>
                <w:rFonts w:ascii="Times New Roman" w:eastAsia="Times New Roman" w:hAnsi="Times New Roman"/>
                <w:b/>
              </w:rPr>
              <w:t xml:space="preserve">SUMMARY:  </w:t>
            </w:r>
            <w:r w:rsidRPr="00AE3708" w:rsidR="00AE3708">
              <w:rPr>
                <w:rFonts w:ascii="Times New Roman" w:eastAsia="Times New Roman" w:hAnsi="Times New Roman"/>
                <w:bCs/>
              </w:rPr>
              <w:t xml:space="preserve">The Commission will consider a Second Report and Order and Report and Order </w:t>
            </w:r>
            <w:r w:rsidR="00AF5AAF">
              <w:rPr>
                <w:rFonts w:ascii="Times New Roman" w:eastAsia="Times New Roman" w:hAnsi="Times New Roman"/>
                <w:bCs/>
              </w:rPr>
              <w:t xml:space="preserve">that would adopt </w:t>
            </w:r>
            <w:r w:rsidRPr="00AE3708" w:rsidR="00AE3708">
              <w:rPr>
                <w:rFonts w:ascii="Times New Roman" w:eastAsia="Times New Roman" w:hAnsi="Times New Roman"/>
                <w:bCs/>
              </w:rPr>
              <w:t>rules to facilitate the deployment of geostationary-satellite orbit and non-</w:t>
            </w:r>
            <w:r w:rsidRPr="00AE3708" w:rsidR="00AE3708">
              <w:rPr>
                <w:rFonts w:ascii="Times New Roman" w:eastAsia="Times New Roman" w:hAnsi="Times New Roman"/>
                <w:bCs/>
              </w:rPr>
              <w:t>geostationary-orbit fixed-satellite service earth stations that operate while in motion.</w:t>
            </w:r>
          </w:p>
          <w:p w:rsidR="007A53F3" w14:paraId="453687D1" w14:textId="77777777">
            <w:pPr>
              <w:autoSpaceDE/>
              <w:spacing w:before="90" w:after="54"/>
              <w:jc w:val="both"/>
              <w:rPr>
                <w:rFonts w:ascii="Times New Roman" w:eastAsia="Times New Roman" w:hAnsi="Times New Roman"/>
                <w:b/>
              </w:rPr>
            </w:pPr>
          </w:p>
        </w:tc>
      </w:tr>
      <w:tr w14:paraId="42B5B48A" w14:textId="77777777">
        <w:tblPrEx>
          <w:tblW w:w="9540" w:type="dxa"/>
          <w:tblLayout w:type="fixed"/>
          <w:tblCellMar>
            <w:left w:w="120" w:type="dxa"/>
            <w:right w:w="120" w:type="dxa"/>
          </w:tblCellMar>
          <w:tblLook w:val="0000"/>
        </w:tblPrEx>
        <w:tc>
          <w:tcPr>
            <w:tcW w:w="1440" w:type="dxa"/>
          </w:tcPr>
          <w:p w:rsidR="007A53F3" w14:paraId="5C773ED6" w14:textId="77777777">
            <w:pPr>
              <w:spacing w:before="90" w:after="54"/>
              <w:jc w:val="center"/>
              <w:rPr>
                <w:rFonts w:ascii="Times New Roman" w:eastAsia="Times New Roman" w:hAnsi="Times New Roman"/>
                <w:b/>
              </w:rPr>
            </w:pPr>
            <w:r>
              <w:rPr>
                <w:rFonts w:ascii="Times New Roman" w:eastAsia="Times New Roman" w:hAnsi="Times New Roman"/>
                <w:b/>
              </w:rPr>
              <w:t>3</w:t>
            </w:r>
          </w:p>
        </w:tc>
        <w:tc>
          <w:tcPr>
            <w:tcW w:w="2880" w:type="dxa"/>
          </w:tcPr>
          <w:p w:rsidR="007A53F3" w14:paraId="65B28B34" w14:textId="316293A8">
            <w:pPr>
              <w:autoSpaceDE/>
              <w:autoSpaceDN/>
              <w:spacing w:before="90" w:after="54"/>
              <w:jc w:val="center"/>
              <w:rPr>
                <w:rFonts w:ascii="Times New Roman" w:eastAsia="Times New Roman" w:hAnsi="Times New Roman"/>
                <w:b/>
              </w:rPr>
            </w:pPr>
            <w:r>
              <w:rPr>
                <w:rFonts w:ascii="Times New Roman" w:eastAsia="Times New Roman" w:hAnsi="Times New Roman"/>
                <w:b/>
              </w:rPr>
              <w:t>MEDIA</w:t>
            </w:r>
          </w:p>
        </w:tc>
        <w:tc>
          <w:tcPr>
            <w:tcW w:w="5220" w:type="dxa"/>
          </w:tcPr>
          <w:p w:rsidR="00AE3708" w:rsidRPr="00AE3708" w:rsidP="00AE3708" w14:paraId="437ABE9A" w14:textId="48266FDD">
            <w:pPr>
              <w:tabs>
                <w:tab w:val="center" w:pos="4680"/>
              </w:tabs>
              <w:suppressAutoHyphens/>
              <w:rPr>
                <w:rFonts w:ascii="Times New Roman" w:eastAsia="Times New Roman" w:hAnsi="Times New Roman"/>
                <w:snapToGrid w:val="0"/>
                <w:spacing w:val="-2"/>
                <w:kern w:val="28"/>
              </w:rPr>
            </w:pPr>
            <w:r>
              <w:rPr>
                <w:rFonts w:ascii="Times New Roman" w:eastAsia="Times New Roman" w:hAnsi="Times New Roman"/>
                <w:b/>
              </w:rPr>
              <w:t xml:space="preserve">TITLE:  </w:t>
            </w:r>
            <w:r w:rsidRPr="00AE3708">
              <w:rPr>
                <w:rFonts w:ascii="Times New Roman" w:eastAsia="Times New Roman" w:hAnsi="Times New Roman"/>
                <w:snapToGrid w:val="0"/>
                <w:spacing w:val="-2"/>
                <w:kern w:val="28"/>
              </w:rPr>
              <w:t>Amendment of Section 73.3580 of the Commission’s Rules Regarding Public Notice of the Filing of Applications</w:t>
            </w:r>
            <w:r>
              <w:rPr>
                <w:rFonts w:ascii="Times New Roman" w:eastAsia="Times New Roman" w:hAnsi="Times New Roman"/>
                <w:snapToGrid w:val="0"/>
                <w:spacing w:val="-2"/>
                <w:kern w:val="28"/>
              </w:rPr>
              <w:t xml:space="preserve"> (MB Docket No. 17-264); </w:t>
            </w:r>
            <w:r w:rsidRPr="00AE3708">
              <w:rPr>
                <w:rFonts w:ascii="Times New Roman" w:eastAsia="Times New Roman" w:hAnsi="Times New Roman"/>
                <w:snapToGrid w:val="0"/>
                <w:spacing w:val="-2"/>
                <w:kern w:val="28"/>
              </w:rPr>
              <w:t>Modernization of Media Regulation Initiative</w:t>
            </w:r>
            <w:r>
              <w:rPr>
                <w:rFonts w:ascii="Times New Roman" w:eastAsia="Times New Roman" w:hAnsi="Times New Roman"/>
                <w:snapToGrid w:val="0"/>
                <w:spacing w:val="-2"/>
                <w:kern w:val="28"/>
              </w:rPr>
              <w:t xml:space="preserve"> (MB Docket No. 17-105); </w:t>
            </w:r>
            <w:r w:rsidRPr="00AE3708">
              <w:rPr>
                <w:rFonts w:ascii="Times New Roman" w:eastAsia="Times New Roman" w:hAnsi="Times New Roman"/>
                <w:snapToGrid w:val="0"/>
                <w:spacing w:val="-2"/>
                <w:kern w:val="28"/>
              </w:rPr>
              <w:t>Revision of the Public Notice Requirements of Section 73.3580</w:t>
            </w:r>
            <w:r>
              <w:rPr>
                <w:rFonts w:ascii="Times New Roman" w:eastAsia="Times New Roman" w:hAnsi="Times New Roman"/>
                <w:snapToGrid w:val="0"/>
                <w:spacing w:val="-2"/>
                <w:kern w:val="28"/>
              </w:rPr>
              <w:t xml:space="preserve"> (MB Docket No. 05-6)</w:t>
            </w:r>
          </w:p>
          <w:p w:rsidR="007A53F3" w14:paraId="66073278" w14:textId="059E55D8">
            <w:pPr>
              <w:autoSpaceDE/>
              <w:spacing w:before="90" w:after="54"/>
              <w:rPr>
                <w:rFonts w:ascii="Times New Roman" w:eastAsia="Times New Roman" w:hAnsi="Times New Roman"/>
              </w:rPr>
            </w:pPr>
            <w:r>
              <w:rPr>
                <w:rFonts w:ascii="Times New Roman" w:eastAsia="Times New Roman" w:hAnsi="Times New Roman"/>
                <w:b/>
              </w:rPr>
              <w:t xml:space="preserve">SUMMARY:  </w:t>
            </w:r>
            <w:r w:rsidRPr="007E1025" w:rsidR="00AE3708">
              <w:rPr>
                <w:rFonts w:ascii="Times New Roman" w:eastAsia="Times New Roman" w:hAnsi="Times New Roman"/>
              </w:rPr>
              <w:t>The Commission will consider a Report and Order that would modernize and simplify the written and on-air public notices broadcasters must provide upon the filing of certain applications.</w:t>
            </w:r>
          </w:p>
          <w:p w:rsidR="007A53F3" w14:paraId="3D2800DB" w14:textId="77777777">
            <w:pPr>
              <w:autoSpaceDE/>
              <w:spacing w:before="90" w:after="54"/>
              <w:jc w:val="both"/>
              <w:rPr>
                <w:rFonts w:ascii="Times New Roman" w:eastAsia="Times New Roman" w:hAnsi="Times New Roman"/>
                <w:b/>
              </w:rPr>
            </w:pPr>
          </w:p>
        </w:tc>
      </w:tr>
      <w:tr w14:paraId="46B5380D" w14:textId="77777777">
        <w:tblPrEx>
          <w:tblW w:w="9540" w:type="dxa"/>
          <w:tblLayout w:type="fixed"/>
          <w:tblCellMar>
            <w:left w:w="120" w:type="dxa"/>
            <w:right w:w="120" w:type="dxa"/>
          </w:tblCellMar>
          <w:tblLook w:val="0000"/>
        </w:tblPrEx>
        <w:tc>
          <w:tcPr>
            <w:tcW w:w="1440" w:type="dxa"/>
          </w:tcPr>
          <w:p w:rsidR="007A53F3" w14:paraId="4FDBE9F3" w14:textId="77777777">
            <w:pPr>
              <w:spacing w:before="90" w:after="54"/>
              <w:jc w:val="center"/>
              <w:rPr>
                <w:rFonts w:ascii="Times New Roman" w:eastAsia="Times New Roman" w:hAnsi="Times New Roman"/>
                <w:b/>
              </w:rPr>
            </w:pPr>
            <w:r>
              <w:rPr>
                <w:rFonts w:ascii="Times New Roman" w:eastAsia="Times New Roman" w:hAnsi="Times New Roman"/>
                <w:b/>
              </w:rPr>
              <w:t>4</w:t>
            </w:r>
          </w:p>
        </w:tc>
        <w:tc>
          <w:tcPr>
            <w:tcW w:w="2880" w:type="dxa"/>
          </w:tcPr>
          <w:p w:rsidR="007A53F3" w14:paraId="71F0F21A" w14:textId="77777777">
            <w:pPr>
              <w:autoSpaceDE/>
              <w:autoSpaceDN/>
              <w:spacing w:before="90" w:after="54"/>
              <w:jc w:val="center"/>
              <w:rPr>
                <w:rFonts w:ascii="Times New Roman" w:eastAsia="Times New Roman" w:hAnsi="Times New Roman"/>
                <w:b/>
              </w:rPr>
            </w:pPr>
            <w:r>
              <w:rPr>
                <w:rFonts w:ascii="Times New Roman" w:eastAsia="Times New Roman" w:hAnsi="Times New Roman"/>
                <w:b/>
              </w:rPr>
              <w:t>MANAGING DIRECTOR</w:t>
            </w:r>
            <w:r w:rsidR="003D2DA9">
              <w:rPr>
                <w:rFonts w:ascii="Times New Roman" w:eastAsia="Times New Roman" w:hAnsi="Times New Roman"/>
                <w:b/>
              </w:rPr>
              <w:t xml:space="preserve"> </w:t>
            </w:r>
          </w:p>
          <w:p w:rsidR="003D2DA9" w14:paraId="45A457B6" w14:textId="77777777">
            <w:pPr>
              <w:autoSpaceDE/>
              <w:autoSpaceDN/>
              <w:spacing w:before="90" w:after="54"/>
              <w:jc w:val="center"/>
              <w:rPr>
                <w:rFonts w:ascii="Times New Roman" w:eastAsia="Times New Roman" w:hAnsi="Times New Roman"/>
                <w:b/>
              </w:rPr>
            </w:pPr>
            <w:r>
              <w:rPr>
                <w:rFonts w:ascii="Times New Roman" w:eastAsia="Times New Roman" w:hAnsi="Times New Roman"/>
                <w:b/>
              </w:rPr>
              <w:t xml:space="preserve">AND </w:t>
            </w:r>
          </w:p>
          <w:p w:rsidR="003D2DA9" w14:paraId="42AAE49F" w14:textId="583F2B03">
            <w:pPr>
              <w:autoSpaceDE/>
              <w:autoSpaceDN/>
              <w:spacing w:before="90" w:after="54"/>
              <w:jc w:val="center"/>
              <w:rPr>
                <w:rFonts w:ascii="Times New Roman" w:eastAsia="Times New Roman" w:hAnsi="Times New Roman"/>
                <w:b/>
              </w:rPr>
            </w:pPr>
            <w:r>
              <w:rPr>
                <w:rFonts w:ascii="Times New Roman" w:eastAsia="Times New Roman" w:hAnsi="Times New Roman"/>
                <w:b/>
              </w:rPr>
              <w:t>WIRELINE COMPETITION</w:t>
            </w:r>
          </w:p>
        </w:tc>
        <w:tc>
          <w:tcPr>
            <w:tcW w:w="5220" w:type="dxa"/>
          </w:tcPr>
          <w:p w:rsidR="00C80F79" w:rsidRPr="00C80F79" w:rsidP="00C80F79" w14:paraId="7B240083" w14:textId="264FE9CE">
            <w:pPr>
              <w:tabs>
                <w:tab w:val="center" w:pos="4680"/>
              </w:tabs>
              <w:suppressAutoHyphens/>
              <w:rPr>
                <w:rFonts w:ascii="Times New Roman" w:eastAsia="Times New Roman" w:hAnsi="Times New Roman"/>
                <w:snapToGrid w:val="0"/>
                <w:spacing w:val="-2"/>
                <w:kern w:val="28"/>
                <w:sz w:val="22"/>
                <w:szCs w:val="22"/>
              </w:rPr>
            </w:pPr>
            <w:r>
              <w:rPr>
                <w:rFonts w:ascii="Times New Roman" w:eastAsia="Times New Roman" w:hAnsi="Times New Roman"/>
                <w:b/>
              </w:rPr>
              <w:t>TITLE:</w:t>
            </w:r>
            <w:r>
              <w:rPr>
                <w:rFonts w:ascii="Times New Roman" w:eastAsia="Times New Roman" w:hAnsi="Times New Roman"/>
              </w:rPr>
              <w:t xml:space="preserve">  </w:t>
            </w:r>
            <w:r w:rsidRPr="000B7C80">
              <w:rPr>
                <w:rFonts w:ascii="Times New Roman" w:eastAsia="Times New Roman" w:hAnsi="Times New Roman"/>
                <w:snapToGrid w:val="0"/>
                <w:spacing w:val="-2"/>
                <w:kern w:val="28"/>
              </w:rPr>
              <w:t xml:space="preserve">Assessment and Collection of Regulatory Fees for Fiscal Year 2020 (MD Docket No. 20-105); </w:t>
            </w:r>
            <w:r w:rsidRPr="000B7C80" w:rsidR="000B7C80">
              <w:rPr>
                <w:rFonts w:ascii="Times New Roman" w:eastAsia="Times New Roman" w:hAnsi="Times New Roman"/>
                <w:snapToGrid w:val="0"/>
                <w:spacing w:val="-2"/>
                <w:kern w:val="28"/>
              </w:rPr>
              <w:t>Assessment and Collection of Regulatory Fees for Fiscal Year 2019 (MD Docket No. 19-105)</w:t>
            </w:r>
          </w:p>
          <w:p w:rsidR="007A53F3" w:rsidP="000B7C80" w14:paraId="6F7A6D04" w14:textId="62C94F5D">
            <w:pPr>
              <w:autoSpaceDE/>
              <w:spacing w:before="90" w:after="54"/>
              <w:rPr>
                <w:rFonts w:ascii="Times New Roman" w:eastAsia="Times New Roman" w:hAnsi="Times New Roman"/>
                <w:b/>
              </w:rPr>
            </w:pPr>
            <w:r>
              <w:rPr>
                <w:rFonts w:ascii="Times New Roman" w:eastAsia="Times New Roman" w:hAnsi="Times New Roman"/>
                <w:b/>
              </w:rPr>
              <w:t xml:space="preserve">SUMMARY:  </w:t>
            </w:r>
            <w:r w:rsidRPr="000B7C80" w:rsidR="000B7C80">
              <w:rPr>
                <w:rFonts w:ascii="Times New Roman" w:eastAsia="Times New Roman" w:hAnsi="Times New Roman"/>
              </w:rPr>
              <w:t xml:space="preserve">The Commission will consider a Report and Order and Notice of Proposed Rulemaking. The Report and Order would level the playing field between domestic and foreign licensed space stations by assessing a regulatory fee on non-U.S. licensed space stations with United States market access. The Notice of Proposed Rulemaking </w:t>
            </w:r>
            <w:r w:rsidR="00E0006B">
              <w:rPr>
                <w:rFonts w:ascii="Times New Roman" w:eastAsia="Times New Roman" w:hAnsi="Times New Roman"/>
              </w:rPr>
              <w:t xml:space="preserve">would </w:t>
            </w:r>
            <w:r w:rsidRPr="000B7C80" w:rsidR="000B7C80">
              <w:rPr>
                <w:rFonts w:ascii="Times New Roman" w:eastAsia="Times New Roman" w:hAnsi="Times New Roman"/>
              </w:rPr>
              <w:t>initiate the Commission’s annual regulatory fee proceeding.</w:t>
            </w:r>
          </w:p>
        </w:tc>
      </w:tr>
    </w:tbl>
    <w:p w:rsidR="007A53F3" w14:paraId="641C9BB4" w14:textId="77777777">
      <w:pPr>
        <w:spacing w:line="270" w:lineRule="exact"/>
        <w:rPr>
          <w:rFonts w:ascii="Times New Roman" w:eastAsia="Times New Roman" w:hAnsi="Times New Roman"/>
        </w:rPr>
      </w:pPr>
    </w:p>
    <w:p w:rsidR="007A53F3" w14:paraId="388E21DB" w14:textId="77777777">
      <w:pPr>
        <w:spacing w:line="270" w:lineRule="exact"/>
        <w:rPr>
          <w:rFonts w:ascii="Times New Roman" w:eastAsia="Times New Roman" w:hAnsi="Times New Roman"/>
        </w:rPr>
      </w:pPr>
      <w:r>
        <w:rPr>
          <w:rFonts w:ascii="Times New Roman" w:eastAsia="Times New Roman" w:hAnsi="Times New Roman"/>
        </w:rPr>
        <w:t xml:space="preserve">The meeting will be webcast with open captioning at: www.fcc.gov/live.  Open captioning will be provided as well as a text only version on the FCC website.  Other reasonable accommodations for people with disabilities are available upon request.  In your request, include a description of the accommodation you will need and a way we can contact you if we need more information.  Last minute requests will be accepted but may be impossible to fill.  Send an e-mail to: </w:t>
      </w:r>
      <w:hyperlink r:id="rId5" w:tooltip="mailto:fcc504@fcc.gov" w:history="1">
        <w:r>
          <w:rPr>
            <w:rFonts w:ascii="Times New Roman" w:eastAsia="Times New Roman" w:hAnsi="Times New Roman"/>
            <w:color w:val="0000FF"/>
            <w:u w:val="single"/>
          </w:rPr>
          <w:t>fcc504@fcc.gov</w:t>
        </w:r>
      </w:hyperlink>
      <w:r>
        <w:rPr>
          <w:rFonts w:ascii="Times New Roman" w:eastAsia="Times New Roman" w:hAnsi="Times New Roman"/>
        </w:rPr>
        <w:t xml:space="preserve"> or call the Consumer &amp; Governmental Affairs Bureau at 202-418-0530 (voice), 202-418-0432 (TTY).</w:t>
      </w:r>
    </w:p>
    <w:p w:rsidR="007A53F3" w14:paraId="3FB5A3C1" w14:textId="77777777">
      <w:pPr>
        <w:rPr>
          <w:rFonts w:ascii="Times New Roman" w:eastAsia="Times New Roman" w:hAnsi="Times New Roman"/>
        </w:rPr>
      </w:pPr>
    </w:p>
    <w:p w:rsidR="007A53F3" w14:paraId="3657EABF" w14:textId="77777777">
      <w:pPr>
        <w:rPr>
          <w:rFonts w:ascii="Times New Roman" w:eastAsia="Times New Roman" w:hAnsi="Times New Roman"/>
        </w:rPr>
      </w:pPr>
      <w:r>
        <w:rPr>
          <w:rFonts w:ascii="Times New Roman" w:eastAsia="Times New Roman" w:hAnsi="Times New Roman"/>
        </w:rPr>
        <w:t xml:space="preserve">Additional information concerning this meeting may be obtained from the Office of Media Relations, (202) 418-0500; TTY 1-888-835-5322.  Audio/Video coverage of the meeting will be broadcast live with open captioning over the Internet from the FCC Live web page at </w:t>
      </w:r>
      <w:hyperlink r:id="rId4" w:history="1">
        <w:r>
          <w:rPr>
            <w:rStyle w:val="Hyperlink"/>
            <w:rFonts w:ascii="Times New Roman" w:eastAsia="Times New Roman" w:hAnsi="Times New Roman"/>
            <w:sz w:val="24"/>
            <w:szCs w:val="24"/>
          </w:rPr>
          <w:t>www.fcc.gov/live</w:t>
        </w:r>
      </w:hyperlink>
      <w:r>
        <w:rPr>
          <w:rFonts w:ascii="Times New Roman" w:eastAsia="Times New Roman" w:hAnsi="Times New Roman"/>
        </w:rPr>
        <w:t>.</w:t>
      </w:r>
    </w:p>
    <w:p w:rsidR="007A53F3" w14:paraId="65D56DBD" w14:textId="77777777">
      <w:pPr>
        <w:tabs>
          <w:tab w:val="center" w:pos="4680"/>
        </w:tabs>
        <w:spacing w:after="120"/>
        <w:rPr>
          <w:rFonts w:ascii="Times New Roman" w:eastAsia="Times New Roman" w:hAnsi="Times New Roman"/>
        </w:rPr>
      </w:pPr>
    </w:p>
    <w:p w:rsidR="007A53F3" w14:paraId="47DFC905" w14:textId="77777777">
      <w:pPr>
        <w:tabs>
          <w:tab w:val="center" w:pos="4680"/>
        </w:tabs>
        <w:jc w:val="center"/>
        <w:rPr>
          <w:rFonts w:ascii="Times New Roman" w:eastAsia="Times New Roman" w:hAnsi="Times New Roman"/>
          <w:b/>
        </w:rPr>
      </w:pPr>
      <w:r>
        <w:rPr>
          <w:rFonts w:ascii="Times New Roman" w:eastAsia="Times New Roman" w:hAnsi="Times New Roman"/>
          <w:b/>
        </w:rPr>
        <w:t>-FCC-</w:t>
      </w:r>
      <w:bookmarkEnd w:id="0"/>
    </w:p>
    <w:sectPr>
      <w:headerReference w:type="default" r:id="rId6"/>
      <w:footerReference w:type="even" r:id="rId7"/>
      <w:footerReference w:type="default" r:id="rId8"/>
      <w:headerReference w:type="first" r:id="rId9"/>
      <w:footerReference w:type="first" r:id="rId10"/>
      <w:endnotePr>
        <w:numFmt w:val="decimal"/>
      </w:endnotePr>
      <w:pgSz w:w="12240" w:h="15840" w:code="1"/>
      <w:pgMar w:top="1440" w:right="1440" w:bottom="720" w:left="1440" w:header="720" w:footer="720" w:gutter="0"/>
      <w:pgNumType w:start="1"/>
      <w:cols w:space="720"/>
      <w:titlePg/>
      <w:docGrid w:linePitch="360" w:charSpace="4710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A53F3" w14:paraId="20604FFB" w14:textId="77777777">
    <w:pPr>
      <w:pStyle w:val="Footer"/>
      <w:framePr w:wrap="none" w:vAnchor="text" w:hAnchor="margin" w:x="4603" w:y="1"/>
      <w:autoSpaceDE w:val="0"/>
      <w:autoSpaceDN w:val="0"/>
      <w:rPr>
        <w:rStyle w:val="PageNumber"/>
      </w:rPr>
    </w:pPr>
    <w:r>
      <w:fldChar w:fldCharType="begin"/>
    </w:r>
    <w:r>
      <w:instrText>PAGE  \* MERGEFORMAT</w:instrText>
    </w:r>
    <w:r>
      <w:fldChar w:fldCharType="separate"/>
    </w:r>
    <w:r>
      <w:rPr>
        <w:rStyle w:val="PageNumber"/>
      </w:rPr>
      <w:t>1</w:t>
    </w:r>
    <w:r>
      <w:rPr>
        <w:rStyle w:val="PageNumber"/>
      </w:rPr>
      <w:fldChar w:fldCharType="end"/>
    </w:r>
  </w:p>
  <w:p w:rsidR="007A53F3" w14:paraId="29E90E4D" w14:textId="77777777">
    <w:pPr>
      <w:pStyle w:val="Footer"/>
      <w:autoSpaceDE w:val="0"/>
      <w:autoSpaceDN w:val="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A53F3" w14:paraId="78A1EE09" w14:textId="77777777">
    <w:pPr>
      <w:pStyle w:val="Footer"/>
      <w:tabs>
        <w:tab w:val="center" w:pos="4680"/>
        <w:tab w:val="right" w:pos="9360"/>
      </w:tabs>
      <w:autoSpaceDE w:val="0"/>
      <w:autoSpaceDN w:val="0"/>
      <w:jc w:val="center"/>
      <w:rPr>
        <w:rFonts w:ascii="Times New Roman" w:eastAsia="Times New Roman" w:hAnsi="Times New Roman"/>
      </w:rPr>
    </w:pPr>
    <w:r>
      <w:fldChar w:fldCharType="begin"/>
    </w:r>
    <w:r>
      <w:instrText>PAGE  \* MERGEFORMAT</w:instrText>
    </w:r>
    <w:r>
      <w:fldChar w:fldCharType="separate"/>
    </w:r>
    <w:r>
      <w:rPr>
        <w:rFonts w:ascii="Times New Roman" w:eastAsia="Times New Roman" w:hAnsi="Times New Roman"/>
      </w:rPr>
      <w:t>3</w:t>
    </w:r>
    <w:r>
      <w:rPr>
        <w:rFonts w:ascii="Times New Roman" w:eastAsia="Times New Roman" w:hAnsi="Times New Roman"/>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A53F3" w14:paraId="48019C4A" w14:textId="77777777">
    <w:pPr>
      <w:tabs>
        <w:tab w:val="left" w:pos="4320"/>
      </w:tabs>
      <w:spacing w:line="160" w:lineRule="exact"/>
      <w:rPr>
        <w:rFonts w:ascii="Times New Roman" w:eastAsia="Times New Roman" w:hAnsi="Times New Roman"/>
        <w:sz w:val="22"/>
        <w:szCs w:val="22"/>
      </w:rPr>
    </w:pPr>
  </w:p>
  <w:p w:rsidR="007A53F3" w14:paraId="00D58D37" w14:textId="77777777">
    <w:pPr>
      <w:pStyle w:val="BodyTextIndent"/>
      <w:autoSpaceDE w:val="0"/>
      <w:autoSpaceDN w:val="0"/>
      <w:spacing w:line="140" w:lineRule="exact"/>
      <w:rPr>
        <w:sz w:val="14"/>
        <w:szCs w:val="14"/>
      </w:rPr>
    </w:pPr>
    <w:r>
      <w:rPr>
        <w:sz w:val="14"/>
        <w:szCs w:val="14"/>
      </w:rPr>
      <w:t>*The summaries listed in this notice are intended for the use of the public attending open Commission meetings. Information not summarized may also be considered at such meetings.  Consequently, these summaries should not be interpreted to limit the Commission's authority to consider any relevant information.</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A53F3" w14:paraId="660E4D75" w14:textId="77777777">
    <w:pPr>
      <w:spacing w:line="240" w:lineRule="atLeast"/>
      <w:rPr>
        <w:rFonts w:ascii="Times New Roman" w:eastAsia="Times New Roman" w:hAnsi="Times New Roman"/>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A53F3" w14:paraId="66E3A103" w14:textId="77777777">
    <w:pPr>
      <w:tabs>
        <w:tab w:val="left" w:pos="4140"/>
      </w:tabs>
      <w:spacing w:line="240" w:lineRule="atLeast"/>
      <w:rPr>
        <w:rFonts w:ascii="Times New Roman" w:eastAsia="Times New Roman" w:hAnsi="Times New Roman"/>
      </w:rPr>
    </w:pPr>
    <w:r>
      <w:rPr>
        <w:noProof/>
        <w:sz w:val="20"/>
      </w:rPr>
      <mc:AlternateContent>
        <mc:Choice Requires="wps">
          <w:drawing>
            <wp:anchor distT="0" distB="0" distL="114300" distR="114300" simplePos="0" relativeHeight="251658240" behindDoc="1" locked="0" layoutInCell="0" allowOverlap="1">
              <wp:simplePos x="0" y="0"/>
              <wp:positionH relativeFrom="margin">
                <wp:posOffset>91444</wp:posOffset>
              </wp:positionH>
              <wp:positionV relativeFrom="page">
                <wp:posOffset>731524</wp:posOffset>
              </wp:positionV>
              <wp:extent cx="767080" cy="735965"/>
              <wp:effectExtent l="0" t="0" r="0" b="0"/>
              <wp:wrapNone/>
              <wp:docPr id="5" name="Rectangle 4"/>
              <wp:cNvGraphicFramePr>
                <a:graphicFrameLocks xmlns:a="http://schemas.openxmlformats.org/drawingml/2006/main" noChangeAspect="1"/>
              </wp:cNvGraphicFramePr>
              <a:graphic xmlns:a="http://schemas.openxmlformats.org/drawingml/2006/main">
                <a:graphicData uri="http://schemas.microsoft.com/office/word/2010/wordprocessingShape">
                  <wps:wsp xmlns:wps="http://schemas.microsoft.com/office/word/2010/wordprocessingShape">
                    <wps:cNvSpPr txBox="1">
                      <a:spLocks noChangeAspect="1"/>
                    </wps:cNvSpPr>
                    <wps:spPr>
                      <a:xfrm>
                        <a:off x="0" y="0"/>
                        <a:ext cx="767080" cy="735965"/>
                      </a:xfrm>
                      <a:prstGeom prst="rect">
                        <a:avLst/>
                      </a:prstGeom>
                      <a:noFill/>
                      <a:ln>
                        <a:noFill/>
                      </a:ln>
                    </wps:spPr>
                    <wps:txbx>
                      <w:txbxContent>
                        <w:p w:rsidR="007A53F3" w14:textId="77777777">
                          <w:pPr>
                            <w:tabs>
                              <w:tab w:val="left" w:pos="-720"/>
                            </w:tabs>
                            <w:spacing w:line="240" w:lineRule="atLeast"/>
                            <w:rPr>
                              <w:sz w:val="2"/>
                              <w:szCs w:val="2"/>
                            </w:rPr>
                          </w:pPr>
                          <w:r>
                            <w:rPr>
                              <w:noProof/>
                              <w:sz w:val="20"/>
                            </w:rPr>
                            <w:drawing>
                              <wp:inline distT="0" distB="0" distL="0" distR="0">
                                <wp:extent cx="751205" cy="690880"/>
                                <wp:effectExtent l="0" t="0" r="0" b="0"/>
                                <wp:docPr id="957835041" name="Picture 3"/>
                                <wp:cNvGraphicFramePr/>
                                <a:graphic xmlns:a="http://schemas.openxmlformats.org/drawingml/2006/main">
                                  <a:graphicData uri="http://schemas.openxmlformats.org/drawingml/2006/picture">
                                    <pic:pic xmlns:pic="http://schemas.openxmlformats.org/drawingml/2006/picture">
                                      <pic:nvPicPr>
                                        <pic:cNvPr id="1984638263" name="Picture 1" descr="/storage/emulated/0/.polarisOffice6/polarisSave/image1.png"/>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751840" cy="691515"/>
                                        </a:xfrm>
                                        <a:prstGeom prst="rect">
                                          <a:avLst/>
                                        </a:prstGeom>
                                        <a:noFill/>
                                        <a:ln>
                                          <a:noFill/>
                                        </a:ln>
                                      </pic:spPr>
                                    </pic:pic>
                                  </a:graphicData>
                                </a:graphic>
                              </wp:inline>
                            </w:drawing>
                          </w:r>
                        </w:p>
                      </w:txbxContent>
                    </wps:txbx>
                    <wps:bodyPr rot="0" spcFirstLastPara="0" vertOverflow="overflow" horzOverflow="overflow" vert="horz" wrap="square" lIns="0" tIns="0" rIns="0" bIns="0" numCol="1" spcCol="0" rtlCol="0" fromWordArt="0" anchor="t" anchorCtr="0" forceAA="0" upright="1" compatLnSpc="0">
                      <a:prstTxWarp prst="textNoShape">
                        <a:avLst/>
                      </a:prstTxWarp>
                    </wps:bodyPr>
                  </wps:wsp>
                </a:graphicData>
              </a:graphic>
            </wp:anchor>
          </w:drawing>
        </mc:Choice>
        <mc:Fallback>
          <w:pict>
            <v:shapetype id="_x0000_t202" coordsize="21600,21600" o:spt="202" path="m,l,21600r21600,l21600,xe">
              <v:stroke joinstyle="miter"/>
              <v:path gradientshapeok="t" o:connecttype="rect"/>
            </v:shapetype>
            <v:shape id="Rectangle 4" o:spid="_x0000_s2049" type="#_x0000_t202" style="width:60.4pt;height:57.95pt;margin-top:57.6pt;margin-left:7.2pt;mso-position-horizontal-relative:margin;mso-position-vertical-relative:page;mso-wrap-distance-bottom:0;mso-wrap-distance-left:9pt;mso-wrap-distance-right:9pt;mso-wrap-distance-top:0;mso-wrap-style:square;position:absolute;visibility:visible;v-text-anchor:top;z-index:-251657216" o:allowincell="f" filled="f" stroked="f">
              <o:lock v:ext="edit" aspectratio="t"/>
              <v:textbox inset="0,0,0,0">
                <w:txbxContent>
                  <w:p w:rsidR="007A53F3" w14:paraId="157C4CD3" w14:textId="77777777">
                    <w:pPr>
                      <w:tabs>
                        <w:tab w:val="left" w:pos="-720"/>
                      </w:tabs>
                      <w:spacing w:line="240" w:lineRule="atLeast"/>
                      <w:rPr>
                        <w:sz w:val="2"/>
                        <w:szCs w:val="2"/>
                      </w:rPr>
                    </w:pPr>
                    <w:drawing>
                      <wp:inline distT="0" distB="0" distL="0" distR="0">
                        <wp:extent cx="751205" cy="690880"/>
                        <wp:effectExtent l="0" t="0" r="0" b="0"/>
                        <wp:docPr id="4" name="Picture 3"/>
                        <wp:cNvGraphicFramePr/>
                        <a:graphic xmlns:a="http://schemas.openxmlformats.org/drawingml/2006/main">
                          <a:graphicData uri="http://schemas.openxmlformats.org/drawingml/2006/picture">
                            <pic:pic xmlns:pic="http://schemas.openxmlformats.org/drawingml/2006/picture">
                              <pic:nvPicPr>
                                <pic:cNvPr id="1" name="Picture 1" descr="/storage/emulated/0/.polarisOffice6/polarisSave/image1.png"/>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751840" cy="691515"/>
                                </a:xfrm>
                                <a:prstGeom prst="rect">
                                  <a:avLst/>
                                </a:prstGeom>
                                <a:noFill/>
                                <a:ln>
                                  <a:noFill/>
                                </a:ln>
                              </pic:spPr>
                            </pic:pic>
                          </a:graphicData>
                        </a:graphic>
                      </wp:inline>
                    </w:drawing>
                  </w:p>
                </w:txbxContent>
              </v:textbox>
              <w10:wrap anchorx="margin"/>
            </v:shape>
          </w:pict>
        </mc:Fallback>
      </mc:AlternateContent>
    </w:r>
    <w:r>
      <w:rPr>
        <w:rFonts w:ascii="Times New Roman" w:eastAsia="Times New Roman" w:hAnsi="Times New Roman"/>
      </w:rPr>
      <w:tab/>
    </w:r>
    <w:r>
      <w:rPr>
        <w:rFonts w:ascii="Times New Roman" w:eastAsia="Times New Roman" w:hAnsi="Times New Roman"/>
        <w:b/>
        <w:sz w:val="48"/>
        <w:szCs w:val="48"/>
      </w:rPr>
      <w:t>Commission</w:t>
    </w:r>
  </w:p>
  <w:p w:rsidR="007A53F3" w14:paraId="45A4DB03" w14:textId="77777777">
    <w:pPr>
      <w:tabs>
        <w:tab w:val="left" w:pos="0"/>
        <w:tab w:val="left" w:pos="4140"/>
      </w:tabs>
      <w:spacing w:line="240" w:lineRule="atLeast"/>
      <w:rPr>
        <w:rFonts w:ascii="Times New Roman" w:eastAsia="Times New Roman" w:hAnsi="Times New Roman"/>
      </w:rPr>
    </w:pPr>
    <w:r>
      <w:rPr>
        <w:rFonts w:ascii="Times New Roman" w:eastAsia="Times New Roman" w:hAnsi="Times New Roman"/>
      </w:rPr>
      <w:tab/>
    </w:r>
    <w:r>
      <w:rPr>
        <w:rFonts w:ascii="Times New Roman" w:eastAsia="Times New Roman" w:hAnsi="Times New Roman"/>
        <w:b/>
        <w:sz w:val="48"/>
        <w:szCs w:val="48"/>
      </w:rPr>
      <w:t>Meeting Agenda</w:t>
    </w:r>
  </w:p>
  <w:p w:rsidR="007A53F3" w14:paraId="6072E3A5" w14:textId="77777777">
    <w:pPr>
      <w:tabs>
        <w:tab w:val="left" w:pos="4140"/>
      </w:tabs>
      <w:spacing w:before="120" w:line="240" w:lineRule="atLeast"/>
      <w:rPr>
        <w:rFonts w:ascii="Times New Roman" w:eastAsia="Times New Roman" w:hAnsi="Times New Roman"/>
        <w:b/>
        <w:sz w:val="19"/>
        <w:szCs w:val="19"/>
      </w:rPr>
    </w:pPr>
    <w:r>
      <w:rPr>
        <w:rFonts w:ascii="Times New Roman" w:eastAsia="Times New Roman" w:hAnsi="Times New Roman"/>
      </w:rPr>
      <w:tab/>
    </w:r>
    <w:r>
      <w:rPr>
        <w:rFonts w:ascii="Times New Roman" w:eastAsia="Times New Roman" w:hAnsi="Times New Roman"/>
        <w:b/>
        <w:sz w:val="19"/>
        <w:szCs w:val="19"/>
      </w:rPr>
      <w:t>A Public Notice of the Federal Communications Commission</w:t>
    </w:r>
  </w:p>
  <w:p w:rsidR="007A53F3" w14:paraId="32941DD0" w14:textId="77777777">
    <w:pPr>
      <w:tabs>
        <w:tab w:val="left" w:pos="0"/>
        <w:tab w:val="left" w:pos="4140"/>
      </w:tabs>
      <w:spacing w:line="240" w:lineRule="atLeast"/>
      <w:rPr>
        <w:rFonts w:ascii="Times New Roman" w:eastAsia="Times New Roman" w:hAnsi="Times New Roman"/>
      </w:rPr>
    </w:pPr>
    <w:r>
      <w:rPr>
        <w:rFonts w:ascii="Times New Roman" w:eastAsia="Times New Roman" w:hAnsi="Times New Roman"/>
        <w:b/>
        <w:sz w:val="19"/>
        <w:szCs w:val="19"/>
      </w:rPr>
      <w:t>Federal Communications Commission</w:t>
    </w:r>
    <w:r>
      <w:rPr>
        <w:rFonts w:ascii="Times New Roman" w:eastAsia="Times New Roman" w:hAnsi="Times New Roman"/>
        <w:b/>
        <w:sz w:val="19"/>
        <w:szCs w:val="19"/>
      </w:rPr>
      <w:tab/>
      <w:t>News Media Information (202) 418-0500</w:t>
    </w:r>
  </w:p>
  <w:p w:rsidR="007A53F3" w14:paraId="77488B7A" w14:textId="77777777">
    <w:pPr>
      <w:tabs>
        <w:tab w:val="left" w:pos="-720"/>
        <w:tab w:val="left" w:pos="4140"/>
      </w:tabs>
      <w:spacing w:line="240" w:lineRule="atLeast"/>
      <w:rPr>
        <w:rFonts w:ascii="Times New Roman" w:eastAsia="Times New Roman" w:hAnsi="Times New Roman"/>
      </w:rPr>
    </w:pPr>
    <w:r>
      <w:rPr>
        <w:rFonts w:ascii="Times New Roman" w:eastAsia="Times New Roman" w:hAnsi="Times New Roman"/>
        <w:b/>
        <w:sz w:val="19"/>
        <w:szCs w:val="19"/>
      </w:rPr>
      <w:t>445 12th Street, S.W.</w:t>
    </w:r>
    <w:r>
      <w:rPr>
        <w:rFonts w:ascii="Times New Roman" w:eastAsia="Times New Roman" w:hAnsi="Times New Roman"/>
      </w:rPr>
      <w:tab/>
    </w:r>
    <w:r>
      <w:rPr>
        <w:rFonts w:ascii="Times New Roman" w:eastAsia="Times New Roman" w:hAnsi="Times New Roman"/>
        <w:b/>
        <w:sz w:val="19"/>
        <w:szCs w:val="19"/>
      </w:rPr>
      <w:t>Internet:</w:t>
    </w:r>
    <w:r>
      <w:rPr>
        <w:rFonts w:ascii="Times New Roman" w:eastAsia="Times New Roman" w:hAnsi="Times New Roman"/>
        <w:b/>
        <w:sz w:val="19"/>
        <w:szCs w:val="19"/>
      </w:rPr>
      <w:tab/>
      <w:t xml:space="preserve">http://www.fcc.gov </w:t>
    </w:r>
  </w:p>
  <w:p w:rsidR="007A53F3" w14:paraId="351BBC22" w14:textId="77777777">
    <w:pPr>
      <w:tabs>
        <w:tab w:val="left" w:pos="4140"/>
      </w:tabs>
      <w:spacing w:line="240" w:lineRule="atLeast"/>
      <w:rPr>
        <w:rFonts w:ascii="Times New Roman" w:eastAsia="Times New Roman" w:hAnsi="Times New Roman"/>
      </w:rPr>
    </w:pPr>
    <w:r>
      <w:rPr>
        <w:rFonts w:ascii="Times New Roman" w:eastAsia="Times New Roman" w:hAnsi="Times New Roman"/>
        <w:b/>
        <w:sz w:val="19"/>
        <w:szCs w:val="19"/>
      </w:rPr>
      <w:t>Washington, D.C. 20554</w:t>
    </w:r>
    <w:r>
      <w:rPr>
        <w:rFonts w:ascii="Times New Roman" w:eastAsia="Times New Roman" w:hAnsi="Times New Roman"/>
      </w:rPr>
      <w:tab/>
    </w:r>
    <w:r>
      <w:rPr>
        <w:rFonts w:ascii="Times New Roman" w:eastAsia="Times New Roman" w:hAnsi="Times New Roman"/>
        <w:b/>
        <w:sz w:val="19"/>
        <w:szCs w:val="19"/>
      </w:rPr>
      <w:t>TTY (888) 835-5322</w:t>
    </w:r>
  </w:p>
  <w:p w:rsidR="007A53F3" w14:paraId="040D4517" w14:textId="77777777">
    <w:pPr>
      <w:pStyle w:val="Header"/>
      <w:tabs>
        <w:tab w:val="center" w:pos="4680"/>
        <w:tab w:val="right" w:pos="9360"/>
      </w:tabs>
      <w:autoSpaceDE w:val="0"/>
      <w:autoSpaceDN w:val="0"/>
      <w:rPr>
        <w:rFonts w:ascii="Times New Roman" w:eastAsia="Times New Roman" w:hAnsi="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isplayHorizontalDrawingGridEvery w:val="0"/>
  <w:displayVerticalDrawingGridEvery w:val="2"/>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53F3"/>
    <w:rsid w:val="00025A86"/>
    <w:rsid w:val="000B7C80"/>
    <w:rsid w:val="001E6333"/>
    <w:rsid w:val="002564ED"/>
    <w:rsid w:val="002A4C8D"/>
    <w:rsid w:val="003D2DA9"/>
    <w:rsid w:val="004D6286"/>
    <w:rsid w:val="0050369C"/>
    <w:rsid w:val="00661AFE"/>
    <w:rsid w:val="006E1BFC"/>
    <w:rsid w:val="00712792"/>
    <w:rsid w:val="007A53F3"/>
    <w:rsid w:val="007B37F4"/>
    <w:rsid w:val="007E1025"/>
    <w:rsid w:val="00923649"/>
    <w:rsid w:val="00924981"/>
    <w:rsid w:val="00947CB2"/>
    <w:rsid w:val="00A31569"/>
    <w:rsid w:val="00AA5389"/>
    <w:rsid w:val="00AE3708"/>
    <w:rsid w:val="00AF5AAF"/>
    <w:rsid w:val="00B852D0"/>
    <w:rsid w:val="00C80F79"/>
    <w:rsid w:val="00D040F6"/>
    <w:rsid w:val="00E0006B"/>
    <w:rsid w:val="00F0594B"/>
  </w:rsids>
  <m:mathPr>
    <m:mathFont m:val="Cambria Math"/>
    <m:smallFrac/>
    <m:lMargin m:val="1440"/>
    <m:rMargin m:val="1440"/>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15:docId w15:val="{C5DE0849-4975-4914-B62E-746BA5696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pPr>
    <w:rPr>
      <w:rFonts w:ascii="Courier" w:eastAsia="Courier" w:hAnsi="Courier"/>
      <w:sz w:val="24"/>
      <w:szCs w:val="24"/>
    </w:rPr>
  </w:style>
  <w:style w:type="paragraph" w:styleId="Heading1">
    <w:name w:val="heading 1"/>
    <w:basedOn w:val="Normal"/>
    <w:next w:val="Normal"/>
    <w:uiPriority w:val="9"/>
    <w:qFormat/>
    <w:pPr>
      <w:keepNext/>
      <w:autoSpaceDE/>
      <w:autoSpaceDN/>
      <w:outlineLvl w:val="0"/>
    </w:pPr>
    <w:rPr>
      <w:rFonts w:ascii="Arial" w:eastAsia="Arial" w:hAnsi="Arial"/>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AHeading">
    <w:name w:val="toa heading"/>
    <w:basedOn w:val="Normal"/>
    <w:next w:val="Normal"/>
    <w:semiHidden/>
    <w:pPr>
      <w:tabs>
        <w:tab w:val="right" w:pos="9360"/>
      </w:tabs>
      <w:autoSpaceDE/>
      <w:autoSpaceDN/>
    </w:pPr>
  </w:style>
  <w:style w:type="paragraph" w:styleId="Header">
    <w:name w:val="header"/>
    <w:basedOn w:val="Normal"/>
    <w:link w:val="HeaderChar"/>
    <w:pPr>
      <w:tabs>
        <w:tab w:val="center" w:pos="4320"/>
        <w:tab w:val="right" w:pos="8640"/>
      </w:tabs>
      <w:autoSpaceDE/>
      <w:autoSpaceDN/>
    </w:pPr>
  </w:style>
  <w:style w:type="paragraph" w:styleId="Footer">
    <w:name w:val="footer"/>
    <w:basedOn w:val="Normal"/>
    <w:link w:val="FooterChar"/>
    <w:pPr>
      <w:tabs>
        <w:tab w:val="center" w:pos="4320"/>
        <w:tab w:val="right" w:pos="8640"/>
      </w:tabs>
      <w:autoSpaceDE/>
      <w:autoSpaceDN/>
    </w:pPr>
  </w:style>
  <w:style w:type="paragraph" w:customStyle="1" w:styleId="NewHeading">
    <w:name w:val="New Heading"/>
    <w:basedOn w:val="Heading1"/>
    <w:pPr>
      <w:tabs>
        <w:tab w:val="center" w:pos="4680"/>
      </w:tabs>
      <w:jc w:val="center"/>
    </w:pPr>
    <w:rPr>
      <w:rFonts w:ascii="Courier" w:eastAsia="Times New Roman" w:hAnsi="Courier"/>
      <w:sz w:val="24"/>
      <w:szCs w:val="24"/>
      <w:u w:val="single"/>
    </w:rPr>
  </w:style>
  <w:style w:type="paragraph" w:styleId="BodyTextIndent">
    <w:name w:val="Body Text Indent"/>
    <w:basedOn w:val="Normal"/>
    <w:pPr>
      <w:autoSpaceDE/>
      <w:autoSpaceDN/>
      <w:ind w:left="4147"/>
    </w:pPr>
    <w:rPr>
      <w:rFonts w:ascii="Courier New" w:eastAsia="Courier New" w:hAnsi="Courier New"/>
      <w:spacing w:val="-8"/>
      <w:sz w:val="16"/>
      <w:szCs w:val="16"/>
    </w:rPr>
  </w:style>
  <w:style w:type="paragraph" w:styleId="BodyText">
    <w:name w:val="Body Text"/>
    <w:basedOn w:val="Normal"/>
    <w:pPr>
      <w:tabs>
        <w:tab w:val="left" w:pos="-720"/>
      </w:tabs>
      <w:autoSpaceDE/>
      <w:autoSpaceDN/>
      <w:jc w:val="both"/>
    </w:pPr>
    <w:rPr>
      <w:rFonts w:ascii="Times New Roman" w:eastAsia="Times New Roman" w:hAnsi="Times New Roman"/>
      <w:sz w:val="20"/>
      <w:szCs w:val="20"/>
    </w:rPr>
  </w:style>
  <w:style w:type="character" w:styleId="PageNumber">
    <w:name w:val="page number"/>
    <w:basedOn w:val="DefaultParagraphFont"/>
  </w:style>
  <w:style w:type="character" w:styleId="Hyperlink">
    <w:name w:val="Hyperlink"/>
    <w:rPr>
      <w:color w:val="0000FF"/>
      <w:w w:val="100"/>
      <w:sz w:val="20"/>
      <w:szCs w:val="20"/>
      <w:u w:val="single"/>
      <w:shd w:val="clear" w:color="auto" w:fill="auto"/>
    </w:rPr>
  </w:style>
  <w:style w:type="paragraph" w:styleId="BalloonText">
    <w:name w:val="Balloon Text"/>
    <w:basedOn w:val="Normal"/>
    <w:semiHidden/>
    <w:rPr>
      <w:rFonts w:ascii="Tahoma" w:eastAsia="Tahoma" w:hAnsi="Tahoma"/>
      <w:sz w:val="16"/>
      <w:szCs w:val="16"/>
    </w:rPr>
  </w:style>
  <w:style w:type="character" w:customStyle="1" w:styleId="HeaderChar">
    <w:name w:val="Header Char"/>
    <w:link w:val="Header"/>
    <w:rPr>
      <w:rFonts w:ascii="Courier" w:eastAsia="Courier" w:hAnsi="Courier"/>
      <w:w w:val="100"/>
      <w:sz w:val="24"/>
      <w:szCs w:val="24"/>
      <w:shd w:val="clear" w:color="auto" w:fill="auto"/>
    </w:rPr>
  </w:style>
  <w:style w:type="character" w:customStyle="1" w:styleId="Mention">
    <w:name w:val="Mention"/>
    <w:semiHidden/>
    <w:unhideWhenUsed/>
    <w:rPr>
      <w:color w:val="2B579A"/>
      <w:w w:val="100"/>
      <w:sz w:val="20"/>
      <w:szCs w:val="20"/>
      <w:shd w:val="clear" w:color="000000" w:fill="E6E6E6"/>
    </w:rPr>
  </w:style>
  <w:style w:type="character" w:customStyle="1" w:styleId="UnresolvedMention">
    <w:name w:val="Unresolved Mention"/>
    <w:semiHidden/>
    <w:unhideWhenUsed/>
    <w:rPr>
      <w:color w:val="605E5C"/>
      <w:w w:val="100"/>
      <w:sz w:val="20"/>
      <w:szCs w:val="20"/>
      <w:shd w:val="clear" w:color="000000" w:fill="E1DFDD"/>
    </w:rPr>
  </w:style>
  <w:style w:type="character" w:styleId="CommentReference">
    <w:name w:val="annotation reference"/>
    <w:rPr>
      <w:w w:val="100"/>
      <w:sz w:val="16"/>
      <w:szCs w:val="16"/>
      <w:shd w:val="clear" w:color="auto" w:fill="auto"/>
    </w:rPr>
  </w:style>
  <w:style w:type="paragraph" w:styleId="CommentText">
    <w:name w:val="annotation text"/>
    <w:basedOn w:val="Normal"/>
    <w:link w:val="CommentTextChar"/>
    <w:rPr>
      <w:sz w:val="20"/>
      <w:szCs w:val="20"/>
    </w:rPr>
  </w:style>
  <w:style w:type="character" w:customStyle="1" w:styleId="CommentTextChar">
    <w:name w:val="Comment Text Char"/>
    <w:link w:val="CommentText"/>
    <w:rPr>
      <w:rFonts w:ascii="Courier" w:eastAsia="Courier" w:hAnsi="Courier"/>
      <w:w w:val="100"/>
      <w:sz w:val="20"/>
      <w:szCs w:val="20"/>
      <w:shd w:val="clear" w:color="auto" w:fill="auto"/>
    </w:rPr>
  </w:style>
  <w:style w:type="paragraph" w:styleId="CommentSubject">
    <w:name w:val="annotation subject"/>
    <w:basedOn w:val="CommentText"/>
    <w:next w:val="CommentText"/>
    <w:link w:val="CommentSubjectChar"/>
    <w:rPr>
      <w:b/>
    </w:rPr>
  </w:style>
  <w:style w:type="character" w:customStyle="1" w:styleId="CommentSubjectChar">
    <w:name w:val="Comment Subject Char"/>
    <w:link w:val="CommentSubject"/>
    <w:rPr>
      <w:rFonts w:ascii="Courier" w:eastAsia="Courier" w:hAnsi="Courier"/>
      <w:b/>
      <w:w w:val="100"/>
      <w:sz w:val="20"/>
      <w:szCs w:val="20"/>
      <w:shd w:val="clear" w:color="auto" w:fill="auto"/>
    </w:rPr>
  </w:style>
  <w:style w:type="character" w:customStyle="1" w:styleId="FooterChar">
    <w:name w:val="Footer Char"/>
    <w:link w:val="Footer"/>
    <w:rPr>
      <w:rFonts w:ascii="Courier" w:eastAsia="Courier" w:hAnsi="Courier"/>
      <w:w w:val="100"/>
      <w:sz w:val="24"/>
      <w:szCs w:val="24"/>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www.fcc.gov/live" TargetMode="External" /><Relationship Id="rId5" Type="http://schemas.openxmlformats.org/officeDocument/2006/relationships/hyperlink" Target="mailto:fcc504@fcc.gov"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