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D25E7E" w:rsidP="00051139" w14:paraId="0C998CAC" w14:textId="7AB8D4FD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r>
        <w:rPr>
          <w:rFonts w:ascii="Times New Roman" w:hAnsi="Times New Roman"/>
        </w:rPr>
        <w:t>May</w:t>
      </w:r>
      <w:r w:rsidR="00D159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D434C3">
        <w:rPr>
          <w:rFonts w:ascii="Times New Roman" w:hAnsi="Times New Roman"/>
        </w:rPr>
        <w:t>3</w:t>
      </w:r>
      <w:r w:rsidR="00AC2092">
        <w:rPr>
          <w:rFonts w:ascii="Times New Roman" w:hAnsi="Times New Roman"/>
        </w:rPr>
        <w:t>, 20</w:t>
      </w:r>
      <w:r w:rsidR="001C5CC1">
        <w:rPr>
          <w:rFonts w:ascii="Times New Roman" w:hAnsi="Times New Roman"/>
        </w:rPr>
        <w:t>20</w:t>
      </w:r>
    </w:p>
    <w:p w:rsidR="00D25E7E" w:rsidP="00D25E7E" w14:paraId="79B647D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75049" w:rsidRPr="00826E2D" w:rsidP="00F75049" w14:paraId="60F0285A" w14:textId="5144B66F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>ITEM</w:t>
      </w:r>
      <w:r w:rsidR="00C3123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FROM </w:t>
      </w:r>
      <w:r w:rsidR="00F10808">
        <w:rPr>
          <w:rFonts w:ascii="Times New Roman" w:hAnsi="Times New Roman"/>
        </w:rPr>
        <w:t>MAY 1</w:t>
      </w:r>
      <w:r w:rsidR="00D15955">
        <w:rPr>
          <w:rFonts w:ascii="Times New Roman" w:hAnsi="Times New Roman"/>
        </w:rPr>
        <w:t>3</w:t>
      </w:r>
      <w:r>
        <w:rPr>
          <w:rFonts w:ascii="Times New Roman" w:hAnsi="Times New Roman"/>
        </w:rPr>
        <w:t>, 20</w:t>
      </w:r>
      <w:r w:rsidR="005A7A2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p w:rsidR="00F75049" w:rsidRPr="00400017" w:rsidP="00F75049" w14:paraId="7848E5B9" w14:textId="77777777">
      <w:pPr>
        <w:pStyle w:val="BodyText"/>
        <w:tabs>
          <w:tab w:val="clear" w:pos="-720"/>
        </w:tabs>
        <w:spacing w:line="240" w:lineRule="auto"/>
      </w:pPr>
    </w:p>
    <w:p w:rsidR="00F75049" w:rsidP="00F75049" w14:paraId="1FA1F307" w14:textId="4223F106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 w:rsidR="00FC149E">
        <w:t>m</w:t>
      </w:r>
      <w:r w:rsidR="00C3123D">
        <w:t>s</w:t>
      </w:r>
      <w:r>
        <w:t xml:space="preserve"> ha</w:t>
      </w:r>
      <w:r w:rsidR="00C3123D">
        <w:t>ve</w:t>
      </w:r>
      <w:r w:rsidRPr="007A1E25">
        <w:t xml:space="preserve"> been</w:t>
      </w:r>
      <w:r>
        <w:t xml:space="preserve"> adopted by the Commission and </w:t>
      </w:r>
      <w:r w:rsidRPr="007A1E25">
        <w:t xml:space="preserve">deleted from the list of items scheduled for consideration at the </w:t>
      </w:r>
      <w:r w:rsidR="00F10808">
        <w:t>Wednesday</w:t>
      </w:r>
      <w:r w:rsidRPr="007A1E25">
        <w:t>,</w:t>
      </w:r>
      <w:r>
        <w:t xml:space="preserve"> </w:t>
      </w:r>
      <w:r w:rsidR="00F10808">
        <w:t>May</w:t>
      </w:r>
      <w:r w:rsidR="00D15955">
        <w:t xml:space="preserve"> </w:t>
      </w:r>
      <w:r w:rsidR="00F10808">
        <w:t>1</w:t>
      </w:r>
      <w:r w:rsidR="00D15955">
        <w:t>3</w:t>
      </w:r>
      <w:r>
        <w:t xml:space="preserve">, </w:t>
      </w:r>
      <w:r w:rsidR="005A7A29">
        <w:t>2020</w:t>
      </w:r>
      <w:r w:rsidRPr="007A1E25">
        <w:t>, Open Meeting</w:t>
      </w:r>
      <w:r>
        <w:t>.</w:t>
      </w:r>
      <w:r w:rsidRPr="007A1E25">
        <w:t xml:space="preserve"> </w:t>
      </w:r>
      <w:r>
        <w:t>The item</w:t>
      </w:r>
      <w:r w:rsidR="00C3123D">
        <w:t>s</w:t>
      </w:r>
      <w:r>
        <w:t xml:space="preserve"> w</w:t>
      </w:r>
      <w:r w:rsidR="00C3123D">
        <w:t>ere</w:t>
      </w:r>
      <w:r w:rsidRPr="007A1E25">
        <w:t xml:space="preserve"> previously listed in the Commission’s Notice of</w:t>
      </w:r>
      <w:r>
        <w:t xml:space="preserve"> </w:t>
      </w:r>
      <w:r w:rsidR="00F10808">
        <w:t>Wednesday</w:t>
      </w:r>
      <w:r w:rsidR="00AC2092">
        <w:t>,</w:t>
      </w:r>
      <w:r w:rsidRPr="007A1E25">
        <w:t xml:space="preserve"> </w:t>
      </w:r>
      <w:r w:rsidR="00F10808">
        <w:t>May</w:t>
      </w:r>
      <w:r w:rsidR="00D15955">
        <w:t xml:space="preserve"> 6</w:t>
      </w:r>
      <w:r>
        <w:t>, 20</w:t>
      </w:r>
      <w:r w:rsidR="005A7A29">
        <w:t>20.</w:t>
      </w:r>
    </w:p>
    <w:p w:rsidR="00F75049" w:rsidRPr="007A1E25" w:rsidP="00F75049" w14:paraId="22F52119" w14:textId="77777777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 xml:space="preserve">. </w:t>
      </w:r>
    </w:p>
    <w:tbl>
      <w:tblPr>
        <w:tblpPr w:leftFromText="180" w:rightFromText="180" w:vertAnchor="text" w:tblpXSpec="right" w:tblpY="1"/>
        <w:tblOverlap w:val="never"/>
        <w:tblW w:w="95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14:paraId="7B82A064" w14:textId="77777777" w:rsidTr="00812B58">
        <w:tblPrEx>
          <w:tblW w:w="954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bookmarkEnd w:id="0"/>
          <w:p w:rsidR="00F10808" w:rsidP="00812B58" w14:paraId="568FE9F5" w14:textId="77777777">
            <w:pPr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ITEM NO.</w:t>
            </w:r>
          </w:p>
        </w:tc>
        <w:tc>
          <w:tcPr>
            <w:tcW w:w="2880" w:type="dxa"/>
          </w:tcPr>
          <w:p w:rsidR="00F10808" w:rsidP="00812B58" w14:paraId="6A0F3C0F" w14:textId="77777777">
            <w:pPr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BUREAU</w:t>
            </w:r>
          </w:p>
        </w:tc>
        <w:tc>
          <w:tcPr>
            <w:tcW w:w="5220" w:type="dxa"/>
          </w:tcPr>
          <w:p w:rsidR="00F10808" w:rsidP="00812B58" w14:paraId="65800668" w14:textId="77777777">
            <w:pPr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14:paraId="43E139DB" w14:textId="77777777" w:rsidTr="00812B58">
        <w:tblPrEx>
          <w:tblW w:w="954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F10808" w:rsidP="00812B58" w14:paraId="5D5009A6" w14:textId="77777777">
            <w:pPr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80" w:type="dxa"/>
          </w:tcPr>
          <w:p w:rsidR="00F10808" w:rsidP="00812B58" w14:paraId="628EFFBE" w14:textId="77777777">
            <w:pPr>
              <w:autoSpaceDE/>
              <w:autoSpaceDN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WIRELESS TELE-COMMUNICATIONS</w:t>
            </w:r>
          </w:p>
        </w:tc>
        <w:tc>
          <w:tcPr>
            <w:tcW w:w="5220" w:type="dxa"/>
          </w:tcPr>
          <w:p w:rsidR="00F10808" w:rsidRPr="00A31569" w:rsidP="00812B58" w14:paraId="22F5FF15" w14:textId="77777777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spacing w:val="-2"/>
                <w:kern w:val="28"/>
              </w:rPr>
            </w:pPr>
            <w:bookmarkStart w:id="1" w:name="OLE_LINK3"/>
            <w:r>
              <w:rPr>
                <w:rFonts w:ascii="Times New Roman" w:hAnsi="Times New Roman"/>
                <w:b/>
              </w:rPr>
              <w:t>TITL</w:t>
            </w:r>
            <w:bookmarkStart w:id="2" w:name="OLE_LINK2"/>
            <w:r>
              <w:rPr>
                <w:rFonts w:ascii="Times New Roman" w:hAnsi="Times New Roman"/>
                <w:b/>
              </w:rPr>
              <w:t>E:</w:t>
            </w:r>
            <w:bookmarkEnd w:id="2"/>
            <w:r>
              <w:rPr>
                <w:rFonts w:ascii="Times New Roman" w:hAnsi="Times New Roman"/>
                <w:b/>
              </w:rPr>
              <w:t xml:space="preserve">  </w:t>
            </w:r>
            <w:r w:rsidRPr="00A31569">
              <w:rPr>
                <w:rFonts w:ascii="Times New Roman" w:hAnsi="Times New Roman"/>
                <w:spacing w:val="-2"/>
                <w:kern w:val="28"/>
              </w:rPr>
              <w:t>Review of the Commission’s Rules Governing the 896-901/935-940 MHz Band (WT Docket No. 17-200)</w:t>
            </w:r>
          </w:p>
          <w:p w:rsidR="00F10808" w:rsidP="00812B58" w14:paraId="5247810D" w14:textId="77777777">
            <w:pPr>
              <w:autoSpaceDE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bookmarkEnd w:id="1"/>
            <w:r w:rsidRPr="00A31569">
              <w:rPr>
                <w:rFonts w:ascii="Times New Roman" w:hAnsi="Times New Roman"/>
              </w:rPr>
              <w:t xml:space="preserve">The Commission will consider a Report and Order that would realign the 900 MHz band to create a new </w:t>
            </w:r>
            <w:r w:rsidRPr="00A31569">
              <w:rPr>
                <w:rFonts w:ascii="Times New Roman" w:hAnsi="Times New Roman"/>
              </w:rPr>
              <w:t>six megahertz</w:t>
            </w:r>
            <w:r w:rsidRPr="00A31569">
              <w:rPr>
                <w:rFonts w:ascii="Times New Roman" w:hAnsi="Times New Roman"/>
              </w:rPr>
              <w:t xml:space="preserve"> broadband segment to support the growing technological needs of our nation’s industries, while reserving the remaining four megahertz of the band for narrowband operations. </w:t>
            </w:r>
          </w:p>
          <w:p w:rsidR="00F10808" w:rsidP="00812B58" w14:paraId="1C2EA0F3" w14:textId="77777777">
            <w:pPr>
              <w:autoSpaceDE/>
              <w:spacing w:before="90" w:after="54"/>
              <w:rPr>
                <w:rFonts w:ascii="Times New Roman" w:hAnsi="Times New Roman"/>
              </w:rPr>
            </w:pPr>
          </w:p>
        </w:tc>
      </w:tr>
      <w:tr w14:paraId="769A87C6" w14:textId="77777777" w:rsidTr="00812B58">
        <w:tblPrEx>
          <w:tblW w:w="954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F10808" w:rsidP="00812B58" w14:paraId="32756D83" w14:textId="77777777">
            <w:pPr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80" w:type="dxa"/>
          </w:tcPr>
          <w:p w:rsidR="00F10808" w:rsidP="00812B58" w14:paraId="5DF70418" w14:textId="77777777">
            <w:pPr>
              <w:autoSpaceDE/>
              <w:autoSpaceDN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INTERNATIONAL </w:t>
            </w:r>
          </w:p>
          <w:p w:rsidR="00F10808" w:rsidP="00812B58" w14:paraId="6864EDD3" w14:textId="77777777">
            <w:pPr>
              <w:autoSpaceDE/>
              <w:autoSpaceDN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F10808" w:rsidRPr="00A31569" w:rsidP="00812B58" w14:paraId="0304A115" w14:textId="77777777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snapToGrid w:val="0"/>
                <w:spacing w:val="-2"/>
                <w:kern w:val="28"/>
              </w:rPr>
            </w:pPr>
            <w:r>
              <w:rPr>
                <w:rFonts w:ascii="Times New Roman" w:hAnsi="Times New Roman"/>
                <w:b/>
              </w:rPr>
              <w:t xml:space="preserve">TITLE:  </w:t>
            </w:r>
            <w:r w:rsidRPr="00A31569">
              <w:rPr>
                <w:rFonts w:ascii="Times New Roman" w:hAnsi="Times New Roman"/>
                <w:snapToGrid w:val="0"/>
                <w:spacing w:val="-2"/>
                <w:kern w:val="28"/>
              </w:rPr>
              <w:t xml:space="preserve">Amendment of Parts 2 and 25 of the </w:t>
            </w:r>
          </w:p>
          <w:p w:rsidR="00F10808" w:rsidRPr="00A31569" w:rsidP="00812B58" w14:paraId="63A4458B" w14:textId="77777777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snapToGrid w:val="0"/>
                <w:spacing w:val="-2"/>
                <w:kern w:val="28"/>
              </w:rPr>
            </w:pPr>
            <w:r w:rsidRPr="00A31569">
              <w:rPr>
                <w:rFonts w:ascii="Times New Roman" w:hAnsi="Times New Roman"/>
                <w:snapToGrid w:val="0"/>
                <w:spacing w:val="-2"/>
                <w:kern w:val="28"/>
              </w:rPr>
              <w:t>Commission’s Rules</w:t>
            </w:r>
            <w:r w:rsidRPr="00A31569">
              <w:rPr>
                <w:rFonts w:ascii="Times New Roman" w:hAnsi="Times New Roman"/>
                <w:snapToGrid w:val="0"/>
                <w:spacing w:val="-2"/>
                <w:kern w:val="28"/>
              </w:rPr>
              <w:t xml:space="preserve"> </w:t>
            </w:r>
            <w:r w:rsidRPr="00A31569">
              <w:rPr>
                <w:rFonts w:ascii="Times New Roman" w:hAnsi="Times New Roman"/>
                <w:snapToGrid w:val="0"/>
                <w:spacing w:val="-2"/>
                <w:kern w:val="28"/>
              </w:rPr>
              <w:t>to Facilitate the Use of Earth Stations in Motion Communicating with Geostationary Orbit Space Stations in Frequency Bands Allocated to the Fixed Satellite Service</w:t>
            </w:r>
          </w:p>
          <w:p w:rsidR="00F10808" w:rsidRPr="00A31569" w:rsidP="00812B58" w14:paraId="300CD811" w14:textId="77777777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(</w:t>
            </w:r>
            <w:r w:rsidRPr="00A31569">
              <w:rPr>
                <w:rFonts w:ascii="Times New Roman" w:hAnsi="Times New Roman"/>
                <w:spacing w:val="-2"/>
              </w:rPr>
              <w:t>IB Docket No. 17-95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); </w:t>
            </w:r>
            <w:r w:rsidRPr="00A31569">
              <w:rPr>
                <w:rFonts w:ascii="Times New Roman" w:hAnsi="Times New Roman"/>
                <w:spacing w:val="-2"/>
              </w:rPr>
              <w:t>Facilitating the Communications of Earth Stations in Motion with Non-Geostationary Orbit Space Stations</w:t>
            </w:r>
            <w:r>
              <w:rPr>
                <w:rFonts w:ascii="Times New Roman" w:hAnsi="Times New Roman"/>
                <w:spacing w:val="-2"/>
              </w:rPr>
              <w:t xml:space="preserve"> (IB Docket No. 18-315)</w:t>
            </w:r>
          </w:p>
          <w:p w:rsidR="00F10808" w:rsidRPr="00AE3708" w:rsidP="00812B58" w14:paraId="77C9C43D" w14:textId="77777777">
            <w:pPr>
              <w:autoSpaceDE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 w:rsidRPr="00AE3708">
              <w:rPr>
                <w:rFonts w:ascii="Times New Roman" w:hAnsi="Times New Roman"/>
                <w:bCs/>
              </w:rPr>
              <w:t xml:space="preserve">The Commission will consider a Second Report and Order and Report and Order </w:t>
            </w:r>
            <w:r>
              <w:rPr>
                <w:rFonts w:ascii="Times New Roman" w:hAnsi="Times New Roman"/>
                <w:bCs/>
              </w:rPr>
              <w:t xml:space="preserve">that would adopt </w:t>
            </w:r>
            <w:r w:rsidRPr="00AE3708">
              <w:rPr>
                <w:rFonts w:ascii="Times New Roman" w:hAnsi="Times New Roman"/>
                <w:bCs/>
              </w:rPr>
              <w:t>rules to facilitate the deployment of geostationary-satellite orbit and non-geostationary-orbit fixed-satellite service earth stations that operate while in motion.</w:t>
            </w:r>
          </w:p>
          <w:p w:rsidR="00F10808" w:rsidP="00812B58" w14:paraId="127A3D9E" w14:textId="77777777">
            <w:pPr>
              <w:autoSpaceDE/>
              <w:spacing w:before="90" w:after="54"/>
              <w:jc w:val="both"/>
              <w:rPr>
                <w:rFonts w:ascii="Times New Roman" w:hAnsi="Times New Roman"/>
                <w:b/>
              </w:rPr>
            </w:pPr>
          </w:p>
        </w:tc>
      </w:tr>
      <w:tr w14:paraId="094D298A" w14:textId="77777777" w:rsidTr="00812B58">
        <w:tblPrEx>
          <w:tblW w:w="954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F10808" w:rsidP="00812B58" w14:paraId="2157ABAC" w14:textId="77777777">
            <w:pPr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0" w:type="dxa"/>
          </w:tcPr>
          <w:p w:rsidR="00F10808" w:rsidP="00812B58" w14:paraId="3B6198F6" w14:textId="77777777">
            <w:pPr>
              <w:autoSpaceDE/>
              <w:autoSpaceDN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220" w:type="dxa"/>
          </w:tcPr>
          <w:p w:rsidR="00F10808" w:rsidRPr="00AE3708" w:rsidP="00812B58" w14:paraId="2A35E70A" w14:textId="77777777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snapToGrid w:val="0"/>
                <w:spacing w:val="-2"/>
                <w:kern w:val="28"/>
              </w:rPr>
            </w:pPr>
            <w:r>
              <w:rPr>
                <w:rFonts w:ascii="Times New Roman" w:hAnsi="Times New Roman"/>
                <w:b/>
              </w:rPr>
              <w:t xml:space="preserve">TITLE:  </w:t>
            </w:r>
            <w:r w:rsidRPr="00AE3708">
              <w:rPr>
                <w:rFonts w:ascii="Times New Roman" w:hAnsi="Times New Roman"/>
                <w:snapToGrid w:val="0"/>
                <w:spacing w:val="-2"/>
                <w:kern w:val="28"/>
              </w:rPr>
              <w:t>Amendment of Section 73.3580 of the Commission’s Rules Regarding Public Notice of the Filing of Applications</w:t>
            </w:r>
            <w:r>
              <w:rPr>
                <w:rFonts w:ascii="Times New Roman" w:hAnsi="Times New Roman"/>
                <w:snapToGrid w:val="0"/>
                <w:spacing w:val="-2"/>
                <w:kern w:val="28"/>
              </w:rPr>
              <w:t xml:space="preserve"> (MB Docket No. 17-264); </w:t>
            </w:r>
            <w:r w:rsidRPr="00AE3708">
              <w:rPr>
                <w:rFonts w:ascii="Times New Roman" w:hAnsi="Times New Roman"/>
                <w:snapToGrid w:val="0"/>
                <w:spacing w:val="-2"/>
                <w:kern w:val="28"/>
              </w:rPr>
              <w:t>Modernization of Media Regulation Initiative</w:t>
            </w:r>
            <w:r>
              <w:rPr>
                <w:rFonts w:ascii="Times New Roman" w:hAnsi="Times New Roman"/>
                <w:snapToGrid w:val="0"/>
                <w:spacing w:val="-2"/>
                <w:kern w:val="28"/>
              </w:rPr>
              <w:t xml:space="preserve"> (MB </w:t>
            </w:r>
            <w:r>
              <w:rPr>
                <w:rFonts w:ascii="Times New Roman" w:hAnsi="Times New Roman"/>
                <w:snapToGrid w:val="0"/>
                <w:spacing w:val="-2"/>
                <w:kern w:val="28"/>
              </w:rPr>
              <w:t xml:space="preserve">Docket No. 17-105); </w:t>
            </w:r>
            <w:r w:rsidRPr="00AE3708">
              <w:rPr>
                <w:rFonts w:ascii="Times New Roman" w:hAnsi="Times New Roman"/>
                <w:snapToGrid w:val="0"/>
                <w:spacing w:val="-2"/>
                <w:kern w:val="28"/>
              </w:rPr>
              <w:t>Revision of the Public Notice Requirements of Section 73.3580</w:t>
            </w:r>
            <w:r>
              <w:rPr>
                <w:rFonts w:ascii="Times New Roman" w:hAnsi="Times New Roman"/>
                <w:snapToGrid w:val="0"/>
                <w:spacing w:val="-2"/>
                <w:kern w:val="28"/>
              </w:rPr>
              <w:t xml:space="preserve"> (MB Docket No. 05-6)</w:t>
            </w:r>
          </w:p>
          <w:p w:rsidR="00F10808" w:rsidP="00812B58" w14:paraId="70ED4405" w14:textId="77777777">
            <w:pPr>
              <w:autoSpaceDE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 w:rsidRPr="007E1025">
              <w:rPr>
                <w:rFonts w:ascii="Times New Roman" w:hAnsi="Times New Roman"/>
              </w:rPr>
              <w:t>The Commission will consider a Report and Order that would modernize and simplify the written and on-air public notices broadcasters must provide upon the filing of certain applications.</w:t>
            </w:r>
          </w:p>
          <w:p w:rsidR="00F10808" w:rsidP="00812B58" w14:paraId="59576867" w14:textId="77777777">
            <w:pPr>
              <w:autoSpaceDE/>
              <w:spacing w:before="90" w:after="54"/>
              <w:jc w:val="both"/>
              <w:rPr>
                <w:rFonts w:ascii="Times New Roman" w:hAnsi="Times New Roman"/>
                <w:b/>
              </w:rPr>
            </w:pPr>
          </w:p>
        </w:tc>
      </w:tr>
      <w:tr w14:paraId="1F0DA847" w14:textId="77777777" w:rsidTr="00812B58">
        <w:tblPrEx>
          <w:tblW w:w="954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F10808" w:rsidP="00812B58" w14:paraId="703F38BF" w14:textId="77777777">
            <w:pPr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80" w:type="dxa"/>
          </w:tcPr>
          <w:p w:rsidR="00F10808" w:rsidP="00812B58" w14:paraId="4470D845" w14:textId="77777777">
            <w:pPr>
              <w:autoSpaceDE/>
              <w:autoSpaceDN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MANAGING DIRECTOR </w:t>
            </w:r>
          </w:p>
          <w:p w:rsidR="00F10808" w:rsidP="00812B58" w14:paraId="3825A3A9" w14:textId="77777777">
            <w:pPr>
              <w:autoSpaceDE/>
              <w:autoSpaceDN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AND </w:t>
            </w:r>
          </w:p>
          <w:p w:rsidR="00F10808" w:rsidP="00812B58" w14:paraId="17046702" w14:textId="77777777">
            <w:pPr>
              <w:autoSpaceDE/>
              <w:autoSpaceDN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WIRELINE COMPETITION</w:t>
            </w:r>
          </w:p>
        </w:tc>
        <w:tc>
          <w:tcPr>
            <w:tcW w:w="5220" w:type="dxa"/>
          </w:tcPr>
          <w:p w:rsidR="00F10808" w:rsidRPr="00C80F79" w:rsidP="00812B58" w14:paraId="1EF07EB0" w14:textId="77777777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snapToGrid w:val="0"/>
                <w:spacing w:val="-2"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TITLE:</w:t>
            </w:r>
            <w:r>
              <w:rPr>
                <w:rFonts w:ascii="Times New Roman" w:hAnsi="Times New Roman"/>
              </w:rPr>
              <w:t xml:space="preserve">  </w:t>
            </w:r>
            <w:r w:rsidRPr="000B7C80">
              <w:rPr>
                <w:rFonts w:ascii="Times New Roman" w:hAnsi="Times New Roman"/>
                <w:snapToGrid w:val="0"/>
                <w:spacing w:val="-2"/>
                <w:kern w:val="28"/>
              </w:rPr>
              <w:t>Assessment and Collection of Regulatory Fees for Fiscal Year 2020 (MD Docket No. 20-105); Assessment and Collection of Regulatory Fees for Fiscal Year 2019 (MD Docket No. 19-105)</w:t>
            </w:r>
          </w:p>
          <w:p w:rsidR="00F10808" w:rsidP="00812B58" w14:paraId="0B38D9F1" w14:textId="77777777">
            <w:pPr>
              <w:autoSpaceDE/>
              <w:spacing w:before="90" w:after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 w:rsidRPr="000B7C80">
              <w:rPr>
                <w:rFonts w:ascii="Times New Roman" w:hAnsi="Times New Roman"/>
              </w:rPr>
              <w:t xml:space="preserve">The Commission will consider a Report and Order and Notice of Proposed Rulemaking. The Report and Order would level the playing field between domestic and foreign licensed space stations by assessing a regulatory fee on non-U.S. licensed space stations with United States market access. The Notice of Proposed Rulemaking </w:t>
            </w:r>
            <w:r>
              <w:rPr>
                <w:rFonts w:ascii="Times New Roman" w:hAnsi="Times New Roman"/>
              </w:rPr>
              <w:t xml:space="preserve">would </w:t>
            </w:r>
            <w:r w:rsidRPr="000B7C80">
              <w:rPr>
                <w:rFonts w:ascii="Times New Roman" w:hAnsi="Times New Roman"/>
              </w:rPr>
              <w:t>initiate the Commission’s annual regulatory fee proceeding.</w:t>
            </w:r>
          </w:p>
        </w:tc>
      </w:tr>
    </w:tbl>
    <w:p w:rsidR="00F10808" w:rsidP="00F10808" w14:paraId="69FD6855" w14:textId="77777777">
      <w:pPr>
        <w:spacing w:line="270" w:lineRule="exact"/>
        <w:rPr>
          <w:rFonts w:ascii="Times New Roman" w:hAnsi="Times New Roman"/>
        </w:rPr>
      </w:pPr>
    </w:p>
    <w:p w:rsidR="00F10808" w:rsidP="00F10808" w14:paraId="3EA9A4AE" w14:textId="77777777">
      <w:pPr>
        <w:tabs>
          <w:tab w:val="center" w:pos="4680"/>
        </w:tabs>
        <w:spacing w:after="120"/>
        <w:rPr>
          <w:rFonts w:ascii="Times New Roman" w:hAnsi="Times New Roman"/>
        </w:rPr>
      </w:pPr>
      <w:bookmarkStart w:id="3" w:name="_GoBack"/>
      <w:bookmarkEnd w:id="3"/>
    </w:p>
    <w:p w:rsidR="00F10808" w:rsidP="00F10808" w14:paraId="0D1F7391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</w:p>
    <w:p w:rsidR="007601A6" w:rsidRPr="007601A6" w:rsidP="007601A6" w14:paraId="70A4FC9B" w14:textId="77777777">
      <w:pPr>
        <w:rPr>
          <w:rFonts w:ascii="Times New Roman" w:hAnsi="Times New Roman"/>
        </w:rPr>
      </w:pP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68371991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49359204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5867024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246788A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9C79B8" w14:paraId="32F250C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9C79B8" w14:paraId="1510A6AD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9C79B8" w14:paraId="3AD6F4EB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445 12th Street, S.W.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9C79B8" w14:paraId="637EAC71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B7C80"/>
    <w:rsid w:val="000C312C"/>
    <w:rsid w:val="000C7253"/>
    <w:rsid w:val="000D4DB7"/>
    <w:rsid w:val="000D5968"/>
    <w:rsid w:val="000D6981"/>
    <w:rsid w:val="000D69D3"/>
    <w:rsid w:val="000E5F58"/>
    <w:rsid w:val="000F0EA5"/>
    <w:rsid w:val="000F2930"/>
    <w:rsid w:val="00104097"/>
    <w:rsid w:val="0011041B"/>
    <w:rsid w:val="0011166B"/>
    <w:rsid w:val="00113331"/>
    <w:rsid w:val="001136F8"/>
    <w:rsid w:val="001154B4"/>
    <w:rsid w:val="00115B04"/>
    <w:rsid w:val="00116DAB"/>
    <w:rsid w:val="00125B73"/>
    <w:rsid w:val="00131A97"/>
    <w:rsid w:val="00140DC6"/>
    <w:rsid w:val="00144038"/>
    <w:rsid w:val="0014738F"/>
    <w:rsid w:val="001474F9"/>
    <w:rsid w:val="00150577"/>
    <w:rsid w:val="00152615"/>
    <w:rsid w:val="001541CB"/>
    <w:rsid w:val="00155A15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CA3"/>
    <w:rsid w:val="00244FFE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271A"/>
    <w:rsid w:val="002D6231"/>
    <w:rsid w:val="002D76C1"/>
    <w:rsid w:val="002D7B0D"/>
    <w:rsid w:val="002E0710"/>
    <w:rsid w:val="002E15B7"/>
    <w:rsid w:val="002E1918"/>
    <w:rsid w:val="002E681F"/>
    <w:rsid w:val="002E7347"/>
    <w:rsid w:val="002F3C7B"/>
    <w:rsid w:val="002F55BF"/>
    <w:rsid w:val="003006E8"/>
    <w:rsid w:val="0031194C"/>
    <w:rsid w:val="0031260F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A23E4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53EB"/>
    <w:rsid w:val="003E2AF8"/>
    <w:rsid w:val="003E2C0D"/>
    <w:rsid w:val="003E5B9B"/>
    <w:rsid w:val="003F269D"/>
    <w:rsid w:val="003F31DE"/>
    <w:rsid w:val="003F73DE"/>
    <w:rsid w:val="00400017"/>
    <w:rsid w:val="00407C29"/>
    <w:rsid w:val="004207B8"/>
    <w:rsid w:val="00420C9A"/>
    <w:rsid w:val="0042128F"/>
    <w:rsid w:val="0042240F"/>
    <w:rsid w:val="004310C5"/>
    <w:rsid w:val="00432969"/>
    <w:rsid w:val="00435C95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3760"/>
    <w:rsid w:val="00503DF8"/>
    <w:rsid w:val="00510EAF"/>
    <w:rsid w:val="00510F71"/>
    <w:rsid w:val="0051140B"/>
    <w:rsid w:val="00515E73"/>
    <w:rsid w:val="005202A3"/>
    <w:rsid w:val="00525B89"/>
    <w:rsid w:val="00527169"/>
    <w:rsid w:val="00527AEC"/>
    <w:rsid w:val="00537CA1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7172B"/>
    <w:rsid w:val="00571C46"/>
    <w:rsid w:val="00572621"/>
    <w:rsid w:val="005736EB"/>
    <w:rsid w:val="00576A91"/>
    <w:rsid w:val="00580593"/>
    <w:rsid w:val="00580F4C"/>
    <w:rsid w:val="0058240D"/>
    <w:rsid w:val="005869E2"/>
    <w:rsid w:val="005959FC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B2906"/>
    <w:rsid w:val="006B2998"/>
    <w:rsid w:val="006B3842"/>
    <w:rsid w:val="006B553E"/>
    <w:rsid w:val="006C0731"/>
    <w:rsid w:val="006C0BBD"/>
    <w:rsid w:val="006C6801"/>
    <w:rsid w:val="006D04EC"/>
    <w:rsid w:val="006D159C"/>
    <w:rsid w:val="006D15EB"/>
    <w:rsid w:val="006D77C0"/>
    <w:rsid w:val="006E49E9"/>
    <w:rsid w:val="006E54B3"/>
    <w:rsid w:val="006E54C9"/>
    <w:rsid w:val="006E6B56"/>
    <w:rsid w:val="006F0357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39E2"/>
    <w:rsid w:val="007C171A"/>
    <w:rsid w:val="007C3FFF"/>
    <w:rsid w:val="007C4214"/>
    <w:rsid w:val="007C6657"/>
    <w:rsid w:val="007C780C"/>
    <w:rsid w:val="007D052B"/>
    <w:rsid w:val="007D6B7A"/>
    <w:rsid w:val="007E1025"/>
    <w:rsid w:val="007E1503"/>
    <w:rsid w:val="007E1CDF"/>
    <w:rsid w:val="007E345D"/>
    <w:rsid w:val="007E3C47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2B58"/>
    <w:rsid w:val="00815876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3736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56D1"/>
    <w:rsid w:val="00A2637F"/>
    <w:rsid w:val="00A266B1"/>
    <w:rsid w:val="00A26F39"/>
    <w:rsid w:val="00A3114B"/>
    <w:rsid w:val="00A31569"/>
    <w:rsid w:val="00A338CA"/>
    <w:rsid w:val="00A342CB"/>
    <w:rsid w:val="00A359F6"/>
    <w:rsid w:val="00A364EF"/>
    <w:rsid w:val="00A406F9"/>
    <w:rsid w:val="00A40853"/>
    <w:rsid w:val="00A459E6"/>
    <w:rsid w:val="00A46EFA"/>
    <w:rsid w:val="00A4718E"/>
    <w:rsid w:val="00A475B0"/>
    <w:rsid w:val="00A477E2"/>
    <w:rsid w:val="00A532D1"/>
    <w:rsid w:val="00A54C8B"/>
    <w:rsid w:val="00A55402"/>
    <w:rsid w:val="00A60C89"/>
    <w:rsid w:val="00A67C6B"/>
    <w:rsid w:val="00A71A41"/>
    <w:rsid w:val="00A71C4F"/>
    <w:rsid w:val="00A7243B"/>
    <w:rsid w:val="00A815B8"/>
    <w:rsid w:val="00A84C98"/>
    <w:rsid w:val="00A90B7F"/>
    <w:rsid w:val="00A9103D"/>
    <w:rsid w:val="00A9722F"/>
    <w:rsid w:val="00AA0226"/>
    <w:rsid w:val="00AA3EFD"/>
    <w:rsid w:val="00AB1363"/>
    <w:rsid w:val="00AB3B47"/>
    <w:rsid w:val="00AB6035"/>
    <w:rsid w:val="00AB6B89"/>
    <w:rsid w:val="00AB6E2F"/>
    <w:rsid w:val="00AC1230"/>
    <w:rsid w:val="00AC2092"/>
    <w:rsid w:val="00AC6368"/>
    <w:rsid w:val="00AD1427"/>
    <w:rsid w:val="00AD273E"/>
    <w:rsid w:val="00AD689C"/>
    <w:rsid w:val="00AE0BFE"/>
    <w:rsid w:val="00AE156C"/>
    <w:rsid w:val="00AE3708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A8A"/>
    <w:rsid w:val="00B4748D"/>
    <w:rsid w:val="00B50B32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B3F86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2FD2"/>
    <w:rsid w:val="00C138C7"/>
    <w:rsid w:val="00C14600"/>
    <w:rsid w:val="00C15599"/>
    <w:rsid w:val="00C21BE5"/>
    <w:rsid w:val="00C2201C"/>
    <w:rsid w:val="00C3123D"/>
    <w:rsid w:val="00C31C39"/>
    <w:rsid w:val="00C37822"/>
    <w:rsid w:val="00C407E2"/>
    <w:rsid w:val="00C46AAA"/>
    <w:rsid w:val="00C502F7"/>
    <w:rsid w:val="00C637CD"/>
    <w:rsid w:val="00C71FA3"/>
    <w:rsid w:val="00C74DBE"/>
    <w:rsid w:val="00C75E18"/>
    <w:rsid w:val="00C80F79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7010"/>
    <w:rsid w:val="00D315A6"/>
    <w:rsid w:val="00D34332"/>
    <w:rsid w:val="00D347BA"/>
    <w:rsid w:val="00D400C4"/>
    <w:rsid w:val="00D434C3"/>
    <w:rsid w:val="00D46505"/>
    <w:rsid w:val="00D50C5F"/>
    <w:rsid w:val="00D52FF2"/>
    <w:rsid w:val="00D604FC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36F4"/>
    <w:rsid w:val="00EB57E4"/>
    <w:rsid w:val="00EB656B"/>
    <w:rsid w:val="00EB7261"/>
    <w:rsid w:val="00EC2E8C"/>
    <w:rsid w:val="00ED2656"/>
    <w:rsid w:val="00ED31FA"/>
    <w:rsid w:val="00ED43BD"/>
    <w:rsid w:val="00ED595F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4E9E"/>
    <w:rsid w:val="00FC149E"/>
    <w:rsid w:val="00FD5CD1"/>
    <w:rsid w:val="00FD6660"/>
    <w:rsid w:val="00FD6F12"/>
    <w:rsid w:val="00FD7801"/>
    <w:rsid w:val="00FE1BEF"/>
    <w:rsid w:val="00FE6039"/>
    <w:rsid w:val="00FE6207"/>
    <w:rsid w:val="00FF2E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