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51FBD0F" w14:textId="77777777" w:rsidTr="46D70228">
        <w:tblPrEx>
          <w:tblW w:w="0" w:type="auto"/>
          <w:tblLook w:val="0000"/>
        </w:tblPrEx>
        <w:trPr>
          <w:trHeight w:val="2181"/>
        </w:trPr>
        <w:tc>
          <w:tcPr>
            <w:tcW w:w="8856" w:type="dxa"/>
          </w:tcPr>
          <w:p w:rsidR="00FF232D" w:rsidP="02B40749" w14:paraId="7CA44601" w14:textId="66B20C49">
            <w:pPr>
              <w:jc w:val="center"/>
              <w:rPr>
                <w:b/>
                <w:bCs/>
              </w:rPr>
            </w:pPr>
            <w:bookmarkStart w:id="0" w:name="_GoBack"/>
            <w:bookmarkEnd w:id="0"/>
            <w:r>
              <w:rPr>
                <w:noProof/>
              </w:rPr>
              <w:drawing>
                <wp:inline distT="0" distB="0" distL="0" distR="0">
                  <wp:extent cx="5505452" cy="762000"/>
                  <wp:effectExtent l="0" t="0" r="0" b="0"/>
                  <wp:docPr id="1462116339"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659196"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451E93BE" w14:textId="77777777">
            <w:pPr>
              <w:rPr>
                <w:b/>
                <w:bCs/>
                <w:sz w:val="12"/>
                <w:szCs w:val="12"/>
              </w:rPr>
            </w:pPr>
          </w:p>
          <w:p w:rsidR="007A44F8" w:rsidRPr="008A3940" w:rsidP="00BB4E29" w14:paraId="4116B1C5" w14:textId="77777777">
            <w:pPr>
              <w:rPr>
                <w:b/>
                <w:bCs/>
                <w:sz w:val="22"/>
                <w:szCs w:val="22"/>
              </w:rPr>
            </w:pPr>
            <w:r w:rsidRPr="008A3940">
              <w:rPr>
                <w:b/>
                <w:bCs/>
                <w:sz w:val="22"/>
                <w:szCs w:val="22"/>
              </w:rPr>
              <w:t xml:space="preserve">Media Contact: </w:t>
            </w:r>
          </w:p>
          <w:p w:rsidR="007A44F8" w:rsidRPr="008A3940" w:rsidP="00BB4E29" w14:paraId="1EAEB2ED" w14:textId="71BD77D4">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0500</w:t>
            </w:r>
          </w:p>
          <w:p w:rsidR="00FF232D" w:rsidRPr="008A3940" w:rsidP="00BB4E29" w14:paraId="2F12F834" w14:textId="108637F2">
            <w:pPr>
              <w:rPr>
                <w:bCs/>
                <w:sz w:val="22"/>
                <w:szCs w:val="22"/>
              </w:rPr>
            </w:pPr>
            <w:r>
              <w:rPr>
                <w:bCs/>
                <w:sz w:val="22"/>
                <w:szCs w:val="22"/>
              </w:rPr>
              <w:t>anne.veigle</w:t>
            </w:r>
            <w:r w:rsidRPr="008A3940" w:rsidR="007A44F8">
              <w:rPr>
                <w:bCs/>
                <w:sz w:val="22"/>
                <w:szCs w:val="22"/>
              </w:rPr>
              <w:t>@fcc.gov</w:t>
            </w:r>
          </w:p>
          <w:p w:rsidR="007A44F8" w:rsidRPr="008A3940" w:rsidP="00BB4E29" w14:paraId="05C8AF06" w14:textId="77777777">
            <w:pPr>
              <w:rPr>
                <w:bCs/>
                <w:sz w:val="22"/>
                <w:szCs w:val="22"/>
              </w:rPr>
            </w:pPr>
          </w:p>
          <w:p w:rsidR="007A44F8" w:rsidRPr="008A3940" w:rsidP="00BB4E29" w14:paraId="7EEF1B45" w14:textId="77777777">
            <w:pPr>
              <w:rPr>
                <w:b/>
                <w:sz w:val="22"/>
                <w:szCs w:val="22"/>
              </w:rPr>
            </w:pPr>
            <w:r w:rsidRPr="008A3940">
              <w:rPr>
                <w:b/>
                <w:sz w:val="22"/>
                <w:szCs w:val="22"/>
              </w:rPr>
              <w:t>For Immediate Release</w:t>
            </w:r>
          </w:p>
          <w:p w:rsidR="007A44F8" w:rsidRPr="004A729A" w:rsidP="00BB4E29" w14:paraId="35F618B5" w14:textId="77777777">
            <w:pPr>
              <w:jc w:val="center"/>
              <w:rPr>
                <w:b/>
                <w:bCs/>
                <w:sz w:val="22"/>
                <w:szCs w:val="22"/>
              </w:rPr>
            </w:pPr>
          </w:p>
          <w:p w:rsidR="00EE51AE" w:rsidP="00C910DF" w14:paraId="764F3431" w14:textId="77777777">
            <w:pPr>
              <w:tabs>
                <w:tab w:val="left" w:pos="8625"/>
              </w:tabs>
              <w:jc w:val="center"/>
              <w:rPr>
                <w:b/>
                <w:bCs/>
                <w:sz w:val="26"/>
                <w:szCs w:val="26"/>
              </w:rPr>
            </w:pPr>
            <w:r w:rsidRPr="00443DE8">
              <w:rPr>
                <w:b/>
                <w:bCs/>
                <w:sz w:val="26"/>
                <w:szCs w:val="26"/>
              </w:rPr>
              <w:t xml:space="preserve">FCC AUTHORIZES OVER $7.5 MILLION </w:t>
            </w:r>
          </w:p>
          <w:p w:rsidR="000E049E" w:rsidP="00D861EE" w14:paraId="3D1EAE4C" w14:textId="14C8CC38">
            <w:pPr>
              <w:tabs>
                <w:tab w:val="left" w:pos="8625"/>
              </w:tabs>
              <w:spacing w:after="120"/>
              <w:jc w:val="center"/>
              <w:rPr>
                <w:b/>
                <w:bCs/>
                <w:sz w:val="26"/>
                <w:szCs w:val="26"/>
              </w:rPr>
            </w:pPr>
            <w:r w:rsidRPr="00443DE8">
              <w:rPr>
                <w:b/>
                <w:bCs/>
                <w:sz w:val="26"/>
                <w:szCs w:val="26"/>
              </w:rPr>
              <w:t>FOR RURAL BROADBAND PROJECTS</w:t>
            </w:r>
          </w:p>
          <w:p w:rsidR="00CC5E08" w:rsidRPr="008A3940" w:rsidP="00040127" w14:paraId="5D116B94" w14:textId="1D17A9E9">
            <w:pPr>
              <w:tabs>
                <w:tab w:val="left" w:pos="8625"/>
              </w:tabs>
              <w:jc w:val="center"/>
              <w:rPr>
                <w:i/>
              </w:rPr>
            </w:pPr>
            <w:r w:rsidRPr="00443DE8">
              <w:rPr>
                <w:b/>
                <w:bCs/>
                <w:i/>
              </w:rPr>
              <w:t>Connect America Fund Support Will Expand Broadband Deployment in 7 States</w:t>
            </w:r>
          </w:p>
          <w:p w:rsidR="00F61155" w:rsidRPr="006B0A70" w:rsidP="00BB4E29" w14:paraId="0059020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43DE8" w:rsidP="00443DE8" w14:paraId="3D3E3237" w14:textId="4D0B8110">
            <w:pPr>
              <w:rPr>
                <w:sz w:val="22"/>
                <w:szCs w:val="22"/>
              </w:rPr>
            </w:pPr>
            <w:r w:rsidRPr="00443DE8">
              <w:rPr>
                <w:sz w:val="22"/>
                <w:szCs w:val="22"/>
              </w:rPr>
              <w:t xml:space="preserve">WASHINGTON, </w:t>
            </w:r>
            <w:r w:rsidRPr="00443DE8">
              <w:rPr>
                <w:sz w:val="22"/>
                <w:szCs w:val="22"/>
              </w:rPr>
              <w:t>May 14</w:t>
            </w:r>
            <w:r w:rsidRPr="00443DE8" w:rsidR="00065E2D">
              <w:rPr>
                <w:sz w:val="22"/>
                <w:szCs w:val="22"/>
              </w:rPr>
              <w:t>,</w:t>
            </w:r>
            <w:r w:rsidRPr="002E165B" w:rsidR="00065E2D">
              <w:rPr>
                <w:sz w:val="22"/>
                <w:szCs w:val="22"/>
              </w:rPr>
              <w:t xml:space="preserve"> 20</w:t>
            </w:r>
            <w:r w:rsidR="006D16EF">
              <w:rPr>
                <w:sz w:val="22"/>
                <w:szCs w:val="22"/>
              </w:rPr>
              <w:t>20</w:t>
            </w:r>
            <w:r w:rsidRPr="002E165B" w:rsidR="00D861EE">
              <w:rPr>
                <w:sz w:val="22"/>
                <w:szCs w:val="22"/>
              </w:rPr>
              <w:t>—</w:t>
            </w:r>
            <w:r w:rsidRPr="00443DE8">
              <w:rPr>
                <w:sz w:val="22"/>
                <w:szCs w:val="22"/>
              </w:rPr>
              <w:t xml:space="preserve">The Federal Communications Commission today authorized over $7.5 million in funding over ten years to expand rural broadband in Arizona, Colorado, Illinois, Missouri, Nebraska, </w:t>
            </w:r>
            <w:r w:rsidR="009476DB">
              <w:rPr>
                <w:sz w:val="22"/>
                <w:szCs w:val="22"/>
              </w:rPr>
              <w:t xml:space="preserve">New York, </w:t>
            </w:r>
            <w:r w:rsidRPr="00443DE8">
              <w:rPr>
                <w:sz w:val="22"/>
                <w:szCs w:val="22"/>
              </w:rPr>
              <w:t xml:space="preserve">and Oklahoma. </w:t>
            </w:r>
            <w:r w:rsidR="002D0204">
              <w:rPr>
                <w:sz w:val="22"/>
                <w:szCs w:val="22"/>
              </w:rPr>
              <w:t xml:space="preserve"> </w:t>
            </w:r>
            <w:r w:rsidRPr="00443DE8">
              <w:rPr>
                <w:sz w:val="22"/>
                <w:szCs w:val="22"/>
              </w:rPr>
              <w:t>These investments will connect over 3,1</w:t>
            </w:r>
            <w:r w:rsidR="005D48AC">
              <w:rPr>
                <w:sz w:val="22"/>
                <w:szCs w:val="22"/>
              </w:rPr>
              <w:t>00</w:t>
            </w:r>
            <w:r w:rsidRPr="00443DE8">
              <w:rPr>
                <w:sz w:val="22"/>
                <w:szCs w:val="22"/>
              </w:rPr>
              <w:t xml:space="preserve"> unserved rural homes and businesses. </w:t>
            </w:r>
            <w:r w:rsidR="009476DB">
              <w:rPr>
                <w:sz w:val="22"/>
                <w:szCs w:val="22"/>
              </w:rPr>
              <w:t xml:space="preserve"> </w:t>
            </w:r>
            <w:r w:rsidRPr="00443DE8">
              <w:rPr>
                <w:sz w:val="22"/>
                <w:szCs w:val="22"/>
              </w:rPr>
              <w:t>Providers will begin receiving the</w:t>
            </w:r>
            <w:r w:rsidR="00463288">
              <w:rPr>
                <w:sz w:val="22"/>
                <w:szCs w:val="22"/>
              </w:rPr>
              <w:t xml:space="preserve"> funds</w:t>
            </w:r>
            <w:r w:rsidRPr="00443DE8">
              <w:rPr>
                <w:sz w:val="22"/>
                <w:szCs w:val="22"/>
              </w:rPr>
              <w:t xml:space="preserve"> later this month. </w:t>
            </w:r>
          </w:p>
          <w:p w:rsidR="00443DE8" w:rsidRPr="00443DE8" w:rsidP="00443DE8" w14:paraId="20A3505E" w14:textId="77777777">
            <w:pPr>
              <w:rPr>
                <w:sz w:val="22"/>
                <w:szCs w:val="22"/>
              </w:rPr>
            </w:pPr>
          </w:p>
          <w:p w:rsidR="00443DE8" w:rsidP="00443DE8" w14:paraId="16193B27" w14:textId="352EFAAC">
            <w:pPr>
              <w:rPr>
                <w:sz w:val="22"/>
                <w:szCs w:val="22"/>
              </w:rPr>
            </w:pPr>
            <w:r w:rsidRPr="00443DE8">
              <w:rPr>
                <w:sz w:val="22"/>
                <w:szCs w:val="22"/>
              </w:rPr>
              <w:t xml:space="preserve">“Today’s announcement of over $7.5 million in rural broadband funding for seven states continues the important work the FCC is doing to close the digital divide, as we work to ensure all Americans are able to access online resources for work, education, and healthcare,” said FCC Chairman Ajit Pai. </w:t>
            </w:r>
            <w:r w:rsidR="002D0204">
              <w:rPr>
                <w:sz w:val="22"/>
                <w:szCs w:val="22"/>
              </w:rPr>
              <w:t xml:space="preserve"> </w:t>
            </w:r>
            <w:r w:rsidRPr="00443DE8">
              <w:rPr>
                <w:sz w:val="22"/>
                <w:szCs w:val="22"/>
              </w:rPr>
              <w:t>“The FCC’s Connect America Fund is delivering real value at a critical time for our nation, particularly to those living in unconnected rural areas.”</w:t>
            </w:r>
          </w:p>
          <w:p w:rsidR="00443DE8" w:rsidRPr="00443DE8" w:rsidP="00443DE8" w14:paraId="7ACB17BE" w14:textId="77777777">
            <w:pPr>
              <w:rPr>
                <w:sz w:val="22"/>
                <w:szCs w:val="22"/>
              </w:rPr>
            </w:pPr>
          </w:p>
          <w:p w:rsidR="00443DE8" w:rsidP="00443DE8" w14:paraId="60FF1278" w14:textId="2E372511">
            <w:pPr>
              <w:rPr>
                <w:sz w:val="22"/>
                <w:szCs w:val="22"/>
              </w:rPr>
            </w:pPr>
            <w:r w:rsidRPr="00443DE8">
              <w:rPr>
                <w:sz w:val="22"/>
                <w:szCs w:val="22"/>
              </w:rPr>
              <w:t xml:space="preserve">The funding represents the 12th wave of support from the successful 2018 Connect America Fund Phase II auction. </w:t>
            </w:r>
            <w:r w:rsidR="002D0204">
              <w:rPr>
                <w:sz w:val="22"/>
                <w:szCs w:val="22"/>
              </w:rPr>
              <w:t xml:space="preserve"> </w:t>
            </w:r>
            <w:r w:rsidRPr="00443DE8">
              <w:rPr>
                <w:sz w:val="22"/>
                <w:szCs w:val="22"/>
              </w:rPr>
              <w:t xml:space="preserve">Providers must build out to 40% of the assigned homes and businesses in the areas won in a state within three years. </w:t>
            </w:r>
            <w:r w:rsidR="002D0204">
              <w:rPr>
                <w:sz w:val="22"/>
                <w:szCs w:val="22"/>
              </w:rPr>
              <w:t xml:space="preserve"> </w:t>
            </w:r>
            <w:r w:rsidRPr="00443DE8">
              <w:rPr>
                <w:sz w:val="22"/>
                <w:szCs w:val="22"/>
              </w:rPr>
              <w:t xml:space="preserve">Buildout must increase by 20% in each subsequent year, until complete buildout is reached at the end of the sixth year. </w:t>
            </w:r>
            <w:r w:rsidR="002D0204">
              <w:rPr>
                <w:sz w:val="22"/>
                <w:szCs w:val="22"/>
              </w:rPr>
              <w:t xml:space="preserve"> </w:t>
            </w:r>
            <w:r w:rsidRPr="00443DE8">
              <w:rPr>
                <w:sz w:val="22"/>
                <w:szCs w:val="22"/>
              </w:rPr>
              <w:t>The funding being authorized in New York is the fourth wave of matching funds provided through the FCC’s partnership with the state’s New NY Broadband Program.</w:t>
            </w:r>
          </w:p>
          <w:p w:rsidR="00443DE8" w:rsidP="00443DE8" w14:paraId="091C343E" w14:textId="3588EAF5">
            <w:pPr>
              <w:rPr>
                <w:sz w:val="22"/>
                <w:szCs w:val="22"/>
              </w:rPr>
            </w:pPr>
          </w:p>
          <w:p w:rsidR="00DC32E0" w:rsidP="00443DE8" w14:paraId="60AA868E" w14:textId="77777777">
            <w:pPr>
              <w:rPr>
                <w:sz w:val="22"/>
                <w:szCs w:val="22"/>
              </w:rPr>
            </w:pPr>
          </w:p>
          <w:tbl>
            <w:tblPr>
              <w:tblW w:w="8414" w:type="dxa"/>
              <w:tblLook w:val="04A0"/>
            </w:tblPr>
            <w:tblGrid>
              <w:gridCol w:w="1477"/>
              <w:gridCol w:w="2379"/>
              <w:gridCol w:w="1702"/>
              <w:gridCol w:w="1712"/>
              <w:gridCol w:w="1144"/>
            </w:tblGrid>
            <w:tr w14:paraId="16C6B889" w14:textId="77777777" w:rsidTr="46D70228">
              <w:tblPrEx>
                <w:tblW w:w="8414" w:type="dxa"/>
                <w:tblLook w:val="04A0"/>
              </w:tblPrEx>
              <w:trPr>
                <w:trHeight w:val="585"/>
              </w:trPr>
              <w:tc>
                <w:tcPr>
                  <w:tcW w:w="1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2E4B" w:rsidRPr="00816D8D" w:rsidP="00A32E4B" w14:paraId="14B5DDDE" w14:textId="77777777">
                  <w:pPr>
                    <w:jc w:val="center"/>
                    <w:rPr>
                      <w:b/>
                      <w:bCs/>
                      <w:color w:val="000000"/>
                      <w:sz w:val="22"/>
                      <w:szCs w:val="22"/>
                    </w:rPr>
                  </w:pPr>
                  <w:r w:rsidRPr="00816D8D">
                    <w:rPr>
                      <w:b/>
                      <w:bCs/>
                      <w:color w:val="000000"/>
                      <w:sz w:val="22"/>
                      <w:szCs w:val="22"/>
                    </w:rPr>
                    <w:t>State</w:t>
                  </w:r>
                </w:p>
              </w:tc>
              <w:tc>
                <w:tcPr>
                  <w:tcW w:w="2379" w:type="dxa"/>
                  <w:tcBorders>
                    <w:top w:val="single" w:sz="4" w:space="0" w:color="auto"/>
                    <w:left w:val="nil"/>
                    <w:bottom w:val="single" w:sz="4" w:space="0" w:color="auto"/>
                    <w:right w:val="single" w:sz="4" w:space="0" w:color="auto"/>
                  </w:tcBorders>
                  <w:shd w:val="clear" w:color="auto" w:fill="auto"/>
                  <w:vAlign w:val="bottom"/>
                  <w:hideMark/>
                </w:tcPr>
                <w:p w:rsidR="00A32E4B" w:rsidRPr="00816D8D" w:rsidP="00A32E4B" w14:paraId="200D5907" w14:textId="77777777">
                  <w:pPr>
                    <w:jc w:val="center"/>
                    <w:rPr>
                      <w:b/>
                      <w:bCs/>
                      <w:color w:val="000000"/>
                      <w:sz w:val="22"/>
                      <w:szCs w:val="22"/>
                    </w:rPr>
                  </w:pPr>
                  <w:r w:rsidRPr="00816D8D">
                    <w:rPr>
                      <w:b/>
                      <w:bCs/>
                      <w:color w:val="000000"/>
                      <w:sz w:val="22"/>
                      <w:szCs w:val="22"/>
                    </w:rPr>
                    <w:t xml:space="preserve">Company              </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rsidR="00A32E4B" w:rsidRPr="00816D8D" w:rsidP="00A32E4B" w14:paraId="3B1D310B" w14:textId="77777777">
                  <w:pPr>
                    <w:jc w:val="center"/>
                    <w:rPr>
                      <w:b/>
                      <w:bCs/>
                      <w:color w:val="000000"/>
                      <w:sz w:val="22"/>
                      <w:szCs w:val="22"/>
                    </w:rPr>
                  </w:pPr>
                  <w:r w:rsidRPr="00816D8D">
                    <w:rPr>
                      <w:b/>
                      <w:bCs/>
                      <w:color w:val="000000"/>
                      <w:sz w:val="22"/>
                      <w:szCs w:val="22"/>
                    </w:rPr>
                    <w:t>Minimum Speed</w:t>
                  </w:r>
                </w:p>
              </w:tc>
              <w:tc>
                <w:tcPr>
                  <w:tcW w:w="1712" w:type="dxa"/>
                  <w:tcBorders>
                    <w:top w:val="single" w:sz="4" w:space="0" w:color="auto"/>
                    <w:left w:val="nil"/>
                    <w:bottom w:val="single" w:sz="4" w:space="0" w:color="auto"/>
                    <w:right w:val="single" w:sz="4" w:space="0" w:color="auto"/>
                  </w:tcBorders>
                  <w:shd w:val="clear" w:color="auto" w:fill="auto"/>
                  <w:vAlign w:val="bottom"/>
                  <w:hideMark/>
                </w:tcPr>
                <w:p w:rsidR="00A32E4B" w:rsidRPr="00816D8D" w:rsidP="00A32E4B" w14:paraId="69EF421E" w14:textId="77777777">
                  <w:pPr>
                    <w:jc w:val="center"/>
                    <w:rPr>
                      <w:b/>
                      <w:bCs/>
                      <w:color w:val="000000"/>
                      <w:sz w:val="22"/>
                      <w:szCs w:val="22"/>
                    </w:rPr>
                  </w:pPr>
                  <w:r w:rsidRPr="00816D8D">
                    <w:rPr>
                      <w:b/>
                      <w:bCs/>
                      <w:color w:val="000000"/>
                      <w:sz w:val="22"/>
                      <w:szCs w:val="22"/>
                    </w:rPr>
                    <w:t>Support/10 Years</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A32E4B" w:rsidRPr="00816D8D" w:rsidP="00A32E4B" w14:paraId="1AC871E9" w14:textId="77777777">
                  <w:pPr>
                    <w:jc w:val="center"/>
                    <w:rPr>
                      <w:b/>
                      <w:bCs/>
                      <w:color w:val="000000"/>
                      <w:sz w:val="22"/>
                      <w:szCs w:val="22"/>
                    </w:rPr>
                  </w:pPr>
                  <w:r w:rsidRPr="00816D8D">
                    <w:rPr>
                      <w:b/>
                      <w:bCs/>
                      <w:color w:val="000000"/>
                      <w:sz w:val="22"/>
                      <w:szCs w:val="22"/>
                    </w:rPr>
                    <w:t>Locations</w:t>
                  </w:r>
                </w:p>
              </w:tc>
            </w:tr>
            <w:tr w14:paraId="7AE049EB"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hideMark/>
                </w:tcPr>
                <w:p w:rsidR="00A32E4B" w:rsidRPr="00816D8D" w:rsidP="00A32E4B" w14:paraId="60A21EC8" w14:textId="27512531">
                  <w:pPr>
                    <w:jc w:val="center"/>
                    <w:rPr>
                      <w:sz w:val="22"/>
                      <w:szCs w:val="22"/>
                    </w:rPr>
                  </w:pPr>
                  <w:r w:rsidRPr="00816D8D">
                    <w:rPr>
                      <w:sz w:val="22"/>
                      <w:szCs w:val="22"/>
                    </w:rPr>
                    <w:t>Arizona</w:t>
                  </w:r>
                </w:p>
              </w:tc>
              <w:tc>
                <w:tcPr>
                  <w:tcW w:w="2379" w:type="dxa"/>
                  <w:tcBorders>
                    <w:top w:val="nil"/>
                    <w:left w:val="nil"/>
                    <w:bottom w:val="single" w:sz="4" w:space="0" w:color="auto"/>
                    <w:right w:val="single" w:sz="4" w:space="0" w:color="auto"/>
                  </w:tcBorders>
                  <w:shd w:val="clear" w:color="auto" w:fill="FFFFFF" w:themeFill="background1"/>
                  <w:noWrap/>
                </w:tcPr>
                <w:p w:rsidR="00A32E4B" w:rsidRPr="00816D8D" w:rsidP="00A32E4B" w14:paraId="4683D5A4" w14:textId="6DA18829">
                  <w:pPr>
                    <w:jc w:val="center"/>
                    <w:rPr>
                      <w:color w:val="000000"/>
                      <w:sz w:val="22"/>
                      <w:szCs w:val="22"/>
                    </w:rPr>
                  </w:pPr>
                  <w:r w:rsidRPr="00816D8D">
                    <w:rPr>
                      <w:sz w:val="22"/>
                      <w:szCs w:val="22"/>
                    </w:rPr>
                    <w:t>Gila Local Exchange Carrier, Inc.</w:t>
                  </w:r>
                </w:p>
              </w:tc>
              <w:tc>
                <w:tcPr>
                  <w:tcW w:w="1702" w:type="dxa"/>
                  <w:tcBorders>
                    <w:top w:val="nil"/>
                    <w:left w:val="nil"/>
                    <w:bottom w:val="single" w:sz="4" w:space="0" w:color="auto"/>
                    <w:right w:val="single" w:sz="4" w:space="0" w:color="auto"/>
                  </w:tcBorders>
                  <w:shd w:val="clear" w:color="auto" w:fill="FFFFFF" w:themeFill="background1"/>
                  <w:noWrap/>
                  <w:vAlign w:val="bottom"/>
                </w:tcPr>
                <w:p w:rsidR="00A32E4B" w:rsidRPr="00816D8D" w:rsidP="00A32E4B" w14:paraId="4AA7DF80" w14:textId="08E75169">
                  <w:pPr>
                    <w:jc w:val="center"/>
                    <w:rPr>
                      <w:color w:val="000000"/>
                      <w:sz w:val="22"/>
                      <w:szCs w:val="22"/>
                    </w:rPr>
                  </w:pPr>
                  <w:r w:rsidRPr="00816D8D">
                    <w:rPr>
                      <w:color w:val="000000"/>
                      <w:sz w:val="22"/>
                      <w:szCs w:val="22"/>
                    </w:rPr>
                    <w:t>1 Gbps/500 Mbps;</w:t>
                  </w:r>
                  <w:r w:rsidRPr="00816D8D" w:rsidR="00816D8D">
                    <w:rPr>
                      <w:color w:val="000000"/>
                      <w:sz w:val="22"/>
                      <w:szCs w:val="22"/>
                    </w:rPr>
                    <w:t xml:space="preserve"> 100/20 Mbps</w:t>
                  </w:r>
                </w:p>
              </w:tc>
              <w:tc>
                <w:tcPr>
                  <w:tcW w:w="1712" w:type="dxa"/>
                  <w:tcBorders>
                    <w:top w:val="nil"/>
                    <w:left w:val="nil"/>
                    <w:bottom w:val="single" w:sz="4" w:space="0" w:color="auto"/>
                    <w:right w:val="single" w:sz="4" w:space="0" w:color="auto"/>
                  </w:tcBorders>
                  <w:shd w:val="clear" w:color="auto" w:fill="FFFFFF" w:themeFill="background1"/>
                  <w:noWrap/>
                  <w:hideMark/>
                </w:tcPr>
                <w:p w:rsidR="00A32E4B" w:rsidRPr="00816D8D" w:rsidP="00A32E4B" w14:paraId="2536130F" w14:textId="5FCCAC24">
                  <w:pPr>
                    <w:jc w:val="center"/>
                    <w:rPr>
                      <w:sz w:val="22"/>
                      <w:szCs w:val="22"/>
                    </w:rPr>
                  </w:pPr>
                  <w:r w:rsidRPr="00816D8D">
                    <w:rPr>
                      <w:sz w:val="22"/>
                      <w:szCs w:val="22"/>
                    </w:rPr>
                    <w:t>$104,499</w:t>
                  </w:r>
                </w:p>
              </w:tc>
              <w:tc>
                <w:tcPr>
                  <w:tcW w:w="1144" w:type="dxa"/>
                  <w:tcBorders>
                    <w:top w:val="nil"/>
                    <w:left w:val="nil"/>
                    <w:bottom w:val="single" w:sz="4" w:space="0" w:color="auto"/>
                    <w:right w:val="single" w:sz="4" w:space="0" w:color="auto"/>
                  </w:tcBorders>
                  <w:shd w:val="clear" w:color="auto" w:fill="FFFFFF" w:themeFill="background1"/>
                  <w:noWrap/>
                  <w:hideMark/>
                </w:tcPr>
                <w:p w:rsidR="00A32E4B" w:rsidRPr="00816D8D" w:rsidP="00A32E4B" w14:paraId="2685ECF5" w14:textId="19406D63">
                  <w:pPr>
                    <w:jc w:val="center"/>
                    <w:rPr>
                      <w:sz w:val="22"/>
                      <w:szCs w:val="22"/>
                    </w:rPr>
                  </w:pPr>
                  <w:r w:rsidRPr="00816D8D">
                    <w:rPr>
                      <w:sz w:val="22"/>
                      <w:szCs w:val="22"/>
                    </w:rPr>
                    <w:t>29</w:t>
                  </w:r>
                </w:p>
              </w:tc>
            </w:tr>
            <w:tr w14:paraId="3CDC7A8E"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hideMark/>
                </w:tcPr>
                <w:p w:rsidR="00816D8D" w:rsidRPr="00816D8D" w:rsidP="00816D8D" w14:paraId="0980B130" w14:textId="4E6171F2">
                  <w:pPr>
                    <w:jc w:val="center"/>
                    <w:rPr>
                      <w:sz w:val="22"/>
                      <w:szCs w:val="22"/>
                    </w:rPr>
                  </w:pPr>
                  <w:r w:rsidRPr="00816D8D">
                    <w:rPr>
                      <w:sz w:val="22"/>
                      <w:szCs w:val="22"/>
                    </w:rPr>
                    <w:t>Colorado</w:t>
                  </w:r>
                </w:p>
              </w:tc>
              <w:tc>
                <w:tcPr>
                  <w:tcW w:w="2379" w:type="dxa"/>
                  <w:tcBorders>
                    <w:top w:val="nil"/>
                    <w:left w:val="nil"/>
                    <w:bottom w:val="single" w:sz="4" w:space="0" w:color="auto"/>
                    <w:right w:val="single" w:sz="4" w:space="0" w:color="auto"/>
                  </w:tcBorders>
                  <w:shd w:val="clear" w:color="auto" w:fill="FFFFFF" w:themeFill="background1"/>
                  <w:noWrap/>
                </w:tcPr>
                <w:p w:rsidR="00816D8D" w:rsidRPr="00816D8D" w:rsidP="00816D8D" w14:paraId="291A38CF" w14:textId="1226F337">
                  <w:pPr>
                    <w:jc w:val="center"/>
                    <w:rPr>
                      <w:color w:val="000000"/>
                      <w:sz w:val="22"/>
                      <w:szCs w:val="22"/>
                    </w:rPr>
                  </w:pPr>
                  <w:r w:rsidRPr="00816D8D">
                    <w:rPr>
                      <w:sz w:val="22"/>
                      <w:szCs w:val="22"/>
                    </w:rPr>
                    <w:t>NE Colorado Cellular, Inc.</w:t>
                  </w:r>
                </w:p>
              </w:tc>
              <w:tc>
                <w:tcPr>
                  <w:tcW w:w="1702" w:type="dxa"/>
                  <w:tcBorders>
                    <w:top w:val="nil"/>
                    <w:left w:val="nil"/>
                    <w:bottom w:val="single" w:sz="4" w:space="0" w:color="auto"/>
                    <w:right w:val="single" w:sz="4" w:space="0" w:color="auto"/>
                  </w:tcBorders>
                  <w:shd w:val="clear" w:color="auto" w:fill="FFFFFF" w:themeFill="background1"/>
                  <w:noWrap/>
                </w:tcPr>
                <w:p w:rsidR="00816D8D" w:rsidRPr="00816D8D" w:rsidP="00816D8D" w14:paraId="6E0223C7" w14:textId="637306D6">
                  <w:pPr>
                    <w:jc w:val="center"/>
                    <w:rPr>
                      <w:color w:val="000000"/>
                      <w:sz w:val="22"/>
                      <w:szCs w:val="22"/>
                    </w:rPr>
                  </w:pPr>
                  <w:r w:rsidRPr="00816D8D">
                    <w:rPr>
                      <w:sz w:val="22"/>
                      <w:szCs w:val="22"/>
                    </w:rPr>
                    <w:t>25/3 Mbps</w:t>
                  </w:r>
                </w:p>
              </w:tc>
              <w:tc>
                <w:tcPr>
                  <w:tcW w:w="1712"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63238D8A" w14:textId="6E2EEB8B">
                  <w:pPr>
                    <w:jc w:val="center"/>
                    <w:rPr>
                      <w:sz w:val="22"/>
                      <w:szCs w:val="22"/>
                    </w:rPr>
                  </w:pPr>
                  <w:r w:rsidRPr="46D70228">
                    <w:rPr>
                      <w:sz w:val="22"/>
                      <w:szCs w:val="22"/>
                    </w:rPr>
                    <w:t>$2,769,082.50</w:t>
                  </w:r>
                </w:p>
              </w:tc>
              <w:tc>
                <w:tcPr>
                  <w:tcW w:w="1144"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65F9D7E6" w14:textId="44C4B538">
                  <w:pPr>
                    <w:jc w:val="center"/>
                    <w:rPr>
                      <w:sz w:val="22"/>
                      <w:szCs w:val="22"/>
                    </w:rPr>
                  </w:pPr>
                  <w:r w:rsidRPr="00816D8D">
                    <w:rPr>
                      <w:sz w:val="22"/>
                      <w:szCs w:val="22"/>
                    </w:rPr>
                    <w:t>731</w:t>
                  </w:r>
                </w:p>
              </w:tc>
            </w:tr>
            <w:tr w14:paraId="66CF2BB4"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hideMark/>
                </w:tcPr>
                <w:p w:rsidR="00816D8D" w:rsidRPr="00816D8D" w:rsidP="00816D8D" w14:paraId="715677EB" w14:textId="10D37910">
                  <w:pPr>
                    <w:jc w:val="center"/>
                    <w:rPr>
                      <w:sz w:val="22"/>
                      <w:szCs w:val="22"/>
                    </w:rPr>
                  </w:pPr>
                  <w:r w:rsidRPr="00816D8D">
                    <w:rPr>
                      <w:sz w:val="22"/>
                      <w:szCs w:val="22"/>
                    </w:rPr>
                    <w:t>Illinois</w:t>
                  </w:r>
                </w:p>
              </w:tc>
              <w:tc>
                <w:tcPr>
                  <w:tcW w:w="2379" w:type="dxa"/>
                  <w:tcBorders>
                    <w:top w:val="nil"/>
                    <w:left w:val="nil"/>
                    <w:bottom w:val="single" w:sz="4" w:space="0" w:color="auto"/>
                    <w:right w:val="single" w:sz="4" w:space="0" w:color="auto"/>
                  </w:tcBorders>
                  <w:shd w:val="clear" w:color="auto" w:fill="FFFFFF" w:themeFill="background1"/>
                  <w:noWrap/>
                </w:tcPr>
                <w:p w:rsidR="00816D8D" w:rsidRPr="00816D8D" w:rsidP="00816D8D" w14:paraId="1D436683" w14:textId="5F9DAE18">
                  <w:pPr>
                    <w:jc w:val="center"/>
                    <w:rPr>
                      <w:color w:val="000000"/>
                      <w:sz w:val="22"/>
                      <w:szCs w:val="22"/>
                    </w:rPr>
                  </w:pPr>
                  <w:r w:rsidRPr="00816D8D">
                    <w:rPr>
                      <w:sz w:val="22"/>
                      <w:szCs w:val="22"/>
                    </w:rPr>
                    <w:t>Aristotle Unified Communications</w:t>
                  </w:r>
                </w:p>
              </w:tc>
              <w:tc>
                <w:tcPr>
                  <w:tcW w:w="1702" w:type="dxa"/>
                  <w:tcBorders>
                    <w:top w:val="nil"/>
                    <w:left w:val="nil"/>
                    <w:bottom w:val="single" w:sz="4" w:space="0" w:color="auto"/>
                    <w:right w:val="single" w:sz="4" w:space="0" w:color="auto"/>
                  </w:tcBorders>
                  <w:shd w:val="clear" w:color="auto" w:fill="FFFFFF" w:themeFill="background1"/>
                  <w:noWrap/>
                </w:tcPr>
                <w:p w:rsidR="00816D8D" w:rsidRPr="00816D8D" w:rsidP="00816D8D" w14:paraId="3DC0780C" w14:textId="4EDA37A0">
                  <w:pPr>
                    <w:jc w:val="center"/>
                    <w:rPr>
                      <w:color w:val="000000"/>
                      <w:sz w:val="22"/>
                      <w:szCs w:val="22"/>
                    </w:rPr>
                  </w:pPr>
                  <w:r w:rsidRPr="00816D8D">
                    <w:rPr>
                      <w:sz w:val="22"/>
                      <w:szCs w:val="22"/>
                    </w:rPr>
                    <w:t>25/3 Mbps</w:t>
                  </w:r>
                </w:p>
              </w:tc>
              <w:tc>
                <w:tcPr>
                  <w:tcW w:w="1712"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1BCA30A4" w14:textId="7F1F3F92">
                  <w:pPr>
                    <w:jc w:val="center"/>
                    <w:rPr>
                      <w:sz w:val="22"/>
                      <w:szCs w:val="22"/>
                    </w:rPr>
                  </w:pPr>
                  <w:r w:rsidRPr="46D70228">
                    <w:rPr>
                      <w:sz w:val="22"/>
                      <w:szCs w:val="22"/>
                    </w:rPr>
                    <w:t>$147,196.40</w:t>
                  </w:r>
                </w:p>
              </w:tc>
              <w:tc>
                <w:tcPr>
                  <w:tcW w:w="1144"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36B8B39C" w14:textId="5B210A9C">
                  <w:pPr>
                    <w:jc w:val="center"/>
                    <w:rPr>
                      <w:sz w:val="22"/>
                      <w:szCs w:val="22"/>
                    </w:rPr>
                  </w:pPr>
                  <w:r w:rsidRPr="00816D8D">
                    <w:rPr>
                      <w:sz w:val="22"/>
                      <w:szCs w:val="22"/>
                    </w:rPr>
                    <w:t>72</w:t>
                  </w:r>
                </w:p>
              </w:tc>
            </w:tr>
            <w:tr w14:paraId="1FC37118"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hideMark/>
                </w:tcPr>
                <w:p w:rsidR="00816D8D" w:rsidRPr="00816D8D" w:rsidP="00816D8D" w14:paraId="34CC95E6" w14:textId="4CF923EA">
                  <w:pPr>
                    <w:jc w:val="center"/>
                    <w:rPr>
                      <w:sz w:val="22"/>
                      <w:szCs w:val="22"/>
                    </w:rPr>
                  </w:pPr>
                  <w:r w:rsidRPr="00816D8D">
                    <w:rPr>
                      <w:sz w:val="22"/>
                      <w:szCs w:val="22"/>
                    </w:rPr>
                    <w:t>Missouri</w:t>
                  </w:r>
                </w:p>
              </w:tc>
              <w:tc>
                <w:tcPr>
                  <w:tcW w:w="2379" w:type="dxa"/>
                  <w:tcBorders>
                    <w:top w:val="nil"/>
                    <w:left w:val="nil"/>
                    <w:bottom w:val="single" w:sz="4" w:space="0" w:color="auto"/>
                    <w:right w:val="single" w:sz="4" w:space="0" w:color="auto"/>
                  </w:tcBorders>
                  <w:shd w:val="clear" w:color="auto" w:fill="FFFFFF" w:themeFill="background1"/>
                  <w:noWrap/>
                </w:tcPr>
                <w:p w:rsidR="00816D8D" w:rsidRPr="00816D8D" w:rsidP="00816D8D" w14:paraId="279F558C" w14:textId="2F680654">
                  <w:pPr>
                    <w:jc w:val="center"/>
                    <w:rPr>
                      <w:color w:val="000000"/>
                      <w:sz w:val="22"/>
                      <w:szCs w:val="22"/>
                    </w:rPr>
                  </w:pPr>
                  <w:r w:rsidRPr="00816D8D">
                    <w:rPr>
                      <w:sz w:val="22"/>
                      <w:szCs w:val="22"/>
                    </w:rPr>
                    <w:t>Mark Twain Communications Company</w:t>
                  </w:r>
                </w:p>
              </w:tc>
              <w:tc>
                <w:tcPr>
                  <w:tcW w:w="1702" w:type="dxa"/>
                  <w:tcBorders>
                    <w:top w:val="nil"/>
                    <w:left w:val="nil"/>
                    <w:bottom w:val="single" w:sz="4" w:space="0" w:color="auto"/>
                    <w:right w:val="single" w:sz="4" w:space="0" w:color="auto"/>
                  </w:tcBorders>
                  <w:shd w:val="clear" w:color="auto" w:fill="FFFFFF" w:themeFill="background1"/>
                  <w:noWrap/>
                </w:tcPr>
                <w:p w:rsidR="00816D8D" w:rsidRPr="00816D8D" w:rsidP="00816D8D" w14:paraId="26A1B028" w14:textId="2494E6F1">
                  <w:pPr>
                    <w:jc w:val="center"/>
                    <w:rPr>
                      <w:color w:val="000000"/>
                      <w:sz w:val="22"/>
                      <w:szCs w:val="22"/>
                    </w:rPr>
                  </w:pPr>
                  <w:r w:rsidRPr="00816D8D">
                    <w:rPr>
                      <w:sz w:val="22"/>
                      <w:szCs w:val="22"/>
                    </w:rPr>
                    <w:t>25/3 Mbps</w:t>
                  </w:r>
                </w:p>
              </w:tc>
              <w:tc>
                <w:tcPr>
                  <w:tcW w:w="1712"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23EFAF45" w14:textId="4886804F">
                  <w:pPr>
                    <w:jc w:val="center"/>
                    <w:rPr>
                      <w:sz w:val="22"/>
                      <w:szCs w:val="22"/>
                    </w:rPr>
                  </w:pPr>
                  <w:r w:rsidRPr="46D70228">
                    <w:rPr>
                      <w:sz w:val="22"/>
                      <w:szCs w:val="22"/>
                    </w:rPr>
                    <w:t>$3,053,366.20</w:t>
                  </w:r>
                </w:p>
              </w:tc>
              <w:tc>
                <w:tcPr>
                  <w:tcW w:w="1144"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3D23C182" w14:textId="3F499E7C">
                  <w:pPr>
                    <w:jc w:val="center"/>
                    <w:rPr>
                      <w:sz w:val="22"/>
                      <w:szCs w:val="22"/>
                    </w:rPr>
                  </w:pPr>
                  <w:r w:rsidRPr="00816D8D">
                    <w:rPr>
                      <w:sz w:val="22"/>
                      <w:szCs w:val="22"/>
                    </w:rPr>
                    <w:t>676</w:t>
                  </w:r>
                </w:p>
              </w:tc>
            </w:tr>
            <w:tr w14:paraId="1B7B8574"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hideMark/>
                </w:tcPr>
                <w:p w:rsidR="00816D8D" w:rsidRPr="00816D8D" w:rsidP="00816D8D" w14:paraId="3598005E" w14:textId="77777777">
                  <w:pPr>
                    <w:jc w:val="center"/>
                    <w:rPr>
                      <w:sz w:val="22"/>
                      <w:szCs w:val="22"/>
                    </w:rPr>
                  </w:pPr>
                  <w:r w:rsidRPr="00816D8D">
                    <w:rPr>
                      <w:sz w:val="22"/>
                      <w:szCs w:val="22"/>
                    </w:rPr>
                    <w:t>Nebraska</w:t>
                  </w:r>
                </w:p>
              </w:tc>
              <w:tc>
                <w:tcPr>
                  <w:tcW w:w="2379" w:type="dxa"/>
                  <w:tcBorders>
                    <w:top w:val="nil"/>
                    <w:left w:val="nil"/>
                    <w:bottom w:val="single" w:sz="4" w:space="0" w:color="auto"/>
                    <w:right w:val="single" w:sz="4" w:space="0" w:color="auto"/>
                  </w:tcBorders>
                  <w:shd w:val="clear" w:color="auto" w:fill="FFFFFF" w:themeFill="background1"/>
                  <w:noWrap/>
                </w:tcPr>
                <w:p w:rsidR="00816D8D" w:rsidRPr="00816D8D" w:rsidP="00816D8D" w14:paraId="2352F310" w14:textId="77777777">
                  <w:pPr>
                    <w:jc w:val="center"/>
                    <w:rPr>
                      <w:color w:val="000000"/>
                      <w:sz w:val="22"/>
                      <w:szCs w:val="22"/>
                    </w:rPr>
                  </w:pPr>
                  <w:r w:rsidRPr="00816D8D">
                    <w:rPr>
                      <w:sz w:val="22"/>
                      <w:szCs w:val="22"/>
                    </w:rPr>
                    <w:t>NE Colorado Cellular, Inc.</w:t>
                  </w:r>
                </w:p>
              </w:tc>
              <w:tc>
                <w:tcPr>
                  <w:tcW w:w="1702" w:type="dxa"/>
                  <w:tcBorders>
                    <w:top w:val="nil"/>
                    <w:left w:val="nil"/>
                    <w:bottom w:val="single" w:sz="4" w:space="0" w:color="auto"/>
                    <w:right w:val="single" w:sz="4" w:space="0" w:color="auto"/>
                  </w:tcBorders>
                  <w:shd w:val="clear" w:color="auto" w:fill="FFFFFF" w:themeFill="background1"/>
                  <w:noWrap/>
                </w:tcPr>
                <w:p w:rsidR="00816D8D" w:rsidRPr="00816D8D" w:rsidP="00816D8D" w14:paraId="40436948" w14:textId="7F6C8204">
                  <w:pPr>
                    <w:jc w:val="center"/>
                    <w:rPr>
                      <w:color w:val="000000"/>
                      <w:sz w:val="22"/>
                      <w:szCs w:val="22"/>
                    </w:rPr>
                  </w:pPr>
                  <w:r w:rsidRPr="00816D8D">
                    <w:rPr>
                      <w:sz w:val="22"/>
                      <w:szCs w:val="22"/>
                    </w:rPr>
                    <w:t>25/3 Mbps</w:t>
                  </w:r>
                </w:p>
              </w:tc>
              <w:tc>
                <w:tcPr>
                  <w:tcW w:w="1712"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752AB908" w14:textId="1C2D4A29">
                  <w:pPr>
                    <w:jc w:val="center"/>
                    <w:rPr>
                      <w:sz w:val="22"/>
                      <w:szCs w:val="22"/>
                    </w:rPr>
                  </w:pPr>
                  <w:r w:rsidRPr="00816D8D">
                    <w:rPr>
                      <w:sz w:val="22"/>
                      <w:szCs w:val="22"/>
                    </w:rPr>
                    <w:t>$240,989</w:t>
                  </w:r>
                </w:p>
              </w:tc>
              <w:tc>
                <w:tcPr>
                  <w:tcW w:w="1144"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03096BDC" w14:textId="77777777">
                  <w:pPr>
                    <w:jc w:val="center"/>
                    <w:rPr>
                      <w:sz w:val="22"/>
                      <w:szCs w:val="22"/>
                    </w:rPr>
                  </w:pPr>
                  <w:r w:rsidRPr="00816D8D">
                    <w:rPr>
                      <w:sz w:val="22"/>
                      <w:szCs w:val="22"/>
                    </w:rPr>
                    <w:t>56</w:t>
                  </w:r>
                </w:p>
              </w:tc>
            </w:tr>
            <w:tr w14:paraId="215E39E6"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tcPr>
                <w:p w:rsidR="00816D8D" w:rsidRPr="00816D8D" w:rsidP="00816D8D" w14:paraId="27D66988" w14:textId="7B2BA684">
                  <w:pPr>
                    <w:jc w:val="center"/>
                    <w:rPr>
                      <w:sz w:val="22"/>
                      <w:szCs w:val="22"/>
                    </w:rPr>
                  </w:pPr>
                  <w:r w:rsidRPr="00816D8D">
                    <w:rPr>
                      <w:sz w:val="22"/>
                      <w:szCs w:val="22"/>
                    </w:rPr>
                    <w:t>New York</w:t>
                  </w:r>
                </w:p>
              </w:tc>
              <w:tc>
                <w:tcPr>
                  <w:tcW w:w="2379" w:type="dxa"/>
                  <w:tcBorders>
                    <w:top w:val="nil"/>
                    <w:left w:val="nil"/>
                    <w:bottom w:val="single" w:sz="4" w:space="0" w:color="auto"/>
                    <w:right w:val="single" w:sz="4" w:space="0" w:color="auto"/>
                  </w:tcBorders>
                  <w:shd w:val="clear" w:color="auto" w:fill="FFFFFF" w:themeFill="background1"/>
                  <w:noWrap/>
                </w:tcPr>
                <w:p w:rsidR="00816D8D" w:rsidRPr="00816D8D" w:rsidP="00816D8D" w14:paraId="679B48A4" w14:textId="534A5540">
                  <w:pPr>
                    <w:jc w:val="center"/>
                    <w:rPr>
                      <w:color w:val="000000"/>
                      <w:sz w:val="22"/>
                      <w:szCs w:val="22"/>
                    </w:rPr>
                  </w:pPr>
                  <w:r w:rsidRPr="00816D8D">
                    <w:rPr>
                      <w:color w:val="000000"/>
                      <w:sz w:val="22"/>
                      <w:szCs w:val="22"/>
                    </w:rPr>
                    <w:t>Mid-Hudson Data Corp.</w:t>
                  </w:r>
                </w:p>
              </w:tc>
              <w:tc>
                <w:tcPr>
                  <w:tcW w:w="1702" w:type="dxa"/>
                  <w:tcBorders>
                    <w:top w:val="nil"/>
                    <w:left w:val="nil"/>
                    <w:bottom w:val="single" w:sz="4" w:space="0" w:color="auto"/>
                    <w:right w:val="single" w:sz="4" w:space="0" w:color="auto"/>
                  </w:tcBorders>
                  <w:shd w:val="clear" w:color="auto" w:fill="FFFFFF" w:themeFill="background1"/>
                  <w:noWrap/>
                </w:tcPr>
                <w:p w:rsidR="00816D8D" w:rsidRPr="00816D8D" w:rsidP="00816D8D" w14:paraId="4B3EAB4C" w14:textId="271F8463">
                  <w:pPr>
                    <w:jc w:val="center"/>
                    <w:rPr>
                      <w:color w:val="000000"/>
                      <w:sz w:val="22"/>
                      <w:szCs w:val="22"/>
                    </w:rPr>
                  </w:pPr>
                  <w:r w:rsidRPr="00816D8D">
                    <w:rPr>
                      <w:color w:val="000000"/>
                      <w:sz w:val="22"/>
                      <w:szCs w:val="22"/>
                    </w:rPr>
                    <w:t>100/20 Mbps</w:t>
                  </w:r>
                </w:p>
              </w:tc>
              <w:tc>
                <w:tcPr>
                  <w:tcW w:w="1712" w:type="dxa"/>
                  <w:tcBorders>
                    <w:top w:val="nil"/>
                    <w:left w:val="nil"/>
                    <w:bottom w:val="single" w:sz="4" w:space="0" w:color="auto"/>
                    <w:right w:val="single" w:sz="4" w:space="0" w:color="auto"/>
                  </w:tcBorders>
                  <w:shd w:val="clear" w:color="auto" w:fill="FFFFFF" w:themeFill="background1"/>
                  <w:noWrap/>
                </w:tcPr>
                <w:p w:rsidR="00816D8D" w:rsidRPr="00816D8D" w:rsidP="00816D8D" w14:paraId="3E3E55C8" w14:textId="2C7665EF">
                  <w:pPr>
                    <w:jc w:val="center"/>
                    <w:rPr>
                      <w:sz w:val="22"/>
                      <w:szCs w:val="22"/>
                    </w:rPr>
                  </w:pPr>
                  <w:r w:rsidRPr="00816D8D">
                    <w:rPr>
                      <w:sz w:val="22"/>
                      <w:szCs w:val="22"/>
                    </w:rPr>
                    <w:t>$640,296</w:t>
                  </w:r>
                </w:p>
              </w:tc>
              <w:tc>
                <w:tcPr>
                  <w:tcW w:w="1144" w:type="dxa"/>
                  <w:tcBorders>
                    <w:top w:val="nil"/>
                    <w:left w:val="nil"/>
                    <w:bottom w:val="single" w:sz="4" w:space="0" w:color="auto"/>
                    <w:right w:val="single" w:sz="4" w:space="0" w:color="auto"/>
                  </w:tcBorders>
                  <w:shd w:val="clear" w:color="auto" w:fill="FFFFFF" w:themeFill="background1"/>
                  <w:noWrap/>
                </w:tcPr>
                <w:p w:rsidR="00816D8D" w:rsidRPr="00816D8D" w:rsidP="00816D8D" w14:paraId="786DA4F5" w14:textId="164BB88D">
                  <w:pPr>
                    <w:jc w:val="center"/>
                    <w:rPr>
                      <w:sz w:val="22"/>
                      <w:szCs w:val="22"/>
                    </w:rPr>
                  </w:pPr>
                  <w:r w:rsidRPr="00816D8D">
                    <w:rPr>
                      <w:sz w:val="22"/>
                      <w:szCs w:val="22"/>
                    </w:rPr>
                    <w:t>459</w:t>
                  </w:r>
                </w:p>
              </w:tc>
            </w:tr>
            <w:tr w14:paraId="49F30CBE" w14:textId="77777777" w:rsidTr="46D70228">
              <w:tblPrEx>
                <w:tblW w:w="8414" w:type="dxa"/>
                <w:tblLook w:val="04A0"/>
              </w:tblPrEx>
              <w:trPr>
                <w:trHeight w:val="300"/>
              </w:trPr>
              <w:tc>
                <w:tcPr>
                  <w:tcW w:w="1477" w:type="dxa"/>
                  <w:tcBorders>
                    <w:top w:val="nil"/>
                    <w:left w:val="single" w:sz="4" w:space="0" w:color="auto"/>
                    <w:bottom w:val="single" w:sz="4" w:space="0" w:color="auto"/>
                    <w:right w:val="single" w:sz="4" w:space="0" w:color="auto"/>
                  </w:tcBorders>
                  <w:shd w:val="clear" w:color="auto" w:fill="FFFFFF" w:themeFill="background1"/>
                  <w:noWrap/>
                  <w:hideMark/>
                </w:tcPr>
                <w:p w:rsidR="00816D8D" w:rsidRPr="00816D8D" w:rsidP="00816D8D" w14:paraId="36DFFFCD" w14:textId="11755E3E">
                  <w:pPr>
                    <w:jc w:val="center"/>
                    <w:rPr>
                      <w:sz w:val="22"/>
                      <w:szCs w:val="22"/>
                    </w:rPr>
                  </w:pPr>
                  <w:r w:rsidRPr="00816D8D">
                    <w:rPr>
                      <w:sz w:val="22"/>
                      <w:szCs w:val="22"/>
                    </w:rPr>
                    <w:t>Oklahoma</w:t>
                  </w:r>
                </w:p>
              </w:tc>
              <w:tc>
                <w:tcPr>
                  <w:tcW w:w="2379" w:type="dxa"/>
                  <w:tcBorders>
                    <w:top w:val="nil"/>
                    <w:left w:val="nil"/>
                    <w:bottom w:val="single" w:sz="4" w:space="0" w:color="auto"/>
                    <w:right w:val="single" w:sz="4" w:space="0" w:color="auto"/>
                  </w:tcBorders>
                  <w:shd w:val="clear" w:color="auto" w:fill="FFFFFF" w:themeFill="background1"/>
                  <w:noWrap/>
                </w:tcPr>
                <w:p w:rsidR="00816D8D" w:rsidRPr="00816D8D" w:rsidP="00816D8D" w14:paraId="4A652DBE" w14:textId="59ADA274">
                  <w:pPr>
                    <w:jc w:val="center"/>
                    <w:rPr>
                      <w:color w:val="000000"/>
                      <w:sz w:val="22"/>
                      <w:szCs w:val="22"/>
                    </w:rPr>
                  </w:pPr>
                  <w:r w:rsidRPr="00816D8D">
                    <w:rPr>
                      <w:sz w:val="22"/>
                      <w:szCs w:val="22"/>
                    </w:rPr>
                    <w:t>Cherokee Telephone Company</w:t>
                  </w:r>
                </w:p>
              </w:tc>
              <w:tc>
                <w:tcPr>
                  <w:tcW w:w="1702" w:type="dxa"/>
                  <w:tcBorders>
                    <w:top w:val="nil"/>
                    <w:left w:val="nil"/>
                    <w:bottom w:val="single" w:sz="4" w:space="0" w:color="auto"/>
                    <w:right w:val="single" w:sz="4" w:space="0" w:color="auto"/>
                  </w:tcBorders>
                  <w:shd w:val="clear" w:color="auto" w:fill="FFFFFF" w:themeFill="background1"/>
                  <w:noWrap/>
                </w:tcPr>
                <w:p w:rsidR="00816D8D" w:rsidRPr="00816D8D" w:rsidP="00816D8D" w14:paraId="2698BCCC" w14:textId="17BF7F63">
                  <w:pPr>
                    <w:jc w:val="center"/>
                    <w:rPr>
                      <w:color w:val="000000"/>
                      <w:sz w:val="22"/>
                      <w:szCs w:val="22"/>
                    </w:rPr>
                  </w:pPr>
                  <w:r w:rsidRPr="00816D8D">
                    <w:rPr>
                      <w:sz w:val="22"/>
                      <w:szCs w:val="22"/>
                    </w:rPr>
                    <w:t>25/3 Mbps</w:t>
                  </w:r>
                </w:p>
              </w:tc>
              <w:tc>
                <w:tcPr>
                  <w:tcW w:w="1712"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4C8FB1BB" w14:textId="0A9F0C9C">
                  <w:pPr>
                    <w:jc w:val="center"/>
                    <w:rPr>
                      <w:sz w:val="22"/>
                      <w:szCs w:val="22"/>
                    </w:rPr>
                  </w:pPr>
                  <w:r w:rsidRPr="00816D8D">
                    <w:rPr>
                      <w:sz w:val="22"/>
                      <w:szCs w:val="22"/>
                    </w:rPr>
                    <w:t>$594,975</w:t>
                  </w:r>
                </w:p>
              </w:tc>
              <w:tc>
                <w:tcPr>
                  <w:tcW w:w="1144" w:type="dxa"/>
                  <w:tcBorders>
                    <w:top w:val="nil"/>
                    <w:left w:val="nil"/>
                    <w:bottom w:val="single" w:sz="4" w:space="0" w:color="auto"/>
                    <w:right w:val="single" w:sz="4" w:space="0" w:color="auto"/>
                  </w:tcBorders>
                  <w:shd w:val="clear" w:color="auto" w:fill="FFFFFF" w:themeFill="background1"/>
                  <w:noWrap/>
                  <w:hideMark/>
                </w:tcPr>
                <w:p w:rsidR="00816D8D" w:rsidRPr="00816D8D" w:rsidP="00816D8D" w14:paraId="3FA221AF" w14:textId="43A7DFB9">
                  <w:pPr>
                    <w:jc w:val="center"/>
                    <w:rPr>
                      <w:sz w:val="22"/>
                      <w:szCs w:val="22"/>
                    </w:rPr>
                  </w:pPr>
                  <w:r w:rsidRPr="00816D8D">
                    <w:rPr>
                      <w:sz w:val="22"/>
                      <w:szCs w:val="22"/>
                    </w:rPr>
                    <w:t>1,166</w:t>
                  </w:r>
                </w:p>
              </w:tc>
            </w:tr>
          </w:tbl>
          <w:p w:rsidR="00A32E4B" w:rsidP="00443DE8" w14:paraId="4D68F540" w14:textId="4E958725">
            <w:pPr>
              <w:rPr>
                <w:sz w:val="22"/>
                <w:szCs w:val="22"/>
              </w:rPr>
            </w:pPr>
          </w:p>
          <w:p w:rsidR="00A32E4B" w:rsidRPr="00443DE8" w:rsidP="00443DE8" w14:paraId="596E69AF" w14:textId="77777777">
            <w:pPr>
              <w:rPr>
                <w:sz w:val="22"/>
                <w:szCs w:val="22"/>
              </w:rPr>
            </w:pPr>
          </w:p>
          <w:p w:rsidR="00443DE8" w:rsidP="00443DE8" w14:paraId="3474747D" w14:textId="726BDD98">
            <w:pPr>
              <w:rPr>
                <w:sz w:val="22"/>
                <w:szCs w:val="22"/>
              </w:rPr>
            </w:pPr>
            <w:r w:rsidRPr="46D70228">
              <w:rPr>
                <w:sz w:val="22"/>
                <w:szCs w:val="22"/>
              </w:rPr>
              <w:t>In total, the Connect America Fund Phase II Auction in 2018 allocated $1.488 billion in support over the next ten years to expand broadband to more than 700,000 unserved rural homes and small businesses in 45 states.  The FCC has now authorized twelve waves of funding, and today’s action brings total authorized funding to over $1.44</w:t>
            </w:r>
            <w:r w:rsidR="002E79D0">
              <w:rPr>
                <w:sz w:val="22"/>
                <w:szCs w:val="22"/>
              </w:rPr>
              <w:t xml:space="preserve">4 </w:t>
            </w:r>
            <w:r w:rsidRPr="46D70228">
              <w:rPr>
                <w:sz w:val="22"/>
                <w:szCs w:val="22"/>
              </w:rPr>
              <w:t xml:space="preserve">billion, which is expanding connectivity to 632,420 homes and businesses nationwide. </w:t>
            </w:r>
            <w:r w:rsidR="008E7258">
              <w:rPr>
                <w:sz w:val="22"/>
                <w:szCs w:val="22"/>
              </w:rPr>
              <w:t xml:space="preserve"> </w:t>
            </w:r>
            <w:r w:rsidRPr="46D70228">
              <w:rPr>
                <w:sz w:val="22"/>
                <w:szCs w:val="22"/>
              </w:rPr>
              <w:t xml:space="preserve">Funding rounds will continue until the authorization process is complete.  </w:t>
            </w:r>
          </w:p>
          <w:p w:rsidR="00443DE8" w:rsidRPr="00443DE8" w:rsidP="00443DE8" w14:paraId="01C515E6" w14:textId="77777777">
            <w:pPr>
              <w:rPr>
                <w:sz w:val="22"/>
                <w:szCs w:val="22"/>
              </w:rPr>
            </w:pPr>
          </w:p>
          <w:p w:rsidR="00040127" w:rsidRPr="002E165B" w:rsidP="00443DE8" w14:paraId="43DCD565" w14:textId="631F3DFA">
            <w:pPr>
              <w:rPr>
                <w:sz w:val="22"/>
                <w:szCs w:val="22"/>
              </w:rPr>
            </w:pPr>
            <w:r w:rsidRPr="00443DE8">
              <w:rPr>
                <w:sz w:val="22"/>
                <w:szCs w:val="22"/>
              </w:rPr>
              <w:t xml:space="preserve">The Connect America Fund Phase II Auction is part of a broader effort by the FCC to close the digital divide in rural America. </w:t>
            </w:r>
            <w:r w:rsidR="002D0204">
              <w:rPr>
                <w:sz w:val="22"/>
                <w:szCs w:val="22"/>
              </w:rPr>
              <w:t xml:space="preserve"> </w:t>
            </w:r>
            <w:r w:rsidRPr="00443DE8">
              <w:rPr>
                <w:sz w:val="22"/>
                <w:szCs w:val="22"/>
              </w:rPr>
              <w:t xml:space="preserve">In January, the FCC took its biggest single step to date toward closing the rural digital divide by establishing the Rural Digital Opportunity Fund, which will direct up to $20.4 billion to expand broadband in unserved rural areas. </w:t>
            </w:r>
            <w:r w:rsidR="002D0204">
              <w:rPr>
                <w:sz w:val="22"/>
                <w:szCs w:val="22"/>
              </w:rPr>
              <w:t xml:space="preserve"> </w:t>
            </w:r>
            <w:r w:rsidRPr="00443DE8">
              <w:rPr>
                <w:sz w:val="22"/>
                <w:szCs w:val="22"/>
              </w:rPr>
              <w:t xml:space="preserve">A map of winning bids in the Auction is available at </w:t>
            </w:r>
            <w:hyperlink r:id="rId5" w:history="1">
              <w:r w:rsidRPr="00FD5678" w:rsidR="002D0204">
                <w:rPr>
                  <w:rStyle w:val="Hyperlink"/>
                  <w:sz w:val="22"/>
                  <w:szCs w:val="22"/>
                </w:rPr>
                <w:t>https://www.fcc.gov/reportsresearch/maps/caf2-auction903-results/</w:t>
              </w:r>
            </w:hyperlink>
            <w:r>
              <w:rPr>
                <w:sz w:val="22"/>
                <w:szCs w:val="22"/>
              </w:rPr>
              <w:t>.</w:t>
            </w:r>
            <w:r w:rsidR="002D0204">
              <w:rPr>
                <w:sz w:val="22"/>
                <w:szCs w:val="22"/>
              </w:rPr>
              <w:t xml:space="preserve"> </w:t>
            </w:r>
          </w:p>
          <w:p w:rsidR="00BD19E8" w:rsidRPr="002E165B" w:rsidP="002E165B" w14:paraId="09F3663A" w14:textId="77777777">
            <w:pPr>
              <w:rPr>
                <w:sz w:val="22"/>
                <w:szCs w:val="22"/>
              </w:rPr>
            </w:pPr>
          </w:p>
          <w:p w:rsidR="004F0F1F" w:rsidRPr="007475A1" w:rsidP="00850E26" w14:paraId="59A56D13" w14:textId="77777777">
            <w:pPr>
              <w:ind w:right="72"/>
              <w:jc w:val="center"/>
              <w:rPr>
                <w:sz w:val="22"/>
                <w:szCs w:val="22"/>
              </w:rPr>
            </w:pPr>
            <w:r w:rsidRPr="007475A1">
              <w:rPr>
                <w:sz w:val="22"/>
                <w:szCs w:val="22"/>
              </w:rPr>
              <w:t>###</w:t>
            </w:r>
          </w:p>
          <w:p w:rsidR="00CC5E08" w:rsidRPr="0080486B" w:rsidP="00850E26" w14:paraId="3A565FF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ACA6C8" w14:textId="77777777">
            <w:pPr>
              <w:ind w:right="72"/>
              <w:jc w:val="center"/>
              <w:rPr>
                <w:b/>
                <w:bCs/>
                <w:sz w:val="18"/>
                <w:szCs w:val="18"/>
              </w:rPr>
            </w:pPr>
          </w:p>
          <w:p w:rsidR="00EE51AE" w:rsidP="00850E26" w14:paraId="0D324E03"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6086F988" w14:textId="2EBC69C4">
            <w:pPr>
              <w:ind w:right="72"/>
              <w:jc w:val="center"/>
              <w:rPr>
                <w:bCs/>
                <w:i/>
                <w:sz w:val="16"/>
                <w:szCs w:val="16"/>
              </w:rPr>
            </w:pPr>
            <w:r w:rsidRPr="00EF729B">
              <w:rPr>
                <w:bCs/>
                <w:i/>
                <w:sz w:val="16"/>
                <w:szCs w:val="16"/>
              </w:rPr>
              <w:t>constitutes official action.  See MCI v. FCC, 515 F.2d 385 (D.C. Cir. 1974).</w:t>
            </w:r>
          </w:p>
        </w:tc>
      </w:tr>
    </w:tbl>
    <w:p w:rsidR="00D24C3D" w:rsidRPr="007528A5" w14:paraId="1DA4BC7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4434A"/>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4341"/>
    <w:rsid w:val="001B20BB"/>
    <w:rsid w:val="001C4370"/>
    <w:rsid w:val="001D3779"/>
    <w:rsid w:val="001F0469"/>
    <w:rsid w:val="00203A98"/>
    <w:rsid w:val="00206EDD"/>
    <w:rsid w:val="0021247E"/>
    <w:rsid w:val="002146F6"/>
    <w:rsid w:val="002267B4"/>
    <w:rsid w:val="00231C32"/>
    <w:rsid w:val="00240345"/>
    <w:rsid w:val="002421F0"/>
    <w:rsid w:val="00244D33"/>
    <w:rsid w:val="00247274"/>
    <w:rsid w:val="00266966"/>
    <w:rsid w:val="00285C36"/>
    <w:rsid w:val="00294C0C"/>
    <w:rsid w:val="002A0934"/>
    <w:rsid w:val="002B1013"/>
    <w:rsid w:val="002C5F4F"/>
    <w:rsid w:val="002D0204"/>
    <w:rsid w:val="002D03E5"/>
    <w:rsid w:val="002E165B"/>
    <w:rsid w:val="002E3F1D"/>
    <w:rsid w:val="002E79D0"/>
    <w:rsid w:val="002F31D0"/>
    <w:rsid w:val="00300359"/>
    <w:rsid w:val="00310103"/>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3DE8"/>
    <w:rsid w:val="00444E07"/>
    <w:rsid w:val="00444FA9"/>
    <w:rsid w:val="00463288"/>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39B"/>
    <w:rsid w:val="005B2643"/>
    <w:rsid w:val="005D17FD"/>
    <w:rsid w:val="005D48AC"/>
    <w:rsid w:val="005F0D55"/>
    <w:rsid w:val="005F183E"/>
    <w:rsid w:val="00600DDA"/>
    <w:rsid w:val="00603A30"/>
    <w:rsid w:val="00604211"/>
    <w:rsid w:val="00613498"/>
    <w:rsid w:val="00617B94"/>
    <w:rsid w:val="00620BED"/>
    <w:rsid w:val="006415B4"/>
    <w:rsid w:val="00644E3D"/>
    <w:rsid w:val="00651B9E"/>
    <w:rsid w:val="00652019"/>
    <w:rsid w:val="0065642C"/>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16D8D"/>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7258"/>
    <w:rsid w:val="008F1609"/>
    <w:rsid w:val="008F78D8"/>
    <w:rsid w:val="0093373C"/>
    <w:rsid w:val="009476DB"/>
    <w:rsid w:val="00961620"/>
    <w:rsid w:val="009734B6"/>
    <w:rsid w:val="0098096F"/>
    <w:rsid w:val="0098437A"/>
    <w:rsid w:val="00986C92"/>
    <w:rsid w:val="00993C47"/>
    <w:rsid w:val="009972BC"/>
    <w:rsid w:val="009B4B16"/>
    <w:rsid w:val="009E54A1"/>
    <w:rsid w:val="009F4E25"/>
    <w:rsid w:val="009F5B1F"/>
    <w:rsid w:val="00A225A9"/>
    <w:rsid w:val="00A32E4B"/>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910DF"/>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32E0"/>
    <w:rsid w:val="00DC40AA"/>
    <w:rsid w:val="00DD1750"/>
    <w:rsid w:val="00E349AA"/>
    <w:rsid w:val="00E41390"/>
    <w:rsid w:val="00E41CA0"/>
    <w:rsid w:val="00E4366B"/>
    <w:rsid w:val="00E50A4A"/>
    <w:rsid w:val="00E606DE"/>
    <w:rsid w:val="00E644FE"/>
    <w:rsid w:val="00E72733"/>
    <w:rsid w:val="00E742FA"/>
    <w:rsid w:val="00E76816"/>
    <w:rsid w:val="00E76EB4"/>
    <w:rsid w:val="00E83DBF"/>
    <w:rsid w:val="00E87C13"/>
    <w:rsid w:val="00E94CD9"/>
    <w:rsid w:val="00EA1A76"/>
    <w:rsid w:val="00EA290B"/>
    <w:rsid w:val="00EE0E90"/>
    <w:rsid w:val="00EE51AE"/>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678"/>
    <w:rsid w:val="00FD58E0"/>
    <w:rsid w:val="00FD6E5F"/>
    <w:rsid w:val="00FD71AE"/>
    <w:rsid w:val="00FE0198"/>
    <w:rsid w:val="00FE3A7C"/>
    <w:rsid w:val="00FF1C0B"/>
    <w:rsid w:val="00FF232D"/>
    <w:rsid w:val="00FF7F9B"/>
    <w:rsid w:val="02B40749"/>
    <w:rsid w:val="46D70228"/>
    <w:rsid w:val="5669E72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F828B70-59F1-4C41-8734-9FBC9CA7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B239B"/>
    <w:rPr>
      <w:sz w:val="16"/>
      <w:szCs w:val="16"/>
    </w:rPr>
  </w:style>
  <w:style w:type="paragraph" w:styleId="CommentText">
    <w:name w:val="annotation text"/>
    <w:basedOn w:val="Normal"/>
    <w:link w:val="CommentTextChar"/>
    <w:semiHidden/>
    <w:unhideWhenUsed/>
    <w:rsid w:val="005B239B"/>
    <w:rPr>
      <w:sz w:val="20"/>
      <w:szCs w:val="20"/>
    </w:rPr>
  </w:style>
  <w:style w:type="character" w:customStyle="1" w:styleId="CommentTextChar">
    <w:name w:val="Comment Text Char"/>
    <w:basedOn w:val="DefaultParagraphFont"/>
    <w:link w:val="CommentText"/>
    <w:semiHidden/>
    <w:rsid w:val="005B239B"/>
  </w:style>
  <w:style w:type="paragraph" w:styleId="CommentSubject">
    <w:name w:val="annotation subject"/>
    <w:basedOn w:val="CommentText"/>
    <w:next w:val="CommentText"/>
    <w:link w:val="CommentSubjectChar"/>
    <w:semiHidden/>
    <w:unhideWhenUsed/>
    <w:rsid w:val="005B239B"/>
    <w:rPr>
      <w:b/>
      <w:bCs/>
    </w:rPr>
  </w:style>
  <w:style w:type="character" w:customStyle="1" w:styleId="CommentSubjectChar">
    <w:name w:val="Comment Subject Char"/>
    <w:basedOn w:val="CommentTextChar"/>
    <w:link w:val="CommentSubject"/>
    <w:semiHidden/>
    <w:rsid w:val="005B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eportsresearch/maps/caf2-auction903-resul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