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rsidRPr="007443FC" w14:paraId="66BFDCFE" w14:textId="77777777">
      <w:pPr>
        <w:jc w:val="center"/>
        <w:rPr>
          <w:b/>
          <w:szCs w:val="22"/>
        </w:rPr>
      </w:pPr>
      <w:r w:rsidRPr="007443FC">
        <w:rPr>
          <w:b/>
          <w:szCs w:val="22"/>
        </w:rPr>
        <w:t>Before the</w:t>
      </w:r>
    </w:p>
    <w:p w:rsidR="0060228B" w:rsidRPr="007443FC" w14:paraId="698DDAC1" w14:textId="77777777">
      <w:pPr>
        <w:jc w:val="center"/>
        <w:rPr>
          <w:b/>
          <w:szCs w:val="22"/>
        </w:rPr>
      </w:pPr>
      <w:r w:rsidRPr="007443FC">
        <w:rPr>
          <w:b/>
          <w:szCs w:val="22"/>
        </w:rPr>
        <w:t>Federal Communications Commission</w:t>
      </w:r>
    </w:p>
    <w:p w:rsidR="0060228B" w:rsidRPr="007443FC" w14:paraId="020E2031" w14:textId="77777777">
      <w:pPr>
        <w:jc w:val="center"/>
        <w:rPr>
          <w:b/>
          <w:szCs w:val="22"/>
        </w:rPr>
      </w:pPr>
      <w:r w:rsidRPr="007443FC">
        <w:rPr>
          <w:b/>
          <w:szCs w:val="22"/>
        </w:rPr>
        <w:t>Washington, D.C. 20554</w:t>
      </w:r>
    </w:p>
    <w:p w:rsidR="0060228B" w:rsidRPr="007443FC" w14:paraId="72F5B7DD" w14:textId="77777777">
      <w:pPr>
        <w:rPr>
          <w:szCs w:val="22"/>
        </w:rPr>
      </w:pPr>
    </w:p>
    <w:p w:rsidR="0060228B" w:rsidRPr="007443FC" w14:paraId="579B7EBD" w14:textId="77777777">
      <w:pPr>
        <w:rPr>
          <w:szCs w:val="22"/>
        </w:rPr>
      </w:pPr>
    </w:p>
    <w:tbl>
      <w:tblPr>
        <w:tblW w:w="9576" w:type="dxa"/>
        <w:tblInd w:w="-108" w:type="dxa"/>
        <w:tblLayout w:type="fixed"/>
        <w:tblLook w:val="0000"/>
      </w:tblPr>
      <w:tblGrid>
        <w:gridCol w:w="4698"/>
        <w:gridCol w:w="630"/>
        <w:gridCol w:w="4248"/>
      </w:tblGrid>
      <w:tr w14:paraId="5ABF4AB5" w14:textId="77777777" w:rsidTr="005C02BC">
        <w:tblPrEx>
          <w:tblW w:w="9576" w:type="dxa"/>
          <w:tblInd w:w="-108" w:type="dxa"/>
          <w:tblLayout w:type="fixed"/>
          <w:tblLook w:val="0000"/>
        </w:tblPrEx>
        <w:tc>
          <w:tcPr>
            <w:tcW w:w="4698" w:type="dxa"/>
          </w:tcPr>
          <w:p w:rsidR="005C02BC" w:rsidRPr="00DF0543" w:rsidP="008833E7" w14:paraId="035A0755" w14:textId="77777777">
            <w:pPr>
              <w:tabs>
                <w:tab w:val="center" w:pos="4680"/>
              </w:tabs>
              <w:suppressAutoHyphens/>
              <w:rPr>
                <w:spacing w:val="-2"/>
              </w:rPr>
            </w:pPr>
            <w:r w:rsidRPr="00DF0543">
              <w:rPr>
                <w:spacing w:val="-2"/>
              </w:rPr>
              <w:t>In the Matter of</w:t>
            </w:r>
          </w:p>
          <w:p w:rsidR="005C02BC" w:rsidRPr="00DF0543" w:rsidP="008833E7" w14:paraId="2FD80638" w14:textId="77777777">
            <w:pPr>
              <w:tabs>
                <w:tab w:val="center" w:pos="4680"/>
              </w:tabs>
              <w:suppressAutoHyphens/>
              <w:rPr>
                <w:spacing w:val="-2"/>
              </w:rPr>
            </w:pPr>
          </w:p>
          <w:p w:rsidR="00D71584" w:rsidRPr="000F6B31" w:rsidP="00D71584" w14:paraId="20E95730" w14:textId="77777777">
            <w:pPr>
              <w:tabs>
                <w:tab w:val="center" w:pos="4680"/>
              </w:tabs>
              <w:suppressAutoHyphens/>
              <w:rPr>
                <w:spacing w:val="-2"/>
                <w:szCs w:val="22"/>
              </w:rPr>
            </w:pPr>
            <w:r w:rsidRPr="000F6B31">
              <w:rPr>
                <w:spacing w:val="-2"/>
                <w:szCs w:val="22"/>
              </w:rPr>
              <w:t>Unlicensed Use of the 6 GHz Band</w:t>
            </w:r>
          </w:p>
          <w:p w:rsidR="00D71584" w:rsidRPr="000F6B31" w:rsidP="00D71584" w14:paraId="32C2A1DB" w14:textId="77777777">
            <w:pPr>
              <w:tabs>
                <w:tab w:val="center" w:pos="4680"/>
              </w:tabs>
              <w:suppressAutoHyphens/>
              <w:rPr>
                <w:spacing w:val="-2"/>
                <w:szCs w:val="22"/>
              </w:rPr>
            </w:pPr>
          </w:p>
          <w:p w:rsidR="00D71584" w:rsidRPr="000F6B31" w:rsidP="00D71584" w14:paraId="6FC82B18" w14:textId="77777777">
            <w:pPr>
              <w:tabs>
                <w:tab w:val="center" w:pos="4680"/>
              </w:tabs>
              <w:suppressAutoHyphens/>
              <w:rPr>
                <w:spacing w:val="-2"/>
                <w:szCs w:val="22"/>
              </w:rPr>
            </w:pPr>
            <w:r w:rsidRPr="000F6B31">
              <w:rPr>
                <w:spacing w:val="-2"/>
                <w:szCs w:val="22"/>
              </w:rPr>
              <w:t xml:space="preserve">Expanding Flexible Use in Mid-Band Spectrum Between 3.7 and 24 GHz </w:t>
            </w:r>
          </w:p>
          <w:p w:rsidR="005C02BC" w:rsidRPr="00DF0543" w:rsidP="00D71584" w14:paraId="252C5A9B" w14:textId="77777777">
            <w:pPr>
              <w:tabs>
                <w:tab w:val="center" w:pos="4680"/>
              </w:tabs>
              <w:suppressAutoHyphens/>
              <w:rPr>
                <w:spacing w:val="-2"/>
              </w:rPr>
            </w:pPr>
          </w:p>
        </w:tc>
        <w:tc>
          <w:tcPr>
            <w:tcW w:w="630" w:type="dxa"/>
          </w:tcPr>
          <w:p w:rsidR="005C02BC" w:rsidRPr="002C0DB9" w:rsidP="008833E7" w14:paraId="319CB298" w14:textId="77777777">
            <w:pPr>
              <w:tabs>
                <w:tab w:val="center" w:pos="4680"/>
              </w:tabs>
              <w:suppressAutoHyphens/>
              <w:rPr>
                <w:b/>
                <w:spacing w:val="-2"/>
              </w:rPr>
            </w:pPr>
            <w:r w:rsidRPr="002C0DB9">
              <w:rPr>
                <w:b/>
                <w:spacing w:val="-2"/>
              </w:rPr>
              <w:t>)</w:t>
            </w:r>
          </w:p>
          <w:p w:rsidR="005C02BC" w:rsidRPr="002C0DB9" w:rsidP="008833E7" w14:paraId="637C333B" w14:textId="77777777">
            <w:pPr>
              <w:tabs>
                <w:tab w:val="center" w:pos="4680"/>
              </w:tabs>
              <w:suppressAutoHyphens/>
              <w:rPr>
                <w:b/>
                <w:spacing w:val="-2"/>
              </w:rPr>
            </w:pPr>
            <w:r w:rsidRPr="002C0DB9">
              <w:rPr>
                <w:b/>
                <w:spacing w:val="-2"/>
              </w:rPr>
              <w:t>)</w:t>
            </w:r>
          </w:p>
          <w:p w:rsidR="005C02BC" w:rsidRPr="002C0DB9" w:rsidP="008833E7" w14:paraId="2EC63940" w14:textId="77777777">
            <w:pPr>
              <w:tabs>
                <w:tab w:val="center" w:pos="4680"/>
              </w:tabs>
              <w:suppressAutoHyphens/>
              <w:rPr>
                <w:b/>
                <w:spacing w:val="-2"/>
              </w:rPr>
            </w:pPr>
            <w:r w:rsidRPr="002C0DB9">
              <w:rPr>
                <w:b/>
                <w:spacing w:val="-2"/>
              </w:rPr>
              <w:t>)</w:t>
            </w:r>
          </w:p>
          <w:p w:rsidR="005C02BC" w:rsidRPr="002C0DB9" w:rsidP="008833E7" w14:paraId="058F056D" w14:textId="77777777">
            <w:pPr>
              <w:tabs>
                <w:tab w:val="center" w:pos="4680"/>
              </w:tabs>
              <w:suppressAutoHyphens/>
              <w:rPr>
                <w:b/>
                <w:spacing w:val="-2"/>
              </w:rPr>
            </w:pPr>
            <w:r w:rsidRPr="002C0DB9">
              <w:rPr>
                <w:b/>
                <w:spacing w:val="-2"/>
              </w:rPr>
              <w:t>)</w:t>
            </w:r>
          </w:p>
          <w:p w:rsidR="005C02BC" w:rsidRPr="002C0DB9" w:rsidP="008833E7" w14:paraId="5ACFCA69" w14:textId="77777777">
            <w:pPr>
              <w:tabs>
                <w:tab w:val="center" w:pos="4680"/>
              </w:tabs>
              <w:suppressAutoHyphens/>
              <w:rPr>
                <w:b/>
                <w:spacing w:val="-2"/>
              </w:rPr>
            </w:pPr>
            <w:r w:rsidRPr="002C0DB9">
              <w:rPr>
                <w:b/>
                <w:spacing w:val="-2"/>
              </w:rPr>
              <w:t>)</w:t>
            </w:r>
          </w:p>
          <w:p w:rsidR="005C02BC" w:rsidRPr="002C0DB9" w:rsidP="008833E7" w14:paraId="7095179A" w14:textId="77777777">
            <w:pPr>
              <w:tabs>
                <w:tab w:val="center" w:pos="4680"/>
              </w:tabs>
              <w:suppressAutoHyphens/>
              <w:rPr>
                <w:b/>
                <w:spacing w:val="-2"/>
              </w:rPr>
            </w:pPr>
            <w:r w:rsidRPr="002C0DB9">
              <w:rPr>
                <w:b/>
                <w:spacing w:val="-2"/>
              </w:rPr>
              <w:t>)</w:t>
            </w:r>
          </w:p>
          <w:p w:rsidR="005C02BC" w:rsidRPr="00DF0543" w:rsidP="008833E7" w14:paraId="2B1EF709" w14:textId="6E9E8EC8">
            <w:pPr>
              <w:tabs>
                <w:tab w:val="center" w:pos="4680"/>
              </w:tabs>
              <w:suppressAutoHyphens/>
              <w:rPr>
                <w:spacing w:val="-2"/>
              </w:rPr>
            </w:pPr>
          </w:p>
        </w:tc>
        <w:tc>
          <w:tcPr>
            <w:tcW w:w="4248" w:type="dxa"/>
          </w:tcPr>
          <w:p w:rsidR="005C02BC" w:rsidRPr="00DF0543" w:rsidP="008833E7" w14:paraId="5DF7D754" w14:textId="77777777">
            <w:pPr>
              <w:tabs>
                <w:tab w:val="center" w:pos="4680"/>
              </w:tabs>
              <w:suppressAutoHyphens/>
              <w:rPr>
                <w:spacing w:val="-2"/>
              </w:rPr>
            </w:pPr>
          </w:p>
          <w:p w:rsidR="005C02BC" w:rsidRPr="00DF0543" w:rsidP="008833E7" w14:paraId="080CA12A" w14:textId="77777777">
            <w:pPr>
              <w:pStyle w:val="TOAHeading"/>
              <w:tabs>
                <w:tab w:val="center" w:pos="4680"/>
                <w:tab w:val="clear" w:pos="9360"/>
              </w:tabs>
              <w:rPr>
                <w:spacing w:val="-2"/>
              </w:rPr>
            </w:pPr>
          </w:p>
          <w:p w:rsidR="00D71584" w:rsidRPr="000F6B31" w:rsidP="00D71584" w14:paraId="5BAE9E73" w14:textId="77777777">
            <w:pPr>
              <w:tabs>
                <w:tab w:val="center" w:pos="4680"/>
              </w:tabs>
              <w:suppressAutoHyphens/>
              <w:rPr>
                <w:spacing w:val="-2"/>
                <w:szCs w:val="22"/>
              </w:rPr>
            </w:pPr>
            <w:r w:rsidRPr="000F6B31">
              <w:rPr>
                <w:spacing w:val="-2"/>
                <w:szCs w:val="22"/>
              </w:rPr>
              <w:t>ET Docket No. 18-295</w:t>
            </w:r>
          </w:p>
          <w:p w:rsidR="00D71584" w:rsidRPr="000F6B31" w:rsidP="00D71584" w14:paraId="550179F8" w14:textId="77777777">
            <w:pPr>
              <w:tabs>
                <w:tab w:val="center" w:pos="4680"/>
              </w:tabs>
              <w:suppressAutoHyphens/>
              <w:rPr>
                <w:spacing w:val="-2"/>
                <w:szCs w:val="22"/>
              </w:rPr>
            </w:pPr>
          </w:p>
          <w:p w:rsidR="005C02BC" w:rsidRPr="00DF0543" w:rsidP="00D71584" w14:paraId="3CBF67E6" w14:textId="34B0F0EB">
            <w:pPr>
              <w:tabs>
                <w:tab w:val="center" w:pos="4680"/>
              </w:tabs>
              <w:suppressAutoHyphens/>
              <w:rPr>
                <w:spacing w:val="-2"/>
              </w:rPr>
            </w:pPr>
            <w:r w:rsidRPr="000F6B31">
              <w:rPr>
                <w:spacing w:val="-2"/>
                <w:szCs w:val="22"/>
              </w:rPr>
              <w:t>GN Docket No. 17-183</w:t>
            </w:r>
          </w:p>
          <w:p w:rsidR="005C02BC" w:rsidRPr="00DF0543" w:rsidP="008833E7" w14:paraId="1601B667" w14:textId="77777777">
            <w:pPr>
              <w:tabs>
                <w:tab w:val="center" w:pos="4680"/>
              </w:tabs>
              <w:suppressAutoHyphens/>
              <w:rPr>
                <w:spacing w:val="-2"/>
              </w:rPr>
            </w:pPr>
          </w:p>
        </w:tc>
      </w:tr>
    </w:tbl>
    <w:p w:rsidR="0060228B" w:rsidRPr="007443FC" w14:paraId="77A1F1EB" w14:textId="77777777">
      <w:pPr>
        <w:rPr>
          <w:szCs w:val="22"/>
        </w:rPr>
      </w:pPr>
    </w:p>
    <w:p w:rsidR="0060228B" w:rsidP="002D76D6" w14:paraId="1ACAC15B" w14:textId="0C195B1D">
      <w:pPr>
        <w:jc w:val="center"/>
        <w:rPr>
          <w:b/>
          <w:spacing w:val="-2"/>
          <w:szCs w:val="22"/>
        </w:rPr>
      </w:pPr>
      <w:r w:rsidRPr="007443FC">
        <w:rPr>
          <w:b/>
          <w:spacing w:val="-2"/>
          <w:szCs w:val="22"/>
        </w:rPr>
        <w:t>ERRATUM</w:t>
      </w:r>
    </w:p>
    <w:p w:rsidR="002D76D6" w:rsidRPr="007443FC" w:rsidP="002D76D6" w14:paraId="6F6872A2" w14:textId="77777777">
      <w:pPr>
        <w:rPr>
          <w:b/>
          <w:spacing w:val="-2"/>
          <w:szCs w:val="22"/>
        </w:rPr>
      </w:pPr>
    </w:p>
    <w:p w:rsidR="0060228B" w:rsidP="002D76D6" w14:paraId="1502A1FF" w14:textId="3EE608AE">
      <w:pPr>
        <w:jc w:val="right"/>
        <w:rPr>
          <w:b/>
          <w:szCs w:val="22"/>
        </w:rPr>
      </w:pPr>
      <w:r w:rsidRPr="002857DB">
        <w:rPr>
          <w:b/>
          <w:szCs w:val="22"/>
        </w:rPr>
        <w:t xml:space="preserve">Released:  </w:t>
      </w:r>
      <w:r w:rsidR="00D71584">
        <w:rPr>
          <w:b/>
          <w:szCs w:val="22"/>
        </w:rPr>
        <w:t>May</w:t>
      </w:r>
      <w:r w:rsidR="00E906D1">
        <w:rPr>
          <w:b/>
          <w:szCs w:val="22"/>
        </w:rPr>
        <w:t xml:space="preserve"> </w:t>
      </w:r>
      <w:r w:rsidR="00425BF8">
        <w:rPr>
          <w:b/>
          <w:szCs w:val="22"/>
        </w:rPr>
        <w:t>15</w:t>
      </w:r>
      <w:r w:rsidRPr="002857DB" w:rsidR="00EF47E9">
        <w:rPr>
          <w:b/>
          <w:szCs w:val="22"/>
        </w:rPr>
        <w:t>, 20</w:t>
      </w:r>
      <w:r w:rsidR="00E906D1">
        <w:rPr>
          <w:b/>
          <w:szCs w:val="22"/>
        </w:rPr>
        <w:t>20</w:t>
      </w:r>
    </w:p>
    <w:p w:rsidR="002D76D6" w:rsidRPr="002857DB" w:rsidP="002D76D6" w14:paraId="210D71E8" w14:textId="77777777">
      <w:pPr>
        <w:rPr>
          <w:b/>
          <w:szCs w:val="22"/>
        </w:rPr>
      </w:pPr>
    </w:p>
    <w:p w:rsidR="0060228B" w:rsidP="002D76D6" w14:paraId="1BD78296" w14:textId="5BF286F7">
      <w:pPr>
        <w:tabs>
          <w:tab w:val="left" w:pos="5760"/>
        </w:tabs>
        <w:rPr>
          <w:spacing w:val="-2"/>
        </w:rPr>
      </w:pPr>
      <w:r w:rsidRPr="00A87DB0">
        <w:t xml:space="preserve">By the </w:t>
      </w:r>
      <w:r w:rsidR="00BF3382">
        <w:t xml:space="preserve">Acting </w:t>
      </w:r>
      <w:r w:rsidRPr="00A87DB0">
        <w:t>Chief, Office of Engineering and Technology</w:t>
      </w:r>
      <w:r w:rsidRPr="00A87DB0">
        <w:rPr>
          <w:spacing w:val="-2"/>
        </w:rPr>
        <w:t>:</w:t>
      </w:r>
    </w:p>
    <w:p w:rsidR="002D76D6" w:rsidRPr="007443FC" w:rsidP="002D76D6" w14:paraId="35B97BE6" w14:textId="77777777">
      <w:pPr>
        <w:tabs>
          <w:tab w:val="left" w:pos="5760"/>
        </w:tabs>
        <w:rPr>
          <w:szCs w:val="22"/>
        </w:rPr>
      </w:pPr>
    </w:p>
    <w:p w:rsidR="003612DC" w:rsidP="00094409" w14:paraId="27D3045E" w14:textId="2AD9A91E">
      <w:pPr>
        <w:pStyle w:val="ParaNum"/>
        <w:numPr>
          <w:ilvl w:val="0"/>
          <w:numId w:val="0"/>
        </w:numPr>
        <w:ind w:firstLine="720"/>
        <w:rPr>
          <w:szCs w:val="22"/>
        </w:rPr>
      </w:pPr>
      <w:r w:rsidRPr="007443FC">
        <w:rPr>
          <w:szCs w:val="22"/>
        </w:rPr>
        <w:t xml:space="preserve">On </w:t>
      </w:r>
      <w:r w:rsidR="00D71584">
        <w:rPr>
          <w:szCs w:val="22"/>
        </w:rPr>
        <w:t>April</w:t>
      </w:r>
      <w:r w:rsidR="005C02BC">
        <w:rPr>
          <w:szCs w:val="22"/>
        </w:rPr>
        <w:t xml:space="preserve"> </w:t>
      </w:r>
      <w:r w:rsidR="00D71584">
        <w:rPr>
          <w:szCs w:val="22"/>
        </w:rPr>
        <w:t>2</w:t>
      </w:r>
      <w:r w:rsidR="005C02BC">
        <w:rPr>
          <w:szCs w:val="22"/>
        </w:rPr>
        <w:t>4</w:t>
      </w:r>
      <w:r w:rsidRPr="007443FC" w:rsidR="00B216E9">
        <w:rPr>
          <w:szCs w:val="22"/>
        </w:rPr>
        <w:t>, 20</w:t>
      </w:r>
      <w:r w:rsidR="00D71584">
        <w:rPr>
          <w:szCs w:val="22"/>
        </w:rPr>
        <w:t>20</w:t>
      </w:r>
      <w:r w:rsidRPr="007443FC" w:rsidR="00B216E9">
        <w:rPr>
          <w:szCs w:val="22"/>
        </w:rPr>
        <w:t xml:space="preserve">, the Commission </w:t>
      </w:r>
      <w:r w:rsidRPr="007443FC">
        <w:rPr>
          <w:szCs w:val="22"/>
        </w:rPr>
        <w:t xml:space="preserve">released a </w:t>
      </w:r>
      <w:r w:rsidRPr="00541AA8" w:rsidR="00B216E9">
        <w:rPr>
          <w:i/>
          <w:szCs w:val="22"/>
        </w:rPr>
        <w:t>Report and Order</w:t>
      </w:r>
      <w:r w:rsidR="00D71584">
        <w:rPr>
          <w:i/>
          <w:szCs w:val="22"/>
        </w:rPr>
        <w:t xml:space="preserve"> and </w:t>
      </w:r>
      <w:r w:rsidR="00C15512">
        <w:rPr>
          <w:i/>
          <w:szCs w:val="22"/>
        </w:rPr>
        <w:t xml:space="preserve">Further </w:t>
      </w:r>
      <w:r w:rsidR="00D71584">
        <w:rPr>
          <w:i/>
          <w:szCs w:val="22"/>
        </w:rPr>
        <w:t>Notice of Proposed Rulemaking</w:t>
      </w:r>
      <w:r w:rsidRPr="007443FC" w:rsidR="00B216E9">
        <w:rPr>
          <w:szCs w:val="22"/>
        </w:rPr>
        <w:t xml:space="preserve">, FCC </w:t>
      </w:r>
      <w:r w:rsidR="00D71584">
        <w:rPr>
          <w:szCs w:val="22"/>
        </w:rPr>
        <w:t>20-51</w:t>
      </w:r>
      <w:r w:rsidRPr="007443FC" w:rsidR="00B216E9">
        <w:rPr>
          <w:szCs w:val="22"/>
        </w:rPr>
        <w:t>, in the above-</w:t>
      </w:r>
      <w:r w:rsidRPr="007443FC">
        <w:rPr>
          <w:szCs w:val="22"/>
        </w:rPr>
        <w:t xml:space="preserve">captioned proceeding.  </w:t>
      </w:r>
      <w:r w:rsidRPr="007443FC" w:rsidR="00B978E5">
        <w:rPr>
          <w:szCs w:val="22"/>
        </w:rPr>
        <w:t>T</w:t>
      </w:r>
      <w:r w:rsidRPr="007443FC">
        <w:rPr>
          <w:szCs w:val="22"/>
        </w:rPr>
        <w:t xml:space="preserve">his Erratum </w:t>
      </w:r>
      <w:r w:rsidR="00D71584">
        <w:rPr>
          <w:szCs w:val="22"/>
        </w:rPr>
        <w:t>makes the following correct</w:t>
      </w:r>
      <w:r w:rsidR="007F4D83">
        <w:rPr>
          <w:szCs w:val="22"/>
        </w:rPr>
        <w:t>ion</w:t>
      </w:r>
      <w:r w:rsidR="00D71584">
        <w:rPr>
          <w:szCs w:val="22"/>
        </w:rPr>
        <w:t xml:space="preserve">s to the </w:t>
      </w:r>
      <w:r>
        <w:rPr>
          <w:i/>
          <w:szCs w:val="22"/>
        </w:rPr>
        <w:t>Report and Order</w:t>
      </w:r>
      <w:r w:rsidR="00D71584">
        <w:rPr>
          <w:i/>
          <w:szCs w:val="22"/>
        </w:rPr>
        <w:t xml:space="preserve"> and </w:t>
      </w:r>
      <w:r w:rsidR="009356B6">
        <w:rPr>
          <w:i/>
          <w:szCs w:val="22"/>
        </w:rPr>
        <w:t xml:space="preserve">Further </w:t>
      </w:r>
      <w:r w:rsidR="00D71584">
        <w:rPr>
          <w:i/>
          <w:szCs w:val="22"/>
        </w:rPr>
        <w:t>Notice of Proposed Rule</w:t>
      </w:r>
      <w:bookmarkStart w:id="0" w:name="_GoBack"/>
      <w:bookmarkEnd w:id="0"/>
      <w:r w:rsidR="00D71584">
        <w:rPr>
          <w:i/>
          <w:szCs w:val="22"/>
        </w:rPr>
        <w:t>making</w:t>
      </w:r>
      <w:r>
        <w:rPr>
          <w:szCs w:val="22"/>
        </w:rPr>
        <w:t>:</w:t>
      </w:r>
    </w:p>
    <w:p w:rsidR="00C0464B" w:rsidP="00D71584" w14:paraId="1C6640CB" w14:textId="19D06EF6">
      <w:pPr>
        <w:pStyle w:val="ParaNum"/>
      </w:pPr>
      <w:r w:rsidRPr="00C0464B">
        <w:rPr>
          <w:szCs w:val="22"/>
        </w:rPr>
        <w:t>Corrects the first sentence of paragraph 199 to read as follows</w:t>
      </w:r>
      <w:r w:rsidRPr="00C0464B">
        <w:rPr>
          <w:szCs w:val="22"/>
        </w:rPr>
        <w:t>:  “</w:t>
      </w:r>
      <w:r>
        <w:t>As proposed in the Notice, we adopt a requirement that client devices operate either under the control of a standard-power access point or a low-power access point.</w:t>
      </w:r>
      <w:r>
        <w:rPr>
          <w:rStyle w:val="FootnoteReference"/>
        </w:rPr>
        <w:footnoteReference w:customMarkFollows="1" w:id="2"/>
        <w:t xml:space="preserve">520</w:t>
      </w:r>
      <w:r>
        <w:t>”</w:t>
      </w:r>
    </w:p>
    <w:p w:rsidR="008C32D9" w:rsidP="00D71584" w14:paraId="51084463" w14:textId="0E45875A">
      <w:pPr>
        <w:pStyle w:val="ParaNum"/>
      </w:pPr>
      <w:r>
        <w:t>Corrects the third sentence of paragraph 2</w:t>
      </w:r>
      <w:r w:rsidR="00A70FAB">
        <w:t>35</w:t>
      </w:r>
      <w:r>
        <w:t xml:space="preserve"> to read as follows</w:t>
      </w:r>
      <w:r>
        <w:t>:  “</w:t>
      </w:r>
      <w:r w:rsidRPr="00CA556E">
        <w:t>We therefore propose to permit very low power devices to operate across the entirety of the 6 GH</w:t>
      </w:r>
      <w:r>
        <w:t>z</w:t>
      </w:r>
      <w:r w:rsidRPr="00CA556E">
        <w:t xml:space="preserve"> band (5.9</w:t>
      </w:r>
      <w:r>
        <w:t>25</w:t>
      </w:r>
      <w:r w:rsidRPr="00CA556E">
        <w:t>-7.125 GHz), both indoors and outdoors, without using an AFC.</w:t>
      </w:r>
      <w:r>
        <w:t>”</w:t>
      </w:r>
    </w:p>
    <w:p w:rsidR="00D71584" w:rsidP="00D71584" w14:paraId="428D3599" w14:textId="74252BA5">
      <w:pPr>
        <w:pStyle w:val="ParaNum"/>
      </w:pPr>
      <w:bookmarkStart w:id="1" w:name="_Hlk40107210"/>
      <w:r>
        <w:t>Corrects the third sentence of paragraph 252 to read as follows:</w:t>
      </w:r>
      <w:bookmarkEnd w:id="1"/>
      <w:r>
        <w:t xml:space="preserve">  “That approach deviates from the U-NII-1 and U-NII-3 band rules which permit higher power point-to-point operations</w:t>
      </w:r>
      <w:r>
        <w:rPr>
          <w:rStyle w:val="FootnoteReference"/>
        </w:rPr>
        <w:footnoteReference w:customMarkFollows="1" w:id="3"/>
        <w:t xml:space="preserve">623</w:t>
      </w:r>
      <w:r>
        <w:t xml:space="preserve"> because of the different incumbent licensee environment in the 6 GHz band as compared to 5 GHz.  </w:t>
      </w:r>
    </w:p>
    <w:p w:rsidR="00D71584" w:rsidP="00D71584" w14:paraId="0D917F92" w14:textId="082F1398">
      <w:pPr>
        <w:pStyle w:val="ParaNum"/>
      </w:pPr>
      <w:r>
        <w:t>Corrects the fifth sentence of paragraph 252 to read as follows:  “As a threshold matter, we believe that any flexibility provided for higher power should be used for targeted applications that would benefit from point-to-point operations, such a</w:t>
      </w:r>
      <w:r w:rsidR="001A3F57">
        <w:t>s</w:t>
      </w:r>
      <w:r>
        <w:t xml:space="preserve"> backhaul, and not for point-to-multipoint use or as a scheme for providing more wide area service through multiple antennas aimed to cover larger areas</w:t>
      </w:r>
      <w:r w:rsidR="00681973">
        <w:t xml:space="preserve">.”  </w:t>
      </w:r>
    </w:p>
    <w:p w:rsidR="00681973" w:rsidP="00D71584" w14:paraId="7E94F9EB" w14:textId="59AF080B">
      <w:pPr>
        <w:pStyle w:val="ParaNum"/>
      </w:pPr>
      <w:r>
        <w:t xml:space="preserve">Corrects the </w:t>
      </w:r>
      <w:r w:rsidR="00FA7E76">
        <w:t>eleventh</w:t>
      </w:r>
      <w:r>
        <w:t xml:space="preserve"> sentence of paragraph 253 to read as follows</w:t>
      </w:r>
      <w:r>
        <w:t>:  “</w:t>
      </w:r>
      <w:r>
        <w:t>Would any corresponding changes be needed for standard-power access points related to the information they exchange with the AFC?”</w:t>
      </w:r>
    </w:p>
    <w:p w:rsidR="00FA7E76" w:rsidP="00D71584" w14:paraId="0FEAC0A9" w14:textId="433F6719">
      <w:pPr>
        <w:pStyle w:val="ParaNum"/>
      </w:pPr>
      <w:r>
        <w:t>Corrects the first sentence of paragraph 259 to read as follows</w:t>
      </w:r>
      <w:r>
        <w:t>:  “</w:t>
      </w:r>
      <w:r>
        <w:t>The Commission has determined, and the Administrator of the Office of Information and Regulatory Affairs, Office of Management and Budget, concurs that this rule is major under the Congressional Review Act, 5 U.S.C. § 804(2).”</w:t>
      </w:r>
    </w:p>
    <w:p w:rsidR="000F1A34" w:rsidP="00D71584" w14:paraId="29EFC772" w14:textId="2E843C8A">
      <w:pPr>
        <w:pStyle w:val="ParaNum"/>
      </w:pPr>
      <w:r>
        <w:t>Corrects the first sentence of footnote 156 to read as follows:  “</w:t>
      </w:r>
      <w:r w:rsidRPr="00132FB9">
        <w:t>When site-specific information regarding line-of-sight/non-line-of-sight is not available then path losses of line-of-sight(LOS) and non-line-of-sight(NLOS) pa</w:t>
      </w:r>
      <w:r w:rsidRPr="00CE2F6C">
        <w:t xml:space="preserve">ths can be combined into a single loss using the following formula:  </w:t>
      </w:r>
      <w:r>
        <w:rPr>
          <w:szCs w:val="22"/>
        </w:rPr>
        <w:t xml:space="preserve">Path-loss (L) = </w:t>
      </w:r>
      <w:r>
        <w:rPr>
          <w:rFonts w:ascii="Symbol" w:hAnsi="Symbol"/>
          <w:szCs w:val="22"/>
        </w:rPr>
        <w:sym w:font="Symbol" w:char="F053"/>
      </w:r>
      <w:r>
        <w:rPr>
          <w:szCs w:val="22"/>
          <w:vertAlign w:val="subscript"/>
        </w:rPr>
        <w:t>i</w:t>
      </w:r>
      <w:r>
        <w:rPr>
          <w:szCs w:val="22"/>
        </w:rPr>
        <w:t xml:space="preserve"> P(</w:t>
      </w:r>
      <w:r>
        <w:rPr>
          <w:szCs w:val="22"/>
        </w:rPr>
        <w:t>i</w:t>
      </w:r>
      <w:r>
        <w:rPr>
          <w:szCs w:val="22"/>
        </w:rPr>
        <w:t>) * L</w:t>
      </w:r>
      <w:r w:rsidRPr="005D72FA">
        <w:rPr>
          <w:szCs w:val="22"/>
          <w:vertAlign w:val="subscript"/>
        </w:rPr>
        <w:t>i</w:t>
      </w:r>
      <w:r>
        <w:rPr>
          <w:szCs w:val="22"/>
        </w:rPr>
        <w:t xml:space="preserve"> = P</w:t>
      </w:r>
      <w:r w:rsidRPr="005D72FA">
        <w:rPr>
          <w:szCs w:val="22"/>
          <w:vertAlign w:val="subscript"/>
        </w:rPr>
        <w:t>LOS</w:t>
      </w:r>
      <w:r>
        <w:rPr>
          <w:szCs w:val="22"/>
        </w:rPr>
        <w:t xml:space="preserve"> * L</w:t>
      </w:r>
      <w:r w:rsidRPr="005D72FA">
        <w:rPr>
          <w:szCs w:val="22"/>
          <w:vertAlign w:val="subscript"/>
        </w:rPr>
        <w:t>LOS</w:t>
      </w:r>
      <w:r>
        <w:rPr>
          <w:szCs w:val="22"/>
        </w:rPr>
        <w:t xml:space="preserve"> + P</w:t>
      </w:r>
      <w:r w:rsidRPr="005D72FA">
        <w:rPr>
          <w:szCs w:val="22"/>
          <w:vertAlign w:val="subscript"/>
        </w:rPr>
        <w:t>NLOS</w:t>
      </w:r>
      <w:r>
        <w:rPr>
          <w:szCs w:val="22"/>
        </w:rPr>
        <w:t xml:space="preserve"> * </w:t>
      </w:r>
      <w:r w:rsidRPr="00D273A3">
        <w:rPr>
          <w:szCs w:val="22"/>
        </w:rPr>
        <w:t>L</w:t>
      </w:r>
      <w:r w:rsidRPr="00D273A3">
        <w:rPr>
          <w:szCs w:val="22"/>
          <w:vertAlign w:val="subscript"/>
        </w:rPr>
        <w:t>NLOS</w:t>
      </w:r>
      <w:r>
        <w:rPr>
          <w:szCs w:val="22"/>
        </w:rPr>
        <w:t>, where P</w:t>
      </w:r>
      <w:r w:rsidRPr="005D72FA">
        <w:rPr>
          <w:szCs w:val="22"/>
          <w:vertAlign w:val="subscript"/>
        </w:rPr>
        <w:t>LOS</w:t>
      </w:r>
      <w:r>
        <w:rPr>
          <w:szCs w:val="22"/>
        </w:rPr>
        <w:t xml:space="preserve"> </w:t>
      </w:r>
      <w:r w:rsidRPr="00132FB9">
        <w:t xml:space="preserve">is </w:t>
      </w:r>
      <w:r>
        <w:t xml:space="preserve">the </w:t>
      </w:r>
      <w:r w:rsidRPr="00132FB9">
        <w:t xml:space="preserve">probability of </w:t>
      </w:r>
      <w:r>
        <w:t>line-</w:t>
      </w:r>
      <w:r>
        <w:t>of-sight, L</w:t>
      </w:r>
      <w:r w:rsidRPr="005D72FA">
        <w:rPr>
          <w:vertAlign w:val="subscript"/>
        </w:rPr>
        <w:t>LOS</w:t>
      </w:r>
      <w:r w:rsidRPr="00132FB9">
        <w:t xml:space="preserve"> </w:t>
      </w:r>
      <w:r>
        <w:t>is the line-of-sight</w:t>
      </w:r>
      <w:r w:rsidRPr="00132FB9">
        <w:t xml:space="preserve"> path loss,</w:t>
      </w:r>
      <w:r>
        <w:t xml:space="preserve"> P</w:t>
      </w:r>
      <w:r w:rsidRPr="005D72FA">
        <w:rPr>
          <w:vertAlign w:val="subscript"/>
        </w:rPr>
        <w:t>NLOS</w:t>
      </w:r>
      <w:r w:rsidRPr="00132FB9">
        <w:t xml:space="preserve"> is </w:t>
      </w:r>
      <w:r>
        <w:t xml:space="preserve">the </w:t>
      </w:r>
      <w:r w:rsidRPr="00132FB9">
        <w:t xml:space="preserve">probability of </w:t>
      </w:r>
      <w:r>
        <w:t>non-line-of sight, L</w:t>
      </w:r>
      <w:r w:rsidRPr="005D72FA">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w:t>
      </w:r>
    </w:p>
    <w:p w:rsidR="00FA7E76" w:rsidRPr="00FA7E76" w:rsidP="00D71584" w14:paraId="726308DD" w14:textId="0CB57FAD">
      <w:pPr>
        <w:pStyle w:val="ParaNum"/>
      </w:pPr>
      <w:r>
        <w:t>In Appendix A, corrects the first sentence of the definition of Subordinate Device in section 15.403 to read as follows:  “</w:t>
      </w:r>
      <w:r w:rsidRPr="00D273A3">
        <w:rPr>
          <w:szCs w:val="22"/>
        </w:rPr>
        <w:t xml:space="preserve">For the purpose of this subpart, a device that operates in the 5.925-7.125 GHz band under the control of an Indoor Access Point, </w:t>
      </w:r>
      <w:r>
        <w:rPr>
          <w:szCs w:val="22"/>
        </w:rPr>
        <w:t>is supplied power from a wired connection</w:t>
      </w:r>
      <w:r w:rsidRPr="00D273A3">
        <w:rPr>
          <w:szCs w:val="22"/>
        </w:rPr>
        <w:t>, has an integrated antenna, is not battery powered, does not have a weatherized enclosure, and does not have a direct connection to the internet.</w:t>
      </w:r>
      <w:r>
        <w:rPr>
          <w:szCs w:val="22"/>
        </w:rPr>
        <w:t>”</w:t>
      </w:r>
    </w:p>
    <w:p w:rsidR="00FA7E76" w:rsidRPr="00FA7E76" w:rsidP="00D71584" w14:paraId="2DF3DA32" w14:textId="5DFE744D">
      <w:pPr>
        <w:pStyle w:val="ParaNum"/>
      </w:pPr>
      <w:bookmarkStart w:id="2" w:name="_Hlk40076946"/>
      <w:r>
        <w:rPr>
          <w:szCs w:val="22"/>
        </w:rPr>
        <w:t xml:space="preserve">In Appendix A, corrects </w:t>
      </w:r>
      <w:r w:rsidR="00755DCF">
        <w:rPr>
          <w:szCs w:val="22"/>
        </w:rPr>
        <w:t xml:space="preserve">section </w:t>
      </w:r>
      <w:r>
        <w:rPr>
          <w:szCs w:val="22"/>
        </w:rPr>
        <w:t>15.407(d)(4) to read as follows:  “</w:t>
      </w:r>
      <w:bookmarkEnd w:id="2"/>
      <w:r>
        <w:rPr>
          <w:szCs w:val="22"/>
        </w:rPr>
        <w:t>I</w:t>
      </w:r>
      <w:r w:rsidRPr="007513C2">
        <w:rPr>
          <w:szCs w:val="22"/>
        </w:rPr>
        <w:t>n the 5.925-7.125 GHz band</w:t>
      </w:r>
      <w:r>
        <w:rPr>
          <w:szCs w:val="22"/>
        </w:rPr>
        <w:t xml:space="preserve">, indoor access points and </w:t>
      </w:r>
      <w:r w:rsidRPr="007513C2">
        <w:rPr>
          <w:szCs w:val="22"/>
        </w:rPr>
        <w:t>subordinate devices</w:t>
      </w:r>
      <w:r>
        <w:rPr>
          <w:szCs w:val="22"/>
        </w:rPr>
        <w:t xml:space="preserve"> </w:t>
      </w:r>
      <w:r w:rsidRPr="006A0252">
        <w:rPr>
          <w:szCs w:val="22"/>
          <w:shd w:val="clear" w:color="auto" w:fill="FFFFFF"/>
        </w:rPr>
        <w:t xml:space="preserve">must bear the following statement in a conspicuous location on the device and in the user’s manual: </w:t>
      </w:r>
      <w:r w:rsidRPr="006A0252">
        <w:rPr>
          <w:szCs w:val="22"/>
        </w:rPr>
        <w:t xml:space="preserve">FCC regulations restrict operation of this device to indoor use only. </w:t>
      </w:r>
      <w:r w:rsidRPr="006A0252">
        <w:rPr>
          <w:szCs w:val="22"/>
          <w:shd w:val="clear" w:color="auto" w:fill="FFFFFF"/>
        </w:rPr>
        <w:t xml:space="preserve">The operation of this device is prohibited </w:t>
      </w:r>
      <w:r>
        <w:rPr>
          <w:szCs w:val="22"/>
        </w:rPr>
        <w:t>on oil platforms,</w:t>
      </w:r>
      <w:r w:rsidRPr="00D63319">
        <w:rPr>
          <w:szCs w:val="22"/>
        </w:rPr>
        <w:t xml:space="preserve"> </w:t>
      </w:r>
      <w:r>
        <w:rPr>
          <w:szCs w:val="22"/>
        </w:rPr>
        <w:t>cars, trains, boats,</w:t>
      </w:r>
      <w:r w:rsidRPr="006A0252">
        <w:rPr>
          <w:szCs w:val="22"/>
          <w:shd w:val="clear" w:color="auto" w:fill="FFFFFF"/>
        </w:rPr>
        <w:t xml:space="preserve"> and aircraft</w:t>
      </w:r>
      <w:r>
        <w:rPr>
          <w:szCs w:val="22"/>
          <w:shd w:val="clear" w:color="auto" w:fill="FFFFFF"/>
        </w:rPr>
        <w:t>,</w:t>
      </w:r>
      <w:r w:rsidRPr="006A0252">
        <w:rPr>
          <w:szCs w:val="22"/>
          <w:shd w:val="clear" w:color="auto" w:fill="FFFFFF"/>
        </w:rPr>
        <w:t xml:space="preserve"> except that operation of this device is permitted in </w:t>
      </w:r>
      <w:r>
        <w:rPr>
          <w:szCs w:val="22"/>
          <w:shd w:val="clear" w:color="auto" w:fill="FFFFFF"/>
        </w:rPr>
        <w:t xml:space="preserve">large </w:t>
      </w:r>
      <w:r w:rsidRPr="006A0252">
        <w:rPr>
          <w:szCs w:val="22"/>
          <w:shd w:val="clear" w:color="auto" w:fill="FFFFFF"/>
        </w:rPr>
        <w:t>aircraft while flying above 10,000 feet.</w:t>
      </w:r>
      <w:r>
        <w:rPr>
          <w:szCs w:val="22"/>
          <w:shd w:val="clear" w:color="auto" w:fill="FFFFFF"/>
        </w:rPr>
        <w:t>”</w:t>
      </w:r>
    </w:p>
    <w:p w:rsidR="000F1A34" w:rsidP="00865894" w14:paraId="33A2EEF2" w14:textId="6B67739C">
      <w:pPr>
        <w:pStyle w:val="ParaNum"/>
      </w:pPr>
      <w:r>
        <w:rPr>
          <w:szCs w:val="22"/>
        </w:rPr>
        <w:t>In Appendix A, corrects the first sentence of the second paragraph of</w:t>
      </w:r>
      <w:r w:rsidR="00FE22FE">
        <w:rPr>
          <w:szCs w:val="22"/>
        </w:rPr>
        <w:t xml:space="preserve"> section</w:t>
      </w:r>
      <w:r>
        <w:rPr>
          <w:szCs w:val="22"/>
        </w:rPr>
        <w:t xml:space="preserve"> 15.407(l)(1)(ii) to read as follows:  “Path-loss (L) = </w:t>
      </w:r>
      <w:r>
        <w:rPr>
          <w:rFonts w:ascii="Symbol" w:hAnsi="Symbol"/>
          <w:szCs w:val="22"/>
        </w:rPr>
        <w:sym w:font="Symbol" w:char="F053"/>
      </w:r>
      <w:r>
        <w:rPr>
          <w:szCs w:val="22"/>
          <w:vertAlign w:val="subscript"/>
        </w:rPr>
        <w:t>i</w:t>
      </w:r>
      <w:r>
        <w:rPr>
          <w:szCs w:val="22"/>
        </w:rPr>
        <w:t xml:space="preserve"> P(</w:t>
      </w:r>
      <w:r>
        <w:rPr>
          <w:szCs w:val="22"/>
        </w:rPr>
        <w:t>i</w:t>
      </w:r>
      <w:r>
        <w:rPr>
          <w:szCs w:val="22"/>
        </w:rPr>
        <w:t>) * L</w:t>
      </w:r>
      <w:r w:rsidRPr="009A5056">
        <w:rPr>
          <w:szCs w:val="22"/>
          <w:vertAlign w:val="subscript"/>
        </w:rPr>
        <w:t>i</w:t>
      </w:r>
      <w:r>
        <w:rPr>
          <w:szCs w:val="22"/>
        </w:rPr>
        <w:t xml:space="preserve"> = P</w:t>
      </w:r>
      <w:r w:rsidRPr="009A5056">
        <w:rPr>
          <w:szCs w:val="22"/>
          <w:vertAlign w:val="subscript"/>
        </w:rPr>
        <w:t>LOS</w:t>
      </w:r>
      <w:r>
        <w:rPr>
          <w:szCs w:val="22"/>
        </w:rPr>
        <w:t xml:space="preserve"> * L</w:t>
      </w:r>
      <w:r w:rsidRPr="009A5056">
        <w:rPr>
          <w:szCs w:val="22"/>
          <w:vertAlign w:val="subscript"/>
        </w:rPr>
        <w:t>LOS</w:t>
      </w:r>
      <w:r>
        <w:rPr>
          <w:szCs w:val="22"/>
        </w:rPr>
        <w:t xml:space="preserve"> + P</w:t>
      </w:r>
      <w:r w:rsidRPr="009A5056">
        <w:rPr>
          <w:szCs w:val="22"/>
          <w:vertAlign w:val="subscript"/>
        </w:rPr>
        <w:t>NLOS</w:t>
      </w:r>
      <w:r>
        <w:rPr>
          <w:szCs w:val="22"/>
        </w:rPr>
        <w:t xml:space="preserve"> * </w:t>
      </w:r>
      <w:r w:rsidRPr="002D386E">
        <w:rPr>
          <w:szCs w:val="22"/>
        </w:rPr>
        <w:t>L</w:t>
      </w:r>
      <w:r w:rsidRPr="002D386E">
        <w:rPr>
          <w:szCs w:val="22"/>
          <w:vertAlign w:val="subscript"/>
        </w:rPr>
        <w:t>NLOS</w:t>
      </w:r>
      <w:r>
        <w:rPr>
          <w:szCs w:val="22"/>
        </w:rPr>
        <w:t>, where P</w:t>
      </w:r>
      <w:r w:rsidRPr="009A5056">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9A5056">
        <w:rPr>
          <w:vertAlign w:val="subscript"/>
        </w:rPr>
        <w:t>LOS</w:t>
      </w:r>
      <w:r w:rsidRPr="00132FB9">
        <w:t xml:space="preserve"> </w:t>
      </w:r>
      <w:r>
        <w:t>is the line-of-sight</w:t>
      </w:r>
      <w:r w:rsidRPr="00132FB9">
        <w:t xml:space="preserve"> path loss,</w:t>
      </w:r>
      <w:r>
        <w:t xml:space="preserve"> P</w:t>
      </w:r>
      <w:r w:rsidRPr="009A5056">
        <w:rPr>
          <w:vertAlign w:val="subscript"/>
        </w:rPr>
        <w:t>NLOS</w:t>
      </w:r>
      <w:r w:rsidRPr="00132FB9">
        <w:t xml:space="preserve"> is </w:t>
      </w:r>
      <w:r>
        <w:t xml:space="preserve">the </w:t>
      </w:r>
      <w:r w:rsidRPr="00132FB9">
        <w:t xml:space="preserve">probability of </w:t>
      </w:r>
      <w:r>
        <w:t>non-line-of sight, L</w:t>
      </w:r>
      <w:r w:rsidRPr="009A5056">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w:t>
      </w:r>
    </w:p>
    <w:p w:rsidR="009029E0" w:rsidP="00865894" w14:paraId="7ACB1A75" w14:textId="7EAC058B">
      <w:pPr>
        <w:pStyle w:val="ParaNum"/>
      </w:pPr>
      <w:r>
        <w:t>In Section A of Appendix C, adds a paragraph number to the second paragraph.</w:t>
      </w:r>
    </w:p>
    <w:p w:rsidR="009029E0" w:rsidP="00865894" w14:paraId="285D9B5C" w14:textId="2A6C7A24">
      <w:pPr>
        <w:pStyle w:val="ParaNum"/>
      </w:pPr>
      <w:r>
        <w:t xml:space="preserve">In Section A of Appendix C, </w:t>
      </w:r>
      <w:r>
        <w:rPr>
          <w:szCs w:val="22"/>
        </w:rPr>
        <w:t>corrects the first sentence of the second paragraph to read as follows: “</w:t>
      </w:r>
      <w:r w:rsidRPr="00946D2A">
        <w:t>In proposing to permit very low power devices to operate across the entirety of the 6 GHz band (5.9</w:t>
      </w:r>
      <w:r>
        <w:t>25</w:t>
      </w:r>
      <w:r w:rsidRPr="00946D2A">
        <w:t>-7.125 GHz) without using an AFC, the Further Notice seeks comment on the design and use cases anticipated for such devices, as well as the power limits that have been proposed by their proponents.</w:t>
      </w:r>
      <w:r>
        <w:t>”</w:t>
      </w:r>
    </w:p>
    <w:p w:rsidR="00D71584" w:rsidP="00094409" w14:paraId="2AE6E151" w14:textId="77777777">
      <w:pPr>
        <w:pStyle w:val="ParaNum"/>
        <w:numPr>
          <w:ilvl w:val="0"/>
          <w:numId w:val="0"/>
        </w:numPr>
        <w:ind w:firstLine="720"/>
      </w:pPr>
    </w:p>
    <w:p w:rsidR="00B07300" w:rsidRPr="007443FC" w:rsidP="00635252" w14:paraId="33A6C052" w14:textId="77777777">
      <w:pPr>
        <w:pStyle w:val="Heading1"/>
        <w:widowControl/>
        <w:numPr>
          <w:ilvl w:val="0"/>
          <w:numId w:val="0"/>
        </w:numPr>
        <w:suppressAutoHyphens w:val="0"/>
        <w:spacing w:after="0"/>
        <w:rPr>
          <w:rFonts w:ascii="Times New Roman" w:hAnsi="Times New Roman"/>
          <w:b w:val="0"/>
          <w:caps w:val="0"/>
          <w:spacing w:val="-2"/>
          <w:szCs w:val="22"/>
        </w:rPr>
      </w:pPr>
      <w:r w:rsidRPr="007443FC">
        <w:rPr>
          <w:b w:val="0"/>
          <w:caps w:val="0"/>
          <w:spacing w:val="-2"/>
          <w:szCs w:val="22"/>
        </w:rPr>
        <w:tab/>
      </w:r>
      <w:r w:rsidRPr="007443FC">
        <w:rPr>
          <w:b w:val="0"/>
          <w:caps w:val="0"/>
          <w:spacing w:val="-2"/>
          <w:szCs w:val="22"/>
        </w:rPr>
        <w:tab/>
      </w:r>
      <w:r w:rsidRPr="007443FC">
        <w:rPr>
          <w:b w:val="0"/>
          <w:caps w:val="0"/>
          <w:spacing w:val="-2"/>
          <w:szCs w:val="22"/>
        </w:rPr>
        <w:tab/>
      </w:r>
      <w:r w:rsidRPr="007443FC">
        <w:rPr>
          <w:b w:val="0"/>
          <w:caps w:val="0"/>
          <w:spacing w:val="-2"/>
          <w:szCs w:val="22"/>
        </w:rPr>
        <w:tab/>
      </w:r>
      <w:r w:rsidRPr="007443FC">
        <w:rPr>
          <w:b w:val="0"/>
          <w:caps w:val="0"/>
          <w:spacing w:val="-2"/>
          <w:szCs w:val="22"/>
        </w:rPr>
        <w:tab/>
      </w:r>
      <w:r w:rsidRPr="007443FC">
        <w:rPr>
          <w:b w:val="0"/>
          <w:caps w:val="0"/>
          <w:spacing w:val="-2"/>
          <w:szCs w:val="22"/>
        </w:rPr>
        <w:tab/>
      </w:r>
      <w:r w:rsidRPr="007443FC">
        <w:rPr>
          <w:rFonts w:ascii="Times New Roman" w:hAnsi="Times New Roman"/>
          <w:b w:val="0"/>
          <w:caps w:val="0"/>
          <w:spacing w:val="-2"/>
          <w:szCs w:val="22"/>
        </w:rPr>
        <w:t>FEDERAL COMMUNICATIONS COMMISSION</w:t>
      </w:r>
    </w:p>
    <w:p w:rsidR="00506419" w:rsidRPr="007443FC" w:rsidP="00635252" w14:paraId="1F2CDACA" w14:textId="77777777">
      <w:pPr>
        <w:pStyle w:val="ParaNum"/>
        <w:keepNext/>
        <w:widowControl/>
        <w:numPr>
          <w:ilvl w:val="0"/>
          <w:numId w:val="0"/>
        </w:numPr>
        <w:spacing w:after="0"/>
        <w:rPr>
          <w:szCs w:val="22"/>
        </w:rPr>
      </w:pPr>
    </w:p>
    <w:p w:rsidR="00506419" w:rsidRPr="007443FC" w:rsidP="00635252" w14:paraId="16D2386C" w14:textId="77777777">
      <w:pPr>
        <w:pStyle w:val="ParaNum"/>
        <w:keepNext/>
        <w:widowControl/>
        <w:numPr>
          <w:ilvl w:val="0"/>
          <w:numId w:val="0"/>
        </w:numPr>
        <w:spacing w:after="0"/>
        <w:rPr>
          <w:szCs w:val="22"/>
        </w:rPr>
      </w:pPr>
    </w:p>
    <w:p w:rsidR="00506419" w:rsidRPr="007443FC" w:rsidP="00635252" w14:paraId="19CB5430" w14:textId="77777777">
      <w:pPr>
        <w:pStyle w:val="ParaNum"/>
        <w:keepNext/>
        <w:widowControl/>
        <w:numPr>
          <w:ilvl w:val="0"/>
          <w:numId w:val="0"/>
        </w:numPr>
        <w:spacing w:after="0"/>
        <w:rPr>
          <w:szCs w:val="22"/>
        </w:rPr>
      </w:pPr>
    </w:p>
    <w:p w:rsidR="00AD7575" w:rsidP="00AD7575" w14:paraId="28697DD2" w14:textId="77777777">
      <w:pPr>
        <w:pStyle w:val="ParaNum"/>
        <w:keepNext/>
        <w:widowControl/>
        <w:numPr>
          <w:ilvl w:val="0"/>
          <w:numId w:val="0"/>
        </w:numPr>
        <w:spacing w:after="0"/>
        <w:rPr>
          <w:szCs w:val="22"/>
        </w:rPr>
      </w:pPr>
    </w:p>
    <w:p w:rsidR="00506419" w:rsidRPr="007443FC" w:rsidP="00635252" w14:paraId="720CA698" w14:textId="77777777">
      <w:pPr>
        <w:pStyle w:val="ParaNum"/>
        <w:keepNext/>
        <w:widowControl/>
        <w:numPr>
          <w:ilvl w:val="0"/>
          <w:numId w:val="0"/>
        </w:numPr>
        <w:spacing w:after="0"/>
        <w:rPr>
          <w:szCs w:val="22"/>
        </w:rPr>
      </w:pPr>
      <w:r w:rsidRPr="007443FC">
        <w:rPr>
          <w:szCs w:val="22"/>
        </w:rPr>
        <w:tab/>
      </w:r>
      <w:r w:rsidRPr="007443FC">
        <w:rPr>
          <w:szCs w:val="22"/>
        </w:rPr>
        <w:tab/>
      </w:r>
      <w:r w:rsidRPr="007443FC">
        <w:rPr>
          <w:szCs w:val="22"/>
        </w:rPr>
        <w:tab/>
      </w:r>
      <w:r w:rsidRPr="007443FC">
        <w:rPr>
          <w:szCs w:val="22"/>
        </w:rPr>
        <w:tab/>
      </w:r>
      <w:r w:rsidRPr="007443FC">
        <w:rPr>
          <w:szCs w:val="22"/>
        </w:rPr>
        <w:tab/>
      </w:r>
      <w:r w:rsidRPr="007443FC">
        <w:rPr>
          <w:szCs w:val="22"/>
        </w:rPr>
        <w:tab/>
      </w:r>
      <w:r w:rsidR="00E906D1">
        <w:rPr>
          <w:szCs w:val="22"/>
        </w:rPr>
        <w:t>Ronald Repasi</w:t>
      </w:r>
    </w:p>
    <w:p w:rsidR="00890CE3" w:rsidP="00B52799" w14:paraId="6A601618" w14:textId="77777777">
      <w:pPr>
        <w:pStyle w:val="ParaNum"/>
        <w:numPr>
          <w:ilvl w:val="0"/>
          <w:numId w:val="0"/>
        </w:numPr>
        <w:spacing w:after="0"/>
        <w:rPr>
          <w:szCs w:val="22"/>
        </w:rPr>
      </w:pPr>
      <w:r w:rsidRPr="007443FC">
        <w:rPr>
          <w:szCs w:val="22"/>
        </w:rPr>
        <w:tab/>
      </w:r>
      <w:r w:rsidRPr="007443FC">
        <w:rPr>
          <w:szCs w:val="22"/>
        </w:rPr>
        <w:tab/>
      </w:r>
      <w:r w:rsidRPr="007443FC">
        <w:rPr>
          <w:szCs w:val="22"/>
        </w:rPr>
        <w:tab/>
      </w:r>
      <w:r w:rsidRPr="007443FC">
        <w:rPr>
          <w:szCs w:val="22"/>
        </w:rPr>
        <w:tab/>
      </w:r>
      <w:r w:rsidRPr="007443FC">
        <w:rPr>
          <w:szCs w:val="22"/>
        </w:rPr>
        <w:tab/>
      </w:r>
      <w:r w:rsidRPr="007443FC">
        <w:rPr>
          <w:szCs w:val="22"/>
        </w:rPr>
        <w:tab/>
      </w:r>
      <w:r w:rsidR="00E906D1">
        <w:rPr>
          <w:szCs w:val="22"/>
        </w:rPr>
        <w:t xml:space="preserve">Acting </w:t>
      </w:r>
      <w:r w:rsidRPr="007443FC">
        <w:rPr>
          <w:szCs w:val="22"/>
        </w:rPr>
        <w:t>Chief,</w:t>
      </w:r>
    </w:p>
    <w:p w:rsidR="007F01A1" w:rsidRPr="007443FC" w:rsidP="00B52799" w14:paraId="033C80BF" w14:textId="77777777">
      <w:pPr>
        <w:pStyle w:val="ParaNum"/>
        <w:numPr>
          <w:ilvl w:val="0"/>
          <w:numId w:val="0"/>
        </w:numPr>
        <w:spacing w:after="0"/>
        <w:rPr>
          <w:szCs w:val="22"/>
        </w:rPr>
      </w:pPr>
      <w:r w:rsidRPr="007443FC">
        <w:rPr>
          <w:szCs w:val="22"/>
        </w:rPr>
        <w:t xml:space="preserve"> </w:t>
      </w:r>
      <w:r w:rsidR="00890CE3">
        <w:rPr>
          <w:szCs w:val="22"/>
        </w:rPr>
        <w:tab/>
      </w:r>
      <w:r w:rsidR="00890CE3">
        <w:rPr>
          <w:szCs w:val="22"/>
        </w:rPr>
        <w:tab/>
      </w:r>
      <w:r w:rsidR="00890CE3">
        <w:rPr>
          <w:szCs w:val="22"/>
        </w:rPr>
        <w:tab/>
      </w:r>
      <w:r w:rsidR="00890CE3">
        <w:rPr>
          <w:szCs w:val="22"/>
        </w:rPr>
        <w:tab/>
      </w:r>
      <w:r w:rsidR="00890CE3">
        <w:rPr>
          <w:szCs w:val="22"/>
        </w:rPr>
        <w:tab/>
      </w:r>
      <w:r w:rsidR="00890CE3">
        <w:rPr>
          <w:szCs w:val="22"/>
        </w:rPr>
        <w:tab/>
      </w:r>
      <w:r w:rsidRPr="007443FC" w:rsidR="002E1738">
        <w:rPr>
          <w:szCs w:val="22"/>
        </w:rPr>
        <w:t>Office of Engineering and Technology</w:t>
      </w:r>
    </w:p>
    <w:p w:rsidR="002E484C" w:rsidRPr="007443FC" w:rsidP="002E1738" w14:paraId="4323D3B0" w14:textId="77777777">
      <w:pPr>
        <w:pStyle w:val="ParaNum"/>
        <w:numPr>
          <w:ilvl w:val="0"/>
          <w:numId w:val="0"/>
        </w:numPr>
        <w:spacing w:after="0"/>
        <w:rPr>
          <w:szCs w:val="22"/>
        </w:rPr>
      </w:pPr>
    </w:p>
    <w:sectPr w:rsidSect="00C469BA">
      <w:headerReference w:type="default" r:id="rId5"/>
      <w:footerReference w:type="default" r:id="rId6"/>
      <w:headerReference w:type="first" r:id="rId7"/>
      <w:footnotePr>
        <w:numRestart w:val="eachSect"/>
      </w:footnotePr>
      <w:type w:val="continuous"/>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12F69E0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B5279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E6F" w14:paraId="2DF60C0C" w14:textId="77777777">
      <w:r>
        <w:separator/>
      </w:r>
    </w:p>
  </w:footnote>
  <w:footnote w:type="continuationSeparator" w:id="1">
    <w:p w:rsidR="00A64E6F" w14:paraId="49367CD1" w14:textId="77777777">
      <w:r>
        <w:continuationSeparator/>
      </w:r>
    </w:p>
  </w:footnote>
  <w:footnote w:id="2">
    <w:p w:rsidR="00CA4BF8" w14:paraId="7AD1EDB2" w14:textId="1165CC47">
      <w:pPr>
        <w:pStyle w:val="FootnoteText"/>
      </w:pPr>
      <w:r>
        <w:rPr>
          <w:rStyle w:val="FootnoteReference"/>
        </w:rPr>
        <w:t>520</w:t>
      </w:r>
      <w:r>
        <w:t xml:space="preserve"> </w:t>
      </w:r>
      <w:r w:rsidRPr="00870879" w:rsidR="00815D3C">
        <w:t xml:space="preserve">Notice 33 FCC </w:t>
      </w:r>
      <w:r w:rsidRPr="00870879" w:rsidR="00815D3C">
        <w:t>Rcd</w:t>
      </w:r>
      <w:r w:rsidRPr="00870879" w:rsidR="00815D3C">
        <w:t xml:space="preserve"> at 10516, 10521, 10522, paras. 53, 69, 73</w:t>
      </w:r>
      <w:r w:rsidR="00815D3C">
        <w:t>.</w:t>
      </w:r>
    </w:p>
  </w:footnote>
  <w:footnote w:id="3">
    <w:p w:rsidR="00815D3C" w14:paraId="5D6BB881" w14:textId="321D7FCA">
      <w:pPr>
        <w:pStyle w:val="FootnoteText"/>
      </w:pPr>
      <w:r>
        <w:rPr>
          <w:rStyle w:val="FootnoteReference"/>
        </w:rPr>
        <w:t>623</w:t>
      </w:r>
      <w:r>
        <w:t xml:space="preserve"> 47 CFR §§ 15.407(a)(1)(iii), 15.407(a)(3).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5279BB" w14:paraId="3AED8294" w14:textId="77777777">
    <w:pPr>
      <w:pStyle w:val="Header"/>
    </w:pPr>
    <w:r>
      <w:tab/>
      <w:t>Federal Communications Commission</w:t>
    </w:r>
    <w:r>
      <w:tab/>
    </w:r>
  </w:p>
  <w:p w:rsidR="0060228B" w:rsidP="005279BB" w14:paraId="44B73863" w14:textId="77777777">
    <w:pPr>
      <w:pStyle w:val="Header"/>
    </w:pPr>
    <w:r>
      <w:rPr>
        <w:b w:val="0"/>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5279BB" w14:paraId="4EEEC0DB" w14:textId="77777777">
    <w:pPr>
      <w:pStyle w:val="Header"/>
    </w:pPr>
    <w:r>
      <w:tab/>
    </w:r>
    <w:r w:rsidRPr="002A29D2">
      <w:t>Federal Communications Commission</w:t>
    </w:r>
    <w:r>
      <w:tab/>
    </w:r>
  </w:p>
  <w:p w:rsidR="0060228B" w:rsidP="005279BB" w14:paraId="38696002"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665B4"/>
    <w:multiLevelType w:val="hybridMultilevel"/>
    <w:tmpl w:val="4BC894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8D442D9"/>
    <w:multiLevelType w:val="hybridMultilevel"/>
    <w:tmpl w:val="9A1C9F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5"/>
  </w:num>
  <w:num w:numId="4">
    <w:abstractNumId w:val="22"/>
  </w:num>
  <w:num w:numId="5">
    <w:abstractNumId w:val="9"/>
  </w:num>
  <w:num w:numId="6">
    <w:abstractNumId w:val="25"/>
  </w:num>
  <w:num w:numId="7">
    <w:abstractNumId w:val="17"/>
  </w:num>
  <w:num w:numId="8">
    <w:abstractNumId w:val="10"/>
  </w:num>
  <w:num w:numId="9">
    <w:abstractNumId w:val="24"/>
  </w:num>
  <w:num w:numId="10">
    <w:abstractNumId w:val="15"/>
  </w:num>
  <w:num w:numId="11">
    <w:abstractNumId w:val="14"/>
  </w:num>
  <w:num w:numId="12">
    <w:abstractNumId w:val="11"/>
  </w:num>
  <w:num w:numId="13">
    <w:abstractNumId w:val="16"/>
  </w:num>
  <w:num w:numId="14">
    <w:abstractNumId w:val="23"/>
  </w:num>
  <w:num w:numId="15">
    <w:abstractNumId w:val="3"/>
  </w:num>
  <w:num w:numId="16">
    <w:abstractNumId w:val="4"/>
  </w:num>
  <w:num w:numId="17">
    <w:abstractNumId w:val="12"/>
  </w:num>
  <w:num w:numId="18">
    <w:abstractNumId w:val="2"/>
  </w:num>
  <w:num w:numId="19">
    <w:abstractNumId w:val="13"/>
  </w:num>
  <w:num w:numId="20">
    <w:abstractNumId w:val="19"/>
  </w:num>
  <w:num w:numId="21">
    <w:abstractNumId w:val="21"/>
  </w:num>
  <w:num w:numId="22">
    <w:abstractNumId w:val="6"/>
  </w:num>
  <w:num w:numId="23">
    <w:abstractNumId w:val="26"/>
  </w:num>
  <w:num w:numId="24">
    <w:abstractNumId w:val="8"/>
  </w:num>
  <w:num w:numId="25">
    <w:abstractNumId w:val="20"/>
  </w:num>
  <w:num w:numId="26">
    <w:abstractNumId w:val="7"/>
  </w:num>
  <w:num w:numId="27">
    <w:abstractNumId w:val="1"/>
  </w:num>
  <w:num w:numId="28">
    <w:abstractNumId w:val="0"/>
  </w:num>
  <w:num w:numId="29">
    <w:abstractNumId w:val="26"/>
    <w:lvlOverride w:ilvl="0">
      <w:startOverride w:val="1"/>
    </w:lvlOverride>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9"/>
    <w:rsid w:val="00003014"/>
    <w:rsid w:val="00007D17"/>
    <w:rsid w:val="00042AE5"/>
    <w:rsid w:val="00094409"/>
    <w:rsid w:val="000B6C63"/>
    <w:rsid w:val="000F1A34"/>
    <w:rsid w:val="000F6B31"/>
    <w:rsid w:val="000F719D"/>
    <w:rsid w:val="00122133"/>
    <w:rsid w:val="00132FB9"/>
    <w:rsid w:val="001364CA"/>
    <w:rsid w:val="001367A2"/>
    <w:rsid w:val="00140F58"/>
    <w:rsid w:val="001469DC"/>
    <w:rsid w:val="001842BA"/>
    <w:rsid w:val="00192261"/>
    <w:rsid w:val="001A1670"/>
    <w:rsid w:val="001A3F57"/>
    <w:rsid w:val="001E5BAB"/>
    <w:rsid w:val="001F6399"/>
    <w:rsid w:val="00201A31"/>
    <w:rsid w:val="00277FE5"/>
    <w:rsid w:val="002857DB"/>
    <w:rsid w:val="002A29D2"/>
    <w:rsid w:val="002A4E36"/>
    <w:rsid w:val="002B14BB"/>
    <w:rsid w:val="002B4542"/>
    <w:rsid w:val="002C0DB9"/>
    <w:rsid w:val="002D386E"/>
    <w:rsid w:val="002D76D6"/>
    <w:rsid w:val="002E1738"/>
    <w:rsid w:val="002E484C"/>
    <w:rsid w:val="002F2119"/>
    <w:rsid w:val="0031543F"/>
    <w:rsid w:val="00352BEA"/>
    <w:rsid w:val="003612DC"/>
    <w:rsid w:val="00385C41"/>
    <w:rsid w:val="0039337B"/>
    <w:rsid w:val="003B4765"/>
    <w:rsid w:val="003D22BB"/>
    <w:rsid w:val="003E75D7"/>
    <w:rsid w:val="0040138C"/>
    <w:rsid w:val="00412F23"/>
    <w:rsid w:val="00425BF8"/>
    <w:rsid w:val="004314C0"/>
    <w:rsid w:val="00456E40"/>
    <w:rsid w:val="00461721"/>
    <w:rsid w:val="00474214"/>
    <w:rsid w:val="004A0621"/>
    <w:rsid w:val="004A2FBE"/>
    <w:rsid w:val="004A4146"/>
    <w:rsid w:val="004B732A"/>
    <w:rsid w:val="004E2DD1"/>
    <w:rsid w:val="00506419"/>
    <w:rsid w:val="005279BB"/>
    <w:rsid w:val="00541AA8"/>
    <w:rsid w:val="00571965"/>
    <w:rsid w:val="00597B69"/>
    <w:rsid w:val="005A09E4"/>
    <w:rsid w:val="005C02BC"/>
    <w:rsid w:val="005D72FA"/>
    <w:rsid w:val="005E43BE"/>
    <w:rsid w:val="005F5E72"/>
    <w:rsid w:val="0060228B"/>
    <w:rsid w:val="0061373F"/>
    <w:rsid w:val="0062796E"/>
    <w:rsid w:val="006313A7"/>
    <w:rsid w:val="00635252"/>
    <w:rsid w:val="0066113B"/>
    <w:rsid w:val="006805DE"/>
    <w:rsid w:val="00681973"/>
    <w:rsid w:val="00697983"/>
    <w:rsid w:val="006A0252"/>
    <w:rsid w:val="006D5147"/>
    <w:rsid w:val="006D7B3A"/>
    <w:rsid w:val="006F56A0"/>
    <w:rsid w:val="0071085A"/>
    <w:rsid w:val="00714DBE"/>
    <w:rsid w:val="00715CD7"/>
    <w:rsid w:val="007344C8"/>
    <w:rsid w:val="007411C5"/>
    <w:rsid w:val="007443FC"/>
    <w:rsid w:val="00745A2D"/>
    <w:rsid w:val="007513C2"/>
    <w:rsid w:val="00755DCF"/>
    <w:rsid w:val="007650D9"/>
    <w:rsid w:val="00780012"/>
    <w:rsid w:val="007A461B"/>
    <w:rsid w:val="007C2C37"/>
    <w:rsid w:val="007E2EAB"/>
    <w:rsid w:val="007E423F"/>
    <w:rsid w:val="007F01A1"/>
    <w:rsid w:val="007F4D83"/>
    <w:rsid w:val="00811592"/>
    <w:rsid w:val="00815D3C"/>
    <w:rsid w:val="00836354"/>
    <w:rsid w:val="008437AF"/>
    <w:rsid w:val="008445F0"/>
    <w:rsid w:val="008574C8"/>
    <w:rsid w:val="00864FB5"/>
    <w:rsid w:val="00865894"/>
    <w:rsid w:val="008673F3"/>
    <w:rsid w:val="00870879"/>
    <w:rsid w:val="00880AC7"/>
    <w:rsid w:val="008833E7"/>
    <w:rsid w:val="008902BA"/>
    <w:rsid w:val="00890CE3"/>
    <w:rsid w:val="00891ADC"/>
    <w:rsid w:val="00895291"/>
    <w:rsid w:val="008A304E"/>
    <w:rsid w:val="008B7FE8"/>
    <w:rsid w:val="008C32D9"/>
    <w:rsid w:val="008D4FD4"/>
    <w:rsid w:val="008D53D7"/>
    <w:rsid w:val="008E0BAA"/>
    <w:rsid w:val="008F6E0D"/>
    <w:rsid w:val="009029E0"/>
    <w:rsid w:val="00903A82"/>
    <w:rsid w:val="009171CC"/>
    <w:rsid w:val="009238A7"/>
    <w:rsid w:val="009356B6"/>
    <w:rsid w:val="00946D2A"/>
    <w:rsid w:val="0098236F"/>
    <w:rsid w:val="00987720"/>
    <w:rsid w:val="009A5056"/>
    <w:rsid w:val="009D5FB2"/>
    <w:rsid w:val="00A001FE"/>
    <w:rsid w:val="00A148F2"/>
    <w:rsid w:val="00A26D5C"/>
    <w:rsid w:val="00A35C2E"/>
    <w:rsid w:val="00A40C14"/>
    <w:rsid w:val="00A522E2"/>
    <w:rsid w:val="00A64E6F"/>
    <w:rsid w:val="00A66149"/>
    <w:rsid w:val="00A6678A"/>
    <w:rsid w:val="00A70FAB"/>
    <w:rsid w:val="00A7198A"/>
    <w:rsid w:val="00A773D9"/>
    <w:rsid w:val="00A87DB0"/>
    <w:rsid w:val="00AD10AB"/>
    <w:rsid w:val="00AD7575"/>
    <w:rsid w:val="00B07300"/>
    <w:rsid w:val="00B216E9"/>
    <w:rsid w:val="00B33F77"/>
    <w:rsid w:val="00B40CD1"/>
    <w:rsid w:val="00B52799"/>
    <w:rsid w:val="00B87A3F"/>
    <w:rsid w:val="00B91BD2"/>
    <w:rsid w:val="00B978E5"/>
    <w:rsid w:val="00BA5D96"/>
    <w:rsid w:val="00BA5FD9"/>
    <w:rsid w:val="00BE6A4D"/>
    <w:rsid w:val="00BF3382"/>
    <w:rsid w:val="00C0464B"/>
    <w:rsid w:val="00C15512"/>
    <w:rsid w:val="00C469BA"/>
    <w:rsid w:val="00C70227"/>
    <w:rsid w:val="00C841C4"/>
    <w:rsid w:val="00CA4BF8"/>
    <w:rsid w:val="00CA556E"/>
    <w:rsid w:val="00CA641C"/>
    <w:rsid w:val="00CC7807"/>
    <w:rsid w:val="00CE2F6C"/>
    <w:rsid w:val="00CF74C1"/>
    <w:rsid w:val="00D06349"/>
    <w:rsid w:val="00D13BA1"/>
    <w:rsid w:val="00D273A3"/>
    <w:rsid w:val="00D47998"/>
    <w:rsid w:val="00D63319"/>
    <w:rsid w:val="00D71584"/>
    <w:rsid w:val="00D82467"/>
    <w:rsid w:val="00D83139"/>
    <w:rsid w:val="00D976E3"/>
    <w:rsid w:val="00DB4005"/>
    <w:rsid w:val="00DC5EF6"/>
    <w:rsid w:val="00DF0543"/>
    <w:rsid w:val="00DF3E4D"/>
    <w:rsid w:val="00E00E22"/>
    <w:rsid w:val="00E462C2"/>
    <w:rsid w:val="00E53DB9"/>
    <w:rsid w:val="00E56185"/>
    <w:rsid w:val="00E60467"/>
    <w:rsid w:val="00E7408B"/>
    <w:rsid w:val="00E84730"/>
    <w:rsid w:val="00E906D1"/>
    <w:rsid w:val="00E91EF7"/>
    <w:rsid w:val="00EB1A95"/>
    <w:rsid w:val="00EC0E85"/>
    <w:rsid w:val="00EC5D14"/>
    <w:rsid w:val="00ED2EA8"/>
    <w:rsid w:val="00EF47E9"/>
    <w:rsid w:val="00F114F3"/>
    <w:rsid w:val="00F21028"/>
    <w:rsid w:val="00F25801"/>
    <w:rsid w:val="00F42BFE"/>
    <w:rsid w:val="00F604C9"/>
    <w:rsid w:val="00F60FD7"/>
    <w:rsid w:val="00F9741B"/>
    <w:rsid w:val="00FA059F"/>
    <w:rsid w:val="00FA7E76"/>
    <w:rsid w:val="00FC5D64"/>
    <w:rsid w:val="00FE22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F8"/>
    <w:pPr>
      <w:widowControl w:val="0"/>
    </w:pPr>
    <w:rPr>
      <w:snapToGrid w:val="0"/>
      <w:kern w:val="28"/>
      <w:sz w:val="22"/>
    </w:rPr>
  </w:style>
  <w:style w:type="paragraph" w:styleId="Heading1">
    <w:name w:val="heading 1"/>
    <w:basedOn w:val="Normal"/>
    <w:next w:val="ParaNum"/>
    <w:qFormat/>
    <w:rsid w:val="00425BF8"/>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5BF8"/>
    <w:pPr>
      <w:keepNext/>
      <w:numPr>
        <w:ilvl w:val="1"/>
        <w:numId w:val="24"/>
      </w:numPr>
      <w:spacing w:after="120"/>
      <w:outlineLvl w:val="1"/>
    </w:pPr>
    <w:rPr>
      <w:b/>
    </w:rPr>
  </w:style>
  <w:style w:type="paragraph" w:styleId="Heading3">
    <w:name w:val="heading 3"/>
    <w:basedOn w:val="Normal"/>
    <w:next w:val="ParaNum"/>
    <w:qFormat/>
    <w:rsid w:val="00425BF8"/>
    <w:pPr>
      <w:keepNext/>
      <w:numPr>
        <w:ilvl w:val="2"/>
        <w:numId w:val="24"/>
      </w:numPr>
      <w:tabs>
        <w:tab w:val="left" w:pos="2160"/>
      </w:tabs>
      <w:spacing w:after="120"/>
      <w:outlineLvl w:val="2"/>
    </w:pPr>
    <w:rPr>
      <w:b/>
    </w:rPr>
  </w:style>
  <w:style w:type="paragraph" w:styleId="Heading4">
    <w:name w:val="heading 4"/>
    <w:basedOn w:val="Normal"/>
    <w:next w:val="ParaNum"/>
    <w:qFormat/>
    <w:rsid w:val="00425BF8"/>
    <w:pPr>
      <w:keepNext/>
      <w:numPr>
        <w:ilvl w:val="3"/>
        <w:numId w:val="24"/>
      </w:numPr>
      <w:tabs>
        <w:tab w:val="left" w:pos="2880"/>
      </w:tabs>
      <w:spacing w:after="120"/>
      <w:outlineLvl w:val="3"/>
    </w:pPr>
    <w:rPr>
      <w:b/>
    </w:rPr>
  </w:style>
  <w:style w:type="paragraph" w:styleId="Heading5">
    <w:name w:val="heading 5"/>
    <w:basedOn w:val="Normal"/>
    <w:next w:val="ParaNum"/>
    <w:qFormat/>
    <w:rsid w:val="00425BF8"/>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425BF8"/>
    <w:pPr>
      <w:numPr>
        <w:ilvl w:val="5"/>
        <w:numId w:val="24"/>
      </w:numPr>
      <w:tabs>
        <w:tab w:val="left" w:pos="4320"/>
      </w:tabs>
      <w:spacing w:after="120"/>
      <w:outlineLvl w:val="5"/>
    </w:pPr>
    <w:rPr>
      <w:b/>
    </w:rPr>
  </w:style>
  <w:style w:type="paragraph" w:styleId="Heading7">
    <w:name w:val="heading 7"/>
    <w:basedOn w:val="Normal"/>
    <w:next w:val="ParaNum"/>
    <w:qFormat/>
    <w:rsid w:val="00425BF8"/>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425BF8"/>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425BF8"/>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5B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BF8"/>
  </w:style>
  <w:style w:type="paragraph" w:styleId="Caption">
    <w:name w:val="caption"/>
    <w:basedOn w:val="Normal"/>
    <w:next w:val="Normal"/>
    <w:qFormat/>
    <w:rsid w:val="00A66149"/>
    <w:pPr>
      <w:spacing w:before="120" w:after="120"/>
    </w:pPr>
    <w:rPr>
      <w:b/>
    </w:rPr>
  </w:style>
  <w:style w:type="paragraph" w:customStyle="1" w:styleId="ParaNum">
    <w:name w:val="ParaNum"/>
    <w:basedOn w:val="Normal"/>
    <w:rsid w:val="00425BF8"/>
    <w:pPr>
      <w:numPr>
        <w:numId w:val="23"/>
      </w:numPr>
      <w:tabs>
        <w:tab w:val="clear" w:pos="1080"/>
        <w:tab w:val="num" w:pos="1440"/>
      </w:tabs>
      <w:spacing w:after="120"/>
    </w:p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425BF8"/>
    <w:pPr>
      <w:spacing w:after="120"/>
    </w:pPr>
  </w:style>
  <w:style w:type="paragraph" w:customStyle="1" w:styleId="Bullet">
    <w:name w:val="Bullet"/>
    <w:basedOn w:val="Normal"/>
    <w:rsid w:val="00425BF8"/>
    <w:pPr>
      <w:tabs>
        <w:tab w:val="left" w:pos="2160"/>
      </w:tabs>
      <w:spacing w:after="220"/>
      <w:ind w:left="2160" w:hanging="720"/>
    </w:pPr>
  </w:style>
  <w:style w:type="paragraph" w:styleId="BlockText">
    <w:name w:val="Block Text"/>
    <w:basedOn w:val="Normal"/>
    <w:rsid w:val="00425BF8"/>
    <w:pPr>
      <w:spacing w:after="240"/>
      <w:ind w:left="1440" w:right="1440"/>
    </w:pPr>
  </w:style>
  <w:style w:type="paragraph" w:customStyle="1" w:styleId="TableFormat">
    <w:name w:val="TableFormat"/>
    <w:basedOn w:val="Bullet"/>
    <w:rsid w:val="00425BF8"/>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25BF8"/>
    <w:rPr>
      <w:rFonts w:ascii="Times New Roman" w:hAnsi="Times New Roman"/>
      <w:dstrike w:val="0"/>
      <w:color w:val="auto"/>
      <w:sz w:val="20"/>
      <w:vertAlign w:val="superscript"/>
    </w:rPr>
  </w:style>
  <w:style w:type="paragraph" w:styleId="Header">
    <w:name w:val="header"/>
    <w:basedOn w:val="Normal"/>
    <w:autoRedefine/>
    <w:rsid w:val="00425BF8"/>
    <w:pPr>
      <w:tabs>
        <w:tab w:val="center" w:pos="4680"/>
        <w:tab w:val="right" w:pos="9360"/>
      </w:tabs>
    </w:pPr>
    <w:rPr>
      <w:b/>
    </w:rPr>
  </w:style>
  <w:style w:type="paragraph" w:styleId="Footer">
    <w:name w:val="footer"/>
    <w:basedOn w:val="Normal"/>
    <w:link w:val="FooterChar"/>
    <w:uiPriority w:val="99"/>
    <w:rsid w:val="00425BF8"/>
    <w:pPr>
      <w:tabs>
        <w:tab w:val="center" w:pos="4320"/>
        <w:tab w:val="right" w:pos="8640"/>
      </w:tabs>
    </w:pPr>
  </w:style>
  <w:style w:type="paragraph" w:styleId="TOC2">
    <w:name w:val="toc 2"/>
    <w:basedOn w:val="Normal"/>
    <w:next w:val="Normal"/>
    <w:semiHidden/>
    <w:rsid w:val="00425BF8"/>
    <w:pPr>
      <w:tabs>
        <w:tab w:val="left" w:pos="720"/>
        <w:tab w:val="right" w:leader="dot" w:pos="9360"/>
      </w:tabs>
      <w:suppressAutoHyphens/>
      <w:ind w:left="720" w:right="720" w:hanging="360"/>
    </w:pPr>
    <w:rPr>
      <w:noProof/>
    </w:rPr>
  </w:style>
  <w:style w:type="paragraph" w:customStyle="1" w:styleId="NumberedList">
    <w:name w:val="Numbered List"/>
    <w:basedOn w:val="Normal"/>
    <w:rsid w:val="00A66149"/>
    <w:pPr>
      <w:numPr>
        <w:numId w:val="21"/>
      </w:numPr>
      <w:tabs>
        <w:tab w:val="clear" w:pos="1080"/>
      </w:tabs>
      <w:spacing w:after="220"/>
      <w:ind w:firstLine="0"/>
    </w:pPr>
  </w:style>
  <w:style w:type="paragraph" w:styleId="TOC1">
    <w:name w:val="toc 1"/>
    <w:basedOn w:val="Normal"/>
    <w:next w:val="Normal"/>
    <w:semiHidden/>
    <w:rsid w:val="00425BF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25B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5B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5B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5B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5B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5B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5BF8"/>
    <w:pPr>
      <w:tabs>
        <w:tab w:val="left" w:pos="3240"/>
        <w:tab w:val="right" w:leader="dot" w:pos="9360"/>
      </w:tabs>
      <w:suppressAutoHyphens/>
      <w:ind w:left="3240" w:hanging="360"/>
    </w:pPr>
    <w:rPr>
      <w:noProof/>
    </w:rPr>
  </w:style>
  <w:style w:type="character" w:styleId="PageNumber">
    <w:name w:val="page number"/>
    <w:basedOn w:val="DefaultParagraphFont"/>
    <w:rsid w:val="00425BF8"/>
  </w:style>
  <w:style w:type="paragraph" w:styleId="Title">
    <w:name w:val="Title"/>
    <w:basedOn w:val="Normal"/>
    <w:qFormat/>
    <w:rsid w:val="00A66149"/>
    <w:pPr>
      <w:jc w:val="center"/>
    </w:pPr>
    <w:rPr>
      <w:b/>
    </w:rPr>
  </w:style>
  <w:style w:type="paragraph" w:styleId="EndnoteText">
    <w:name w:val="endnote text"/>
    <w:basedOn w:val="Normal"/>
    <w:link w:val="EndnoteTextChar"/>
    <w:rsid w:val="00425BF8"/>
    <w:rPr>
      <w:sz w:val="20"/>
    </w:rPr>
  </w:style>
  <w:style w:type="character" w:customStyle="1" w:styleId="EndnoteTextChar">
    <w:name w:val="Endnote Text Char"/>
    <w:basedOn w:val="DefaultParagraphFont"/>
    <w:link w:val="EndnoteText"/>
    <w:rsid w:val="00A66149"/>
    <w:rPr>
      <w:snapToGrid w:val="0"/>
      <w:kern w:val="28"/>
    </w:rPr>
  </w:style>
  <w:style w:type="character" w:styleId="EndnoteReference">
    <w:name w:val="endnote reference"/>
    <w:rsid w:val="00425BF8"/>
    <w:rPr>
      <w:vertAlign w:val="superscript"/>
    </w:rPr>
  </w:style>
  <w:style w:type="paragraph" w:styleId="TOAHeading">
    <w:name w:val="toa heading"/>
    <w:basedOn w:val="Normal"/>
    <w:next w:val="Normal"/>
    <w:rsid w:val="00425BF8"/>
    <w:pPr>
      <w:tabs>
        <w:tab w:val="right" w:pos="9360"/>
      </w:tabs>
      <w:suppressAutoHyphens/>
    </w:pPr>
  </w:style>
  <w:style w:type="character" w:customStyle="1" w:styleId="EquationCaption">
    <w:name w:val="_Equation Caption"/>
    <w:rsid w:val="00425BF8"/>
  </w:style>
  <w:style w:type="paragraph" w:customStyle="1" w:styleId="Paratitle">
    <w:name w:val="Para title"/>
    <w:basedOn w:val="Normal"/>
    <w:rsid w:val="00425BF8"/>
    <w:pPr>
      <w:tabs>
        <w:tab w:val="center" w:pos="9270"/>
      </w:tabs>
      <w:spacing w:after="240"/>
    </w:pPr>
    <w:rPr>
      <w:spacing w:val="-2"/>
    </w:rPr>
  </w:style>
  <w:style w:type="paragraph" w:customStyle="1" w:styleId="TOCTitle">
    <w:name w:val="TOC Title"/>
    <w:basedOn w:val="Normal"/>
    <w:rsid w:val="00425B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5BF8"/>
    <w:pPr>
      <w:jc w:val="center"/>
    </w:pPr>
    <w:rPr>
      <w:rFonts w:ascii="Times New Roman Bold" w:hAnsi="Times New Roman Bold"/>
      <w:b/>
      <w:bCs/>
      <w:caps/>
      <w:szCs w:val="22"/>
    </w:rPr>
  </w:style>
  <w:style w:type="character" w:styleId="Hyperlink">
    <w:name w:val="Hyperlink"/>
    <w:rsid w:val="00425BF8"/>
    <w:rPr>
      <w:color w:val="0000FF"/>
      <w:u w:val="single"/>
    </w:rPr>
  </w:style>
  <w:style w:type="character" w:styleId="CommentReference">
    <w:name w:val="annotation reference"/>
    <w:basedOn w:val="DefaultParagraphFont"/>
    <w:uiPriority w:val="99"/>
    <w:unhideWhenUsed/>
    <w:rsid w:val="00745A2D"/>
    <w:rPr>
      <w:sz w:val="16"/>
      <w:szCs w:val="16"/>
    </w:rPr>
  </w:style>
  <w:style w:type="paragraph" w:styleId="CommentText">
    <w:name w:val="annotation text"/>
    <w:basedOn w:val="Normal"/>
    <w:link w:val="CommentTextChar"/>
    <w:uiPriority w:val="99"/>
    <w:unhideWhenUsed/>
    <w:rsid w:val="00745A2D"/>
    <w:rPr>
      <w:sz w:val="20"/>
    </w:rPr>
  </w:style>
  <w:style w:type="character" w:customStyle="1" w:styleId="CommentTextChar">
    <w:name w:val="Comment Text Char"/>
    <w:basedOn w:val="DefaultParagraphFont"/>
    <w:link w:val="CommentText"/>
    <w:uiPriority w:val="99"/>
    <w:rsid w:val="00745A2D"/>
    <w:rPr>
      <w:snapToGrid w:val="0"/>
      <w:kern w:val="28"/>
    </w:rPr>
  </w:style>
  <w:style w:type="paragraph" w:styleId="CommentSubject">
    <w:name w:val="annotation subject"/>
    <w:basedOn w:val="CommentText"/>
    <w:next w:val="CommentText"/>
    <w:link w:val="CommentSubjectChar"/>
    <w:semiHidden/>
    <w:unhideWhenUsed/>
    <w:rsid w:val="00745A2D"/>
    <w:rPr>
      <w:b/>
      <w:bCs/>
    </w:rPr>
  </w:style>
  <w:style w:type="character" w:customStyle="1" w:styleId="CommentSubjectChar">
    <w:name w:val="Comment Subject Char"/>
    <w:basedOn w:val="CommentTextChar"/>
    <w:link w:val="CommentSubject"/>
    <w:semiHidden/>
    <w:rsid w:val="00745A2D"/>
    <w:rPr>
      <w:b/>
      <w:bCs/>
      <w:snapToGrid w:val="0"/>
      <w:kern w:val="28"/>
    </w:rPr>
  </w:style>
  <w:style w:type="paragraph" w:styleId="BalloonText">
    <w:name w:val="Balloon Text"/>
    <w:basedOn w:val="Normal"/>
    <w:link w:val="BalloonTextChar"/>
    <w:rsid w:val="00745A2D"/>
    <w:rPr>
      <w:rFonts w:ascii="Segoe UI" w:hAnsi="Segoe UI" w:cs="Segoe UI"/>
      <w:sz w:val="18"/>
      <w:szCs w:val="18"/>
    </w:rPr>
  </w:style>
  <w:style w:type="character" w:customStyle="1" w:styleId="BalloonTextChar">
    <w:name w:val="Balloon Text Char"/>
    <w:basedOn w:val="DefaultParagraphFont"/>
    <w:link w:val="BalloonText"/>
    <w:rsid w:val="00745A2D"/>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745A2D"/>
    <w:rPr>
      <w:color w:val="808080"/>
      <w:shd w:val="clear" w:color="auto" w:fill="E6E6E6"/>
    </w:rPr>
  </w:style>
  <w:style w:type="paragraph" w:styleId="ListParagraph">
    <w:name w:val="List Paragraph"/>
    <w:basedOn w:val="Normal"/>
    <w:uiPriority w:val="34"/>
    <w:qFormat/>
    <w:rsid w:val="00B978E5"/>
    <w:pPr>
      <w:ind w:left="720"/>
      <w:contextualSpacing/>
    </w:pPr>
  </w:style>
  <w:style w:type="paragraph" w:styleId="Revision">
    <w:name w:val="Revision"/>
    <w:hidden/>
    <w:uiPriority w:val="99"/>
    <w:semiHidden/>
    <w:rsid w:val="007A461B"/>
    <w:rPr>
      <w:snapToGrid w:val="0"/>
      <w:kern w:val="28"/>
      <w:sz w:val="22"/>
    </w:rPr>
  </w:style>
  <w:style w:type="character" w:customStyle="1" w:styleId="FooterChar">
    <w:name w:val="Footer Char"/>
    <w:link w:val="Footer"/>
    <w:uiPriority w:val="99"/>
    <w:rsid w:val="00425BF8"/>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7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