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7A53F3" w:rsidP="00025A86" w14:paraId="797DF8C1" w14:textId="31B5FC17">
      <w:pPr>
        <w:pStyle w:val="TOAHeading"/>
        <w:autoSpaceDE w:val="0"/>
        <w:autoSpaceDN w:val="0"/>
        <w:jc w:val="right"/>
        <w:rPr>
          <w:rFonts w:ascii="Times New Roman" w:eastAsia="Times New Roman" w:hAnsi="Times New Roman"/>
        </w:rPr>
      </w:pPr>
      <w:bookmarkStart w:id="0" w:name="_Hlk39571163"/>
      <w:r>
        <w:rPr>
          <w:rFonts w:ascii="Times New Roman" w:eastAsia="Times New Roman" w:hAnsi="Times New Roman"/>
        </w:rPr>
        <w:t>June 2</w:t>
      </w:r>
      <w:r w:rsidR="004D6286">
        <w:rPr>
          <w:rFonts w:ascii="Times New Roman" w:eastAsia="Times New Roman" w:hAnsi="Times New Roman"/>
        </w:rPr>
        <w:t>, 2020</w:t>
      </w:r>
    </w:p>
    <w:p w:rsidR="003D2DA9" w14:paraId="5B8391B3" w14:textId="77777777">
      <w:pPr>
        <w:pStyle w:val="NewHeading"/>
        <w:autoSpaceDE w:val="0"/>
        <w:autoSpaceDN w:val="0"/>
        <w:rPr>
          <w:rFonts w:ascii="Times New Roman" w:hAnsi="Times New Roman"/>
        </w:rPr>
      </w:pPr>
    </w:p>
    <w:p w:rsidR="007A53F3" w14:paraId="1DDCEEDE" w14:textId="7714295B">
      <w:pPr>
        <w:pStyle w:val="NewHeading"/>
        <w:autoSpaceDE w:val="0"/>
        <w:autoSpaceDN w:val="0"/>
        <w:rPr>
          <w:rFonts w:ascii="Times New Roman" w:hAnsi="Times New Roman"/>
        </w:rPr>
      </w:pPr>
      <w:r>
        <w:rPr>
          <w:rFonts w:ascii="Times New Roman" w:hAnsi="Times New Roman"/>
        </w:rPr>
        <w:t>FCC TO HOLD OPEN COMMISSION MEETING</w:t>
      </w:r>
    </w:p>
    <w:p w:rsidR="007A53F3" w14:paraId="6D2C1A05" w14:textId="46A8154B">
      <w:pPr>
        <w:pStyle w:val="NewHeading"/>
        <w:autoSpaceDE w:val="0"/>
        <w:autoSpaceDN w:val="0"/>
        <w:rPr>
          <w:rFonts w:ascii="Times New Roman" w:hAnsi="Times New Roman"/>
        </w:rPr>
      </w:pPr>
      <w:r>
        <w:rPr>
          <w:rFonts w:ascii="Times New Roman" w:hAnsi="Times New Roman"/>
        </w:rPr>
        <w:t>TUESDAY</w:t>
      </w:r>
      <w:r w:rsidR="004D6286">
        <w:rPr>
          <w:rFonts w:ascii="Times New Roman" w:hAnsi="Times New Roman"/>
        </w:rPr>
        <w:t xml:space="preserve">, </w:t>
      </w:r>
      <w:r>
        <w:rPr>
          <w:rFonts w:ascii="Times New Roman" w:hAnsi="Times New Roman"/>
        </w:rPr>
        <w:t xml:space="preserve">JUNE </w:t>
      </w:r>
      <w:r w:rsidR="006F17FC">
        <w:rPr>
          <w:rFonts w:ascii="Times New Roman" w:hAnsi="Times New Roman"/>
        </w:rPr>
        <w:t>9</w:t>
      </w:r>
      <w:r w:rsidR="004D6286">
        <w:rPr>
          <w:rFonts w:ascii="Times New Roman" w:hAnsi="Times New Roman"/>
        </w:rPr>
        <w:t>, 2020</w:t>
      </w:r>
    </w:p>
    <w:p w:rsidR="007A53F3" w14:paraId="4FEF21AF" w14:textId="77777777">
      <w:pPr>
        <w:rPr>
          <w:rFonts w:ascii="Times New Roman" w:eastAsia="Times New Roman" w:hAnsi="Times New Roman"/>
        </w:rPr>
      </w:pPr>
    </w:p>
    <w:p w:rsidR="007A53F3" w:rsidP="00B852D0" w14:paraId="23EC17C2" w14:textId="4274B882">
      <w:pPr>
        <w:pStyle w:val="BodyText"/>
        <w:autoSpaceDE w:val="0"/>
        <w:autoSpaceDN w:val="0"/>
        <w:jc w:val="left"/>
        <w:rPr>
          <w:sz w:val="24"/>
          <w:szCs w:val="24"/>
        </w:rPr>
      </w:pPr>
      <w:r>
        <w:rPr>
          <w:sz w:val="24"/>
          <w:szCs w:val="24"/>
        </w:rPr>
        <w:t>The Federal Communications Commission will hold an Open Meeting on</w:t>
      </w:r>
      <w:r w:rsidR="00661AFE">
        <w:rPr>
          <w:sz w:val="24"/>
          <w:szCs w:val="24"/>
        </w:rPr>
        <w:t xml:space="preserve"> </w:t>
      </w:r>
      <w:r w:rsidR="00A8062C">
        <w:rPr>
          <w:sz w:val="24"/>
          <w:szCs w:val="24"/>
        </w:rPr>
        <w:t>Tuesday</w:t>
      </w:r>
      <w:r w:rsidR="00661AFE">
        <w:rPr>
          <w:sz w:val="24"/>
          <w:szCs w:val="24"/>
        </w:rPr>
        <w:t xml:space="preserve">, </w:t>
      </w:r>
      <w:r w:rsidR="00A8062C">
        <w:rPr>
          <w:sz w:val="24"/>
          <w:szCs w:val="24"/>
        </w:rPr>
        <w:t>June</w:t>
      </w:r>
      <w:r w:rsidR="00661AFE">
        <w:rPr>
          <w:sz w:val="24"/>
          <w:szCs w:val="24"/>
        </w:rPr>
        <w:t xml:space="preserve"> </w:t>
      </w:r>
      <w:r w:rsidR="006F17FC">
        <w:rPr>
          <w:sz w:val="24"/>
          <w:szCs w:val="24"/>
        </w:rPr>
        <w:t>9</w:t>
      </w:r>
      <w:bookmarkStart w:id="1" w:name="_GoBack"/>
      <w:bookmarkEnd w:id="1"/>
      <w:r>
        <w:rPr>
          <w:sz w:val="24"/>
          <w:szCs w:val="24"/>
        </w:rPr>
        <w:t xml:space="preserve">, 2020, which is scheduled to commence at 10:30 a.m.  Due to the current COVID-19 pandemic and related agency telework and headquarters access policies, this meeting will be in a wholly electronic format and will be open to the public on the Internet via live feed from the FCC’s web page at </w:t>
      </w:r>
      <w:hyperlink r:id="rId4" w:history="1">
        <w:r>
          <w:rPr>
            <w:rStyle w:val="Hyperlink"/>
            <w:sz w:val="24"/>
            <w:szCs w:val="24"/>
          </w:rPr>
          <w:t>www.fcc.gov/live</w:t>
        </w:r>
      </w:hyperlink>
      <w:r>
        <w:rPr>
          <w:sz w:val="24"/>
          <w:szCs w:val="24"/>
        </w:rPr>
        <w:t xml:space="preserve"> and on the FCC’s YouTube channel. </w:t>
      </w:r>
      <w:bookmarkStart w:id="2" w:name="_Hlk35871337"/>
      <w:bookmarkEnd w:id="2"/>
    </w:p>
    <w:p w:rsidR="007A53F3" w14:paraId="33583782" w14:textId="77777777">
      <w:pPr>
        <w:pStyle w:val="BodyText"/>
        <w:autoSpaceDE w:val="0"/>
        <w:autoSpaceDN w:val="0"/>
        <w:rPr>
          <w:sz w:val="24"/>
          <w:szCs w:val="24"/>
        </w:rPr>
      </w:pPr>
    </w:p>
    <w:tbl>
      <w:tblPr>
        <w:tblpPr w:leftFromText="180" w:rightFromText="180" w:vertAnchor="text" w:tblpXSpec="right" w:tblpY="1"/>
        <w:tblOverlap w:val="never"/>
        <w:tblW w:w="9540" w:type="dxa"/>
        <w:tblLayout w:type="fixed"/>
        <w:tblCellMar>
          <w:left w:w="120" w:type="dxa"/>
          <w:right w:w="120" w:type="dxa"/>
        </w:tblCellMar>
        <w:tblLook w:val="0000"/>
      </w:tblPr>
      <w:tblGrid>
        <w:gridCol w:w="1440"/>
        <w:gridCol w:w="2880"/>
        <w:gridCol w:w="5220"/>
      </w:tblGrid>
      <w:tr w14:paraId="44269BF8" w14:textId="77777777">
        <w:tblPrEx>
          <w:tblW w:w="9540" w:type="dxa"/>
          <w:tblLayout w:type="fixed"/>
          <w:tblCellMar>
            <w:left w:w="120" w:type="dxa"/>
            <w:right w:w="120" w:type="dxa"/>
          </w:tblCellMar>
          <w:tblLook w:val="0000"/>
        </w:tblPrEx>
        <w:tc>
          <w:tcPr>
            <w:tcW w:w="1440" w:type="dxa"/>
          </w:tcPr>
          <w:p w:rsidR="007A53F3" w14:paraId="5A563B62" w14:textId="77777777">
            <w:pPr>
              <w:spacing w:before="90" w:after="54"/>
              <w:jc w:val="center"/>
              <w:rPr>
                <w:rFonts w:ascii="Times New Roman" w:eastAsia="Times New Roman" w:hAnsi="Times New Roman"/>
                <w:b/>
                <w:u w:val="single"/>
              </w:rPr>
            </w:pPr>
            <w:r>
              <w:rPr>
                <w:rFonts w:ascii="Times New Roman" w:eastAsia="Times New Roman" w:hAnsi="Times New Roman"/>
                <w:b/>
                <w:u w:val="single"/>
              </w:rPr>
              <w:t>ITEM NO.</w:t>
            </w:r>
          </w:p>
        </w:tc>
        <w:tc>
          <w:tcPr>
            <w:tcW w:w="2880" w:type="dxa"/>
          </w:tcPr>
          <w:p w:rsidR="007A53F3" w14:paraId="3931118B" w14:textId="77777777">
            <w:pPr>
              <w:spacing w:before="90" w:after="54"/>
              <w:jc w:val="center"/>
              <w:rPr>
                <w:rFonts w:ascii="Times New Roman" w:eastAsia="Times New Roman" w:hAnsi="Times New Roman"/>
                <w:b/>
                <w:u w:val="single"/>
              </w:rPr>
            </w:pPr>
            <w:r>
              <w:rPr>
                <w:rFonts w:ascii="Times New Roman" w:eastAsia="Times New Roman" w:hAnsi="Times New Roman"/>
                <w:b/>
                <w:u w:val="single"/>
              </w:rPr>
              <w:t>BUREAU</w:t>
            </w:r>
          </w:p>
        </w:tc>
        <w:tc>
          <w:tcPr>
            <w:tcW w:w="5220" w:type="dxa"/>
          </w:tcPr>
          <w:p w:rsidR="007A53F3" w14:paraId="2A7ACD66" w14:textId="77777777">
            <w:pPr>
              <w:spacing w:before="90" w:after="54"/>
              <w:jc w:val="center"/>
              <w:rPr>
                <w:rFonts w:ascii="Times New Roman" w:eastAsia="Times New Roman" w:hAnsi="Times New Roman"/>
                <w:b/>
                <w:u w:val="single"/>
              </w:rPr>
            </w:pPr>
            <w:r>
              <w:rPr>
                <w:rFonts w:ascii="Times New Roman" w:eastAsia="Times New Roman" w:hAnsi="Times New Roman"/>
                <w:b/>
                <w:u w:val="single"/>
              </w:rPr>
              <w:t>SUBJECT</w:t>
            </w:r>
          </w:p>
        </w:tc>
      </w:tr>
      <w:tr w14:paraId="275011C4" w14:textId="77777777">
        <w:tblPrEx>
          <w:tblW w:w="9540" w:type="dxa"/>
          <w:tblLayout w:type="fixed"/>
          <w:tblCellMar>
            <w:left w:w="120" w:type="dxa"/>
            <w:right w:w="120" w:type="dxa"/>
          </w:tblCellMar>
          <w:tblLook w:val="0000"/>
        </w:tblPrEx>
        <w:tc>
          <w:tcPr>
            <w:tcW w:w="1440" w:type="dxa"/>
          </w:tcPr>
          <w:p w:rsidR="007A53F3" w14:paraId="183A51BD" w14:textId="77777777">
            <w:pPr>
              <w:spacing w:before="90" w:after="54"/>
              <w:jc w:val="center"/>
              <w:rPr>
                <w:rFonts w:ascii="Times New Roman" w:eastAsia="Times New Roman" w:hAnsi="Times New Roman"/>
                <w:b/>
              </w:rPr>
            </w:pPr>
            <w:r>
              <w:rPr>
                <w:rFonts w:ascii="Times New Roman" w:eastAsia="Times New Roman" w:hAnsi="Times New Roman"/>
                <w:b/>
              </w:rPr>
              <w:t>1</w:t>
            </w:r>
          </w:p>
        </w:tc>
        <w:tc>
          <w:tcPr>
            <w:tcW w:w="2880" w:type="dxa"/>
          </w:tcPr>
          <w:p w:rsidR="007A53F3" w14:paraId="105E6E92" w14:textId="793A0D65">
            <w:pPr>
              <w:autoSpaceDE/>
              <w:autoSpaceDN/>
              <w:spacing w:before="90" w:after="54"/>
              <w:jc w:val="center"/>
              <w:rPr>
                <w:rFonts w:ascii="Times New Roman" w:eastAsia="Times New Roman" w:hAnsi="Times New Roman"/>
                <w:b/>
              </w:rPr>
            </w:pPr>
            <w:r>
              <w:rPr>
                <w:rFonts w:ascii="Times New Roman" w:eastAsia="Times New Roman" w:hAnsi="Times New Roman"/>
                <w:b/>
              </w:rPr>
              <w:t>WIREL</w:t>
            </w:r>
            <w:r w:rsidR="00CA1732">
              <w:rPr>
                <w:rFonts w:ascii="Times New Roman" w:eastAsia="Times New Roman" w:hAnsi="Times New Roman"/>
                <w:b/>
              </w:rPr>
              <w:t>INE COMPETITION</w:t>
            </w:r>
            <w:r w:rsidR="00F45BCD">
              <w:rPr>
                <w:rFonts w:ascii="Times New Roman" w:eastAsia="Times New Roman" w:hAnsi="Times New Roman"/>
                <w:b/>
              </w:rPr>
              <w:t xml:space="preserve"> &amp; ECONOMICS &amp; ANALYTICS</w:t>
            </w:r>
          </w:p>
        </w:tc>
        <w:tc>
          <w:tcPr>
            <w:tcW w:w="5220" w:type="dxa"/>
          </w:tcPr>
          <w:p w:rsidR="00A8062C" w:rsidRPr="00CA1732" w:rsidP="00CA1732" w14:paraId="67ABF90F" w14:textId="1CEA7E89">
            <w:pPr>
              <w:tabs>
                <w:tab w:val="center" w:pos="4680"/>
              </w:tabs>
              <w:suppressAutoHyphens/>
              <w:rPr>
                <w:rFonts w:ascii="Times New Roman" w:eastAsia="Times New Roman" w:hAnsi="Times New Roman"/>
                <w:spacing w:val="-2"/>
                <w:kern w:val="28"/>
              </w:rPr>
            </w:pPr>
            <w:bookmarkStart w:id="3" w:name="OLE_LINK3"/>
            <w:r>
              <w:rPr>
                <w:rFonts w:ascii="Times New Roman" w:eastAsia="Times New Roman" w:hAnsi="Times New Roman"/>
                <w:b/>
              </w:rPr>
              <w:t>TITL</w:t>
            </w:r>
            <w:bookmarkStart w:id="4" w:name="OLE_LINK2"/>
            <w:r>
              <w:rPr>
                <w:rFonts w:ascii="Times New Roman" w:eastAsia="Times New Roman" w:hAnsi="Times New Roman"/>
                <w:b/>
              </w:rPr>
              <w:t>E:</w:t>
            </w:r>
            <w:bookmarkEnd w:id="4"/>
            <w:r>
              <w:rPr>
                <w:rFonts w:ascii="Times New Roman" w:eastAsia="Times New Roman" w:hAnsi="Times New Roman"/>
                <w:b/>
              </w:rPr>
              <w:t xml:space="preserve">  </w:t>
            </w:r>
            <w:r w:rsidRPr="00A8062C">
              <w:rPr>
                <w:rFonts w:ascii="Times New Roman Bold" w:eastAsia="Times New Roman" w:hAnsi="Times New Roman Bold"/>
                <w:b/>
                <w:caps/>
                <w:snapToGrid w:val="0"/>
                <w:kern w:val="28"/>
                <w:sz w:val="22"/>
                <w:szCs w:val="22"/>
              </w:rPr>
              <w:t xml:space="preserve"> </w:t>
            </w:r>
            <w:r w:rsidRPr="00A8062C">
              <w:rPr>
                <w:b/>
                <w:bCs/>
              </w:rPr>
              <w:t xml:space="preserve"> </w:t>
            </w:r>
            <w:r w:rsidRPr="00CA1732">
              <w:rPr>
                <w:rFonts w:ascii="Times New Roman" w:eastAsia="Times New Roman" w:hAnsi="Times New Roman"/>
                <w:spacing w:val="-2"/>
                <w:kern w:val="28"/>
              </w:rPr>
              <w:t>Rural Digital Opportunity Fund Final Auction Procedures</w:t>
            </w:r>
            <w:r w:rsidRPr="00CA1732" w:rsidR="00CA1732">
              <w:rPr>
                <w:rFonts w:ascii="Times New Roman" w:eastAsia="Times New Roman" w:hAnsi="Times New Roman"/>
                <w:spacing w:val="-2"/>
                <w:kern w:val="28"/>
              </w:rPr>
              <w:t xml:space="preserve"> (AU Docket No. 20-34; WC Docket No. 19-126; WC Docket No. 10-90)</w:t>
            </w:r>
          </w:p>
          <w:p w:rsidR="00A31569" w:rsidP="00CA1732" w14:paraId="1751902C" w14:textId="42848C61">
            <w:pPr>
              <w:autoSpaceDE/>
              <w:spacing w:before="90" w:after="54"/>
              <w:rPr>
                <w:rFonts w:ascii="Times New Roman" w:eastAsia="Times New Roman" w:hAnsi="Times New Roman"/>
              </w:rPr>
            </w:pPr>
            <w:r>
              <w:rPr>
                <w:rFonts w:ascii="Times New Roman" w:eastAsia="Times New Roman" w:hAnsi="Times New Roman"/>
                <w:b/>
              </w:rPr>
              <w:t xml:space="preserve">SUMMARY:  </w:t>
            </w:r>
            <w:bookmarkEnd w:id="3"/>
            <w:r w:rsidRPr="00CA1732" w:rsidR="00CA1732">
              <w:rPr>
                <w:rFonts w:ascii="Times New Roman" w:eastAsia="Times New Roman" w:hAnsi="Times New Roman"/>
              </w:rPr>
              <w:t xml:space="preserve">The Commission will consider a Public Notice that would establish procedures for the Phase I auction of the Rural Digital Opportunity Fund (Auction 904), awarding up to $16 billion in support over 10 years for deployment of broadband in unserved areas. </w:t>
            </w:r>
          </w:p>
          <w:p w:rsidR="00CA1732" w:rsidP="00CA1732" w14:paraId="32A2B6EB" w14:textId="5167D48A">
            <w:pPr>
              <w:autoSpaceDE/>
              <w:spacing w:before="90" w:after="54"/>
              <w:rPr>
                <w:rFonts w:ascii="Times New Roman" w:eastAsia="Times New Roman" w:hAnsi="Times New Roman"/>
              </w:rPr>
            </w:pPr>
          </w:p>
        </w:tc>
      </w:tr>
      <w:tr w14:paraId="5805400E" w14:textId="77777777">
        <w:tblPrEx>
          <w:tblW w:w="9540" w:type="dxa"/>
          <w:tblLayout w:type="fixed"/>
          <w:tblCellMar>
            <w:left w:w="120" w:type="dxa"/>
            <w:right w:w="120" w:type="dxa"/>
          </w:tblCellMar>
          <w:tblLook w:val="0000"/>
        </w:tblPrEx>
        <w:tc>
          <w:tcPr>
            <w:tcW w:w="1440" w:type="dxa"/>
          </w:tcPr>
          <w:p w:rsidR="007A53F3" w14:paraId="45C64F1D" w14:textId="77777777">
            <w:pPr>
              <w:spacing w:before="90" w:after="54"/>
              <w:jc w:val="center"/>
              <w:rPr>
                <w:rFonts w:ascii="Times New Roman" w:eastAsia="Times New Roman" w:hAnsi="Times New Roman"/>
                <w:b/>
              </w:rPr>
            </w:pPr>
            <w:r>
              <w:rPr>
                <w:rFonts w:ascii="Times New Roman" w:eastAsia="Times New Roman" w:hAnsi="Times New Roman"/>
                <w:b/>
              </w:rPr>
              <w:t>2</w:t>
            </w:r>
          </w:p>
        </w:tc>
        <w:tc>
          <w:tcPr>
            <w:tcW w:w="2880" w:type="dxa"/>
          </w:tcPr>
          <w:p w:rsidR="007A53F3" w14:paraId="63D5ED3D" w14:textId="272555D1">
            <w:pPr>
              <w:autoSpaceDE/>
              <w:autoSpaceDN/>
              <w:spacing w:before="90" w:after="54"/>
              <w:jc w:val="center"/>
              <w:rPr>
                <w:rFonts w:ascii="Times New Roman" w:eastAsia="Times New Roman" w:hAnsi="Times New Roman"/>
                <w:b/>
              </w:rPr>
            </w:pPr>
            <w:r>
              <w:rPr>
                <w:rFonts w:ascii="Times New Roman" w:eastAsia="Times New Roman" w:hAnsi="Times New Roman"/>
                <w:b/>
              </w:rPr>
              <w:t>WIRELESS</w:t>
            </w:r>
            <w:r w:rsidR="005F4DB7">
              <w:rPr>
                <w:rFonts w:ascii="Times New Roman" w:eastAsia="Times New Roman" w:hAnsi="Times New Roman"/>
                <w:b/>
              </w:rPr>
              <w:t xml:space="preserve"> TELE-COMMUNICATION</w:t>
            </w:r>
            <w:r w:rsidR="00A31569">
              <w:rPr>
                <w:rFonts w:ascii="Times New Roman" w:eastAsia="Times New Roman" w:hAnsi="Times New Roman"/>
                <w:b/>
              </w:rPr>
              <w:t xml:space="preserve"> </w:t>
            </w:r>
          </w:p>
          <w:p w:rsidR="007A53F3" w14:paraId="20FB37F8" w14:textId="77777777">
            <w:pPr>
              <w:autoSpaceDE/>
              <w:autoSpaceDN/>
              <w:spacing w:before="90" w:after="54"/>
              <w:jc w:val="center"/>
              <w:rPr>
                <w:rFonts w:ascii="Times New Roman" w:eastAsia="Times New Roman" w:hAnsi="Times New Roman"/>
                <w:b/>
              </w:rPr>
            </w:pPr>
          </w:p>
        </w:tc>
        <w:tc>
          <w:tcPr>
            <w:tcW w:w="5220" w:type="dxa"/>
          </w:tcPr>
          <w:p w:rsidR="00AE3C25" w14:paraId="3FB6CDF1" w14:textId="15A53CFA">
            <w:pPr>
              <w:autoSpaceDE/>
              <w:spacing w:before="90" w:after="54"/>
              <w:jc w:val="both"/>
              <w:rPr>
                <w:rFonts w:ascii="Times New Roman" w:eastAsia="Times New Roman" w:hAnsi="Times New Roman"/>
                <w:b/>
                <w:bCs/>
                <w:snapToGrid w:val="0"/>
                <w:spacing w:val="-2"/>
                <w:kern w:val="28"/>
              </w:rPr>
            </w:pPr>
            <w:r>
              <w:rPr>
                <w:rFonts w:ascii="Times New Roman" w:eastAsia="Times New Roman" w:hAnsi="Times New Roman"/>
                <w:b/>
              </w:rPr>
              <w:t xml:space="preserve">TITLE:  </w:t>
            </w:r>
            <w:r>
              <w:rPr>
                <w:rFonts w:ascii="Times New Roman" w:eastAsia="Times New Roman" w:hAnsi="Times New Roman"/>
                <w:spacing w:val="-2"/>
                <w:sz w:val="22"/>
                <w:szCs w:val="22"/>
              </w:rPr>
              <w:t xml:space="preserve"> </w:t>
            </w:r>
            <w:r w:rsidRPr="005F4DB7" w:rsidR="005F4DB7">
              <w:rPr>
                <w:b/>
                <w:bCs/>
              </w:rPr>
              <w:t xml:space="preserve"> </w:t>
            </w:r>
            <w:r w:rsidRPr="00AE3C25" w:rsidR="005F4DB7">
              <w:rPr>
                <w:rFonts w:ascii="Times New Roman" w:eastAsia="Times New Roman" w:hAnsi="Times New Roman"/>
                <w:snapToGrid w:val="0"/>
                <w:spacing w:val="-2"/>
                <w:kern w:val="28"/>
              </w:rPr>
              <w:t>Modernizing and Expanding Access to the 70/80/90 GHz Bands</w:t>
            </w:r>
            <w:r>
              <w:rPr>
                <w:rFonts w:ascii="Times New Roman" w:eastAsia="Times New Roman" w:hAnsi="Times New Roman"/>
                <w:b/>
                <w:bCs/>
                <w:snapToGrid w:val="0"/>
                <w:spacing w:val="-2"/>
                <w:kern w:val="28"/>
              </w:rPr>
              <w:t xml:space="preserve"> </w:t>
            </w:r>
            <w:r w:rsidRPr="00C9155B">
              <w:rPr>
                <w:rFonts w:ascii="Times New Roman" w:eastAsia="Times New Roman" w:hAnsi="Times New Roman"/>
                <w:bCs/>
              </w:rPr>
              <w:t>(WT Docket Nos. 20-133, 10-153, 15-244; RM-11824, RM-11825)</w:t>
            </w:r>
          </w:p>
          <w:p w:rsidR="00AE3C25" w:rsidRPr="002E4C5E" w:rsidP="00911E6F" w14:paraId="453687D1" w14:textId="0B70D2FB">
            <w:pPr>
              <w:autoSpaceDE/>
              <w:spacing w:before="90" w:after="54"/>
              <w:rPr>
                <w:rFonts w:ascii="Times New Roman" w:eastAsia="Times New Roman" w:hAnsi="Times New Roman"/>
                <w:bCs/>
              </w:rPr>
            </w:pPr>
            <w:r>
              <w:rPr>
                <w:rFonts w:ascii="Times New Roman" w:eastAsia="Times New Roman" w:hAnsi="Times New Roman"/>
                <w:b/>
              </w:rPr>
              <w:t xml:space="preserve">SUMMARY:  </w:t>
            </w:r>
            <w:r w:rsidRPr="00C9155B" w:rsidR="00C9155B">
              <w:rPr>
                <w:rFonts w:ascii="Times New Roman" w:eastAsia="Times New Roman" w:hAnsi="Times New Roman"/>
                <w:bCs/>
              </w:rPr>
              <w:t>The Commission will consider a Notice of Proposed Rulemaking and Order that would explore innovative new uses of the 71–76 GHz, 81–86 GHz, 92–94 GHz, and 94.1–95 GHz bands, including potential rule changes to allow for the provision of wireless backhaul for 5G and the deployment of broadband services to aircraft and ships.</w:t>
            </w:r>
          </w:p>
        </w:tc>
      </w:tr>
      <w:tr w14:paraId="42B5B48A" w14:textId="77777777">
        <w:tblPrEx>
          <w:tblW w:w="9540" w:type="dxa"/>
          <w:tblLayout w:type="fixed"/>
          <w:tblCellMar>
            <w:left w:w="120" w:type="dxa"/>
            <w:right w:w="120" w:type="dxa"/>
          </w:tblCellMar>
          <w:tblLook w:val="0000"/>
        </w:tblPrEx>
        <w:tc>
          <w:tcPr>
            <w:tcW w:w="1440" w:type="dxa"/>
          </w:tcPr>
          <w:p w:rsidR="007A53F3" w14:paraId="5C773ED6" w14:textId="77777777">
            <w:pPr>
              <w:spacing w:before="90" w:after="54"/>
              <w:jc w:val="center"/>
              <w:rPr>
                <w:rFonts w:ascii="Times New Roman" w:eastAsia="Times New Roman" w:hAnsi="Times New Roman"/>
                <w:b/>
              </w:rPr>
            </w:pPr>
            <w:r>
              <w:rPr>
                <w:rFonts w:ascii="Times New Roman" w:eastAsia="Times New Roman" w:hAnsi="Times New Roman"/>
                <w:b/>
              </w:rPr>
              <w:t>3</w:t>
            </w:r>
          </w:p>
        </w:tc>
        <w:tc>
          <w:tcPr>
            <w:tcW w:w="2880" w:type="dxa"/>
          </w:tcPr>
          <w:p w:rsidR="007A53F3" w14:paraId="65B28B34" w14:textId="2F2F1CAA">
            <w:pPr>
              <w:autoSpaceDE/>
              <w:autoSpaceDN/>
              <w:spacing w:before="90" w:after="54"/>
              <w:jc w:val="center"/>
              <w:rPr>
                <w:rFonts w:ascii="Times New Roman" w:eastAsia="Times New Roman" w:hAnsi="Times New Roman"/>
                <w:b/>
              </w:rPr>
            </w:pPr>
            <w:r>
              <w:rPr>
                <w:rFonts w:ascii="Times New Roman" w:eastAsia="Times New Roman" w:hAnsi="Times New Roman"/>
                <w:b/>
              </w:rPr>
              <w:t>WIRELESS TELE-COMMUNICATION</w:t>
            </w:r>
          </w:p>
        </w:tc>
        <w:tc>
          <w:tcPr>
            <w:tcW w:w="5220" w:type="dxa"/>
          </w:tcPr>
          <w:p w:rsidR="008F49E6" w14:paraId="34D0A585" w14:textId="6B246679">
            <w:pPr>
              <w:autoSpaceDE/>
              <w:spacing w:before="90" w:after="54"/>
              <w:rPr>
                <w:rFonts w:ascii="Times New Roman" w:eastAsia="Times New Roman" w:hAnsi="Times New Roman"/>
                <w:snapToGrid w:val="0"/>
                <w:spacing w:val="-2"/>
                <w:kern w:val="28"/>
              </w:rPr>
            </w:pPr>
            <w:r>
              <w:rPr>
                <w:rFonts w:ascii="Times New Roman" w:eastAsia="Times New Roman" w:hAnsi="Times New Roman"/>
                <w:b/>
              </w:rPr>
              <w:t xml:space="preserve">TITLE:  </w:t>
            </w:r>
            <w:r>
              <w:rPr>
                <w:rFonts w:ascii="Times New Roman" w:eastAsia="Times New Roman" w:hAnsi="Times New Roman"/>
                <w:spacing w:val="-2"/>
                <w:sz w:val="22"/>
                <w:szCs w:val="22"/>
              </w:rPr>
              <w:t xml:space="preserve"> </w:t>
            </w:r>
            <w:r w:rsidRPr="00AE3708" w:rsidR="00AE3708">
              <w:rPr>
                <w:rFonts w:ascii="Times New Roman" w:eastAsia="Times New Roman" w:hAnsi="Times New Roman"/>
                <w:snapToGrid w:val="0"/>
                <w:spacing w:val="-2"/>
                <w:kern w:val="28"/>
              </w:rPr>
              <w:t xml:space="preserve"> </w:t>
            </w:r>
            <w:r w:rsidRPr="008F49E6">
              <w:rPr>
                <w:rFonts w:ascii="Times New Roman" w:eastAsia="Times New Roman" w:hAnsi="Times New Roman"/>
                <w:snapToGrid w:val="0"/>
                <w:spacing w:val="-2"/>
                <w:kern w:val="28"/>
              </w:rPr>
              <w:t>State/Local Approval of Wireless Equipment Modifications</w:t>
            </w:r>
            <w:r>
              <w:rPr>
                <w:rFonts w:ascii="Times New Roman" w:eastAsia="Times New Roman" w:hAnsi="Times New Roman"/>
                <w:snapToGrid w:val="0"/>
                <w:spacing w:val="-2"/>
                <w:kern w:val="28"/>
              </w:rPr>
              <w:t xml:space="preserve"> </w:t>
            </w:r>
            <w:r w:rsidRPr="008F49E6">
              <w:rPr>
                <w:rFonts w:ascii="Times New Roman" w:eastAsia="Times New Roman" w:hAnsi="Times New Roman"/>
                <w:snapToGrid w:val="0"/>
                <w:spacing w:val="-2"/>
                <w:kern w:val="28"/>
              </w:rPr>
              <w:t>(WT Docket No. 19-250; RM-11849)</w:t>
            </w:r>
          </w:p>
          <w:p w:rsidR="007A53F3" w:rsidP="00911E6F" w14:paraId="19072317" w14:textId="025A91F9">
            <w:pPr>
              <w:autoSpaceDE/>
              <w:spacing w:before="90" w:after="54"/>
              <w:rPr>
                <w:rFonts w:ascii="Times New Roman" w:eastAsia="Times New Roman" w:hAnsi="Times New Roman"/>
              </w:rPr>
            </w:pPr>
            <w:r>
              <w:rPr>
                <w:rFonts w:ascii="Times New Roman" w:eastAsia="Times New Roman" w:hAnsi="Times New Roman"/>
                <w:b/>
              </w:rPr>
              <w:t xml:space="preserve">SUMMARY:  </w:t>
            </w:r>
            <w:r w:rsidRPr="008F49E6" w:rsidR="008F49E6">
              <w:rPr>
                <w:rFonts w:ascii="Times New Roman" w:eastAsia="Times New Roman" w:hAnsi="Times New Roman"/>
              </w:rPr>
              <w:t xml:space="preserve">The Commission will consider a Declaratory Ruling and Notice of Proposed Rulemaking that would clarify, and seek comment on changes to, the Commission’s rules implementing section 6409(a) of the Spectrum Act of 2012 in order to accelerate the deployment of communications infrastructure by facilitating the upgrade of existing sites for 5G networks. </w:t>
            </w:r>
          </w:p>
          <w:p w:rsidR="00884921" w14:paraId="3D2800DB" w14:textId="5DC63C60">
            <w:pPr>
              <w:autoSpaceDE/>
              <w:spacing w:before="90" w:after="54"/>
              <w:jc w:val="both"/>
              <w:rPr>
                <w:rFonts w:ascii="Times New Roman" w:eastAsia="Times New Roman" w:hAnsi="Times New Roman"/>
                <w:b/>
              </w:rPr>
            </w:pPr>
          </w:p>
        </w:tc>
      </w:tr>
      <w:tr w14:paraId="46B5380D" w14:textId="77777777">
        <w:tblPrEx>
          <w:tblW w:w="9540" w:type="dxa"/>
          <w:tblLayout w:type="fixed"/>
          <w:tblCellMar>
            <w:left w:w="120" w:type="dxa"/>
            <w:right w:w="120" w:type="dxa"/>
          </w:tblCellMar>
          <w:tblLook w:val="0000"/>
        </w:tblPrEx>
        <w:tc>
          <w:tcPr>
            <w:tcW w:w="1440" w:type="dxa"/>
          </w:tcPr>
          <w:p w:rsidR="007A53F3" w14:paraId="4FDBE9F3" w14:textId="77777777">
            <w:pPr>
              <w:spacing w:before="90" w:after="54"/>
              <w:jc w:val="center"/>
              <w:rPr>
                <w:rFonts w:ascii="Times New Roman" w:eastAsia="Times New Roman" w:hAnsi="Times New Roman"/>
                <w:b/>
              </w:rPr>
            </w:pPr>
            <w:r>
              <w:rPr>
                <w:rFonts w:ascii="Times New Roman" w:eastAsia="Times New Roman" w:hAnsi="Times New Roman"/>
                <w:b/>
              </w:rPr>
              <w:t>4</w:t>
            </w:r>
          </w:p>
        </w:tc>
        <w:tc>
          <w:tcPr>
            <w:tcW w:w="2880" w:type="dxa"/>
          </w:tcPr>
          <w:p w:rsidR="003D2DA9" w14:paraId="7EF50CFD" w14:textId="77777777">
            <w:pPr>
              <w:autoSpaceDE/>
              <w:autoSpaceDN/>
              <w:spacing w:before="90" w:after="54"/>
              <w:jc w:val="center"/>
              <w:rPr>
                <w:rFonts w:ascii="Times New Roman" w:eastAsia="Times New Roman" w:hAnsi="Times New Roman"/>
                <w:b/>
              </w:rPr>
            </w:pPr>
            <w:r>
              <w:rPr>
                <w:rFonts w:ascii="Times New Roman" w:eastAsia="Times New Roman" w:hAnsi="Times New Roman"/>
                <w:b/>
              </w:rPr>
              <w:t>MEDIA</w:t>
            </w:r>
          </w:p>
          <w:p w:rsidR="002E4C5E" w14:paraId="42AAE49F" w14:textId="5751FA1D">
            <w:pPr>
              <w:autoSpaceDE/>
              <w:autoSpaceDN/>
              <w:spacing w:before="90" w:after="54"/>
              <w:jc w:val="center"/>
              <w:rPr>
                <w:rFonts w:ascii="Times New Roman" w:eastAsia="Times New Roman" w:hAnsi="Times New Roman"/>
                <w:b/>
              </w:rPr>
            </w:pPr>
          </w:p>
        </w:tc>
        <w:tc>
          <w:tcPr>
            <w:tcW w:w="5220" w:type="dxa"/>
          </w:tcPr>
          <w:p w:rsidR="00884921" w:rsidP="000B7C80" w14:paraId="01F8A9B5" w14:textId="679EA611">
            <w:pPr>
              <w:autoSpaceDE/>
              <w:spacing w:before="90" w:after="54"/>
              <w:rPr>
                <w:rFonts w:ascii="Times New Roman" w:eastAsia="Times New Roman" w:hAnsi="Times New Roman"/>
                <w:snapToGrid w:val="0"/>
                <w:spacing w:val="-2"/>
                <w:kern w:val="28"/>
              </w:rPr>
            </w:pPr>
            <w:r>
              <w:rPr>
                <w:rFonts w:ascii="Times New Roman" w:eastAsia="Times New Roman" w:hAnsi="Times New Roman"/>
                <w:b/>
              </w:rPr>
              <w:t>TITLE:</w:t>
            </w:r>
            <w:r>
              <w:rPr>
                <w:rFonts w:ascii="Times New Roman" w:eastAsia="Times New Roman" w:hAnsi="Times New Roman"/>
              </w:rPr>
              <w:t xml:space="preserve">  </w:t>
            </w:r>
            <w:r w:rsidRPr="00884921">
              <w:rPr>
                <w:rFonts w:ascii="Times New Roman" w:eastAsia="Times New Roman" w:hAnsi="Times New Roman"/>
                <w:snapToGrid w:val="0"/>
                <w:spacing w:val="-2"/>
                <w:kern w:val="28"/>
              </w:rPr>
              <w:t>Promoting Broadcast Internet Innovation through ATSC 3.0</w:t>
            </w:r>
            <w:r>
              <w:rPr>
                <w:rFonts w:ascii="Times New Roman" w:eastAsia="Times New Roman" w:hAnsi="Times New Roman"/>
                <w:snapToGrid w:val="0"/>
                <w:spacing w:val="-2"/>
                <w:kern w:val="28"/>
              </w:rPr>
              <w:t xml:space="preserve"> </w:t>
            </w:r>
            <w:r w:rsidRPr="00884921">
              <w:rPr>
                <w:rFonts w:ascii="Times New Roman" w:eastAsia="Times New Roman" w:hAnsi="Times New Roman"/>
                <w:snapToGrid w:val="0"/>
                <w:spacing w:val="-2"/>
                <w:kern w:val="28"/>
              </w:rPr>
              <w:t>(MB Docket No. 20-145)</w:t>
            </w:r>
          </w:p>
          <w:p w:rsidR="002E4C5E" w:rsidP="002E4C5E" w14:paraId="6F7A6D04" w14:textId="7D0B07D4">
            <w:pPr>
              <w:autoSpaceDE/>
              <w:spacing w:before="90" w:after="54"/>
              <w:rPr>
                <w:rFonts w:ascii="Times New Roman" w:eastAsia="Times New Roman" w:hAnsi="Times New Roman"/>
                <w:b/>
              </w:rPr>
            </w:pPr>
            <w:r>
              <w:rPr>
                <w:rFonts w:ascii="Times New Roman" w:eastAsia="Times New Roman" w:hAnsi="Times New Roman"/>
                <w:b/>
              </w:rPr>
              <w:t xml:space="preserve">SUMMARY:  </w:t>
            </w:r>
            <w:r>
              <w:rPr>
                <w:rFonts w:ascii="Times New Roman" w:eastAsia="Times New Roman" w:hAnsi="Times New Roman"/>
                <w:sz w:val="22"/>
                <w:szCs w:val="22"/>
              </w:rPr>
              <w:t xml:space="preserve"> </w:t>
            </w:r>
            <w:r w:rsidRPr="00884921" w:rsidR="00884921">
              <w:rPr>
                <w:rFonts w:ascii="Times New Roman" w:eastAsia="Times New Roman" w:hAnsi="Times New Roman"/>
              </w:rPr>
              <w:t xml:space="preserve">The Commission will consider a Declaratory Ruling that would remove regulatory uncertainty concerning use of Broadcast Internet services provided by broadcast TV licensees as an ancillary and supplementary service, and a Notice of Proposed Rulemaking that would seek comment on modifying and clarifying existing rules to promote the deployment of Broadcast Internet services as part of the transition to ATSC 3.0. </w:t>
            </w:r>
          </w:p>
        </w:tc>
      </w:tr>
      <w:tr w14:paraId="6431C8AD" w14:textId="77777777">
        <w:tblPrEx>
          <w:tblW w:w="9540" w:type="dxa"/>
          <w:tblLayout w:type="fixed"/>
          <w:tblCellMar>
            <w:left w:w="120" w:type="dxa"/>
            <w:right w:w="120" w:type="dxa"/>
          </w:tblCellMar>
          <w:tblLook w:val="0000"/>
        </w:tblPrEx>
        <w:tc>
          <w:tcPr>
            <w:tcW w:w="1440" w:type="dxa"/>
          </w:tcPr>
          <w:p w:rsidR="007A53F3" w:rsidP="00924981" w14:paraId="31341F78" w14:textId="4F67EA3B">
            <w:pPr>
              <w:spacing w:before="90" w:after="54"/>
              <w:rPr>
                <w:rFonts w:ascii="Times New Roman" w:eastAsia="Times New Roman" w:hAnsi="Times New Roman"/>
                <w:b/>
              </w:rPr>
            </w:pPr>
          </w:p>
        </w:tc>
        <w:tc>
          <w:tcPr>
            <w:tcW w:w="2880" w:type="dxa"/>
          </w:tcPr>
          <w:p w:rsidR="007A53F3" w14:paraId="37A802C8" w14:textId="17090094">
            <w:pPr>
              <w:autoSpaceDE/>
              <w:autoSpaceDN/>
              <w:spacing w:before="90" w:after="54"/>
              <w:jc w:val="center"/>
              <w:rPr>
                <w:rFonts w:ascii="Times New Roman" w:eastAsia="Times New Roman" w:hAnsi="Times New Roman"/>
                <w:b/>
              </w:rPr>
            </w:pPr>
          </w:p>
        </w:tc>
        <w:tc>
          <w:tcPr>
            <w:tcW w:w="5220" w:type="dxa"/>
          </w:tcPr>
          <w:p w:rsidR="007A53F3" w14:paraId="5DE2E32B" w14:textId="77777777">
            <w:pPr>
              <w:autoSpaceDE/>
              <w:spacing w:before="90" w:after="54"/>
              <w:rPr>
                <w:rFonts w:ascii="Times New Roman" w:eastAsia="Times New Roman" w:hAnsi="Times New Roman"/>
                <w:b/>
              </w:rPr>
            </w:pPr>
          </w:p>
        </w:tc>
      </w:tr>
      <w:tr w14:paraId="59B73296" w14:textId="77777777">
        <w:tblPrEx>
          <w:tblW w:w="9540" w:type="dxa"/>
          <w:tblLayout w:type="fixed"/>
          <w:tblCellMar>
            <w:left w:w="120" w:type="dxa"/>
            <w:right w:w="120" w:type="dxa"/>
          </w:tblCellMar>
          <w:tblLook w:val="0000"/>
        </w:tblPrEx>
        <w:tc>
          <w:tcPr>
            <w:tcW w:w="1440" w:type="dxa"/>
          </w:tcPr>
          <w:p w:rsidR="002E4C5E" w:rsidP="002E4C5E" w14:paraId="64EC8FCE" w14:textId="2E6CCD99">
            <w:pPr>
              <w:spacing w:before="90" w:after="54"/>
              <w:jc w:val="center"/>
              <w:rPr>
                <w:rFonts w:ascii="Times New Roman" w:eastAsia="Times New Roman" w:hAnsi="Times New Roman"/>
                <w:b/>
              </w:rPr>
            </w:pPr>
            <w:r>
              <w:rPr>
                <w:rFonts w:ascii="Times New Roman" w:eastAsia="Times New Roman" w:hAnsi="Times New Roman"/>
                <w:b/>
              </w:rPr>
              <w:t>5</w:t>
            </w:r>
          </w:p>
        </w:tc>
        <w:tc>
          <w:tcPr>
            <w:tcW w:w="2880" w:type="dxa"/>
          </w:tcPr>
          <w:p w:rsidR="002E4C5E" w:rsidP="002E4C5E" w14:paraId="18592877" w14:textId="311B4425">
            <w:pPr>
              <w:autoSpaceDE/>
              <w:autoSpaceDN/>
              <w:spacing w:before="90" w:after="54"/>
              <w:jc w:val="center"/>
              <w:rPr>
                <w:rFonts w:ascii="Times New Roman" w:eastAsia="Times New Roman" w:hAnsi="Times New Roman"/>
                <w:b/>
              </w:rPr>
            </w:pPr>
            <w:r>
              <w:rPr>
                <w:rFonts w:ascii="Times New Roman" w:eastAsia="Times New Roman" w:hAnsi="Times New Roman"/>
                <w:b/>
              </w:rPr>
              <w:t>ENFORCEMENT</w:t>
            </w:r>
          </w:p>
          <w:p w:rsidR="002E4C5E" w:rsidP="002E4C5E" w14:paraId="6255AE72" w14:textId="6091C9AD">
            <w:pPr>
              <w:autoSpaceDE/>
              <w:autoSpaceDN/>
              <w:spacing w:before="90" w:after="54"/>
              <w:jc w:val="center"/>
              <w:rPr>
                <w:rFonts w:ascii="Times New Roman" w:eastAsia="Times New Roman" w:hAnsi="Times New Roman"/>
                <w:b/>
              </w:rPr>
            </w:pPr>
          </w:p>
        </w:tc>
        <w:tc>
          <w:tcPr>
            <w:tcW w:w="5220" w:type="dxa"/>
          </w:tcPr>
          <w:p w:rsidR="002E4C5E" w:rsidP="002E4C5E" w14:paraId="2F720DDC" w14:textId="056C7189">
            <w:pPr>
              <w:autoSpaceDE/>
              <w:spacing w:before="90" w:after="54"/>
              <w:rPr>
                <w:rFonts w:ascii="Times New Roman" w:eastAsia="Times New Roman" w:hAnsi="Times New Roman"/>
                <w:snapToGrid w:val="0"/>
                <w:spacing w:val="-2"/>
                <w:kern w:val="28"/>
              </w:rPr>
            </w:pPr>
            <w:r>
              <w:rPr>
                <w:rFonts w:ascii="Times New Roman" w:eastAsia="Times New Roman" w:hAnsi="Times New Roman"/>
                <w:b/>
              </w:rPr>
              <w:t>TITLE:</w:t>
            </w:r>
            <w:r>
              <w:rPr>
                <w:rFonts w:ascii="Times New Roman" w:eastAsia="Times New Roman" w:hAnsi="Times New Roman"/>
              </w:rPr>
              <w:t xml:space="preserve">  </w:t>
            </w:r>
            <w:r w:rsidRPr="00C80F79">
              <w:rPr>
                <w:rFonts w:ascii="Times New Roman" w:eastAsia="Times New Roman" w:hAnsi="Times New Roman"/>
                <w:snapToGrid w:val="0"/>
                <w:spacing w:val="-2"/>
                <w:kern w:val="28"/>
                <w:sz w:val="22"/>
                <w:szCs w:val="22"/>
              </w:rPr>
              <w:t xml:space="preserve"> </w:t>
            </w:r>
            <w:r w:rsidRPr="002E4C5E">
              <w:rPr>
                <w:rFonts w:ascii="Times New Roman" w:eastAsia="Times New Roman" w:hAnsi="Times New Roman"/>
                <w:snapToGrid w:val="0"/>
                <w:spacing w:val="-2"/>
                <w:kern w:val="28"/>
              </w:rPr>
              <w:t>Enforcement Bureau Action</w:t>
            </w:r>
          </w:p>
          <w:p w:rsidR="002E4C5E" w:rsidP="002E4C5E" w14:paraId="6E509424" w14:textId="4D9205FD">
            <w:pPr>
              <w:autoSpaceDE/>
              <w:spacing w:before="90" w:after="54"/>
              <w:rPr>
                <w:rFonts w:ascii="Times New Roman" w:eastAsia="Times New Roman" w:hAnsi="Times New Roman"/>
              </w:rPr>
            </w:pPr>
            <w:r>
              <w:rPr>
                <w:rFonts w:ascii="Times New Roman" w:eastAsia="Times New Roman" w:hAnsi="Times New Roman"/>
                <w:b/>
              </w:rPr>
              <w:t xml:space="preserve">SUMMARY:  </w:t>
            </w:r>
            <w:r>
              <w:rPr>
                <w:rFonts w:ascii="Times New Roman" w:eastAsia="Times New Roman" w:hAnsi="Times New Roman"/>
                <w:sz w:val="22"/>
                <w:szCs w:val="22"/>
              </w:rPr>
              <w:t xml:space="preserve"> </w:t>
            </w:r>
            <w:r w:rsidRPr="002E4C5E">
              <w:rPr>
                <w:rFonts w:ascii="Times New Roman" w:eastAsia="Times New Roman" w:hAnsi="Times New Roman"/>
              </w:rPr>
              <w:t>The Commission will consider an enforcement action.</w:t>
            </w:r>
          </w:p>
          <w:p w:rsidR="002E4C5E" w:rsidP="002E4C5E" w14:paraId="4597557B" w14:textId="77777777">
            <w:pPr>
              <w:autoSpaceDE/>
              <w:spacing w:before="90" w:after="54"/>
              <w:rPr>
                <w:rFonts w:ascii="Times New Roman" w:eastAsia="Times New Roman" w:hAnsi="Times New Roman"/>
                <w:b/>
              </w:rPr>
            </w:pPr>
          </w:p>
        </w:tc>
      </w:tr>
    </w:tbl>
    <w:p w:rsidR="007A53F3" w14:paraId="641C9BB4" w14:textId="77777777">
      <w:pPr>
        <w:spacing w:line="270" w:lineRule="exact"/>
        <w:rPr>
          <w:rFonts w:ascii="Times New Roman" w:eastAsia="Times New Roman" w:hAnsi="Times New Roman"/>
        </w:rPr>
      </w:pPr>
    </w:p>
    <w:p w:rsidR="007A53F3" w14:paraId="388E21DB" w14:textId="04B7732B">
      <w:pPr>
        <w:spacing w:line="270" w:lineRule="exact"/>
        <w:rPr>
          <w:rFonts w:ascii="Times New Roman" w:eastAsia="Times New Roman" w:hAnsi="Times New Roman"/>
        </w:rPr>
      </w:pPr>
      <w:r>
        <w:rPr>
          <w:rFonts w:ascii="Times New Roman" w:eastAsia="Times New Roman" w:hAnsi="Times New Roman"/>
        </w:rPr>
        <w:t xml:space="preserve">The meeting will be webcast with open captioning at: www.fcc.gov/live.  Open captioning will be provided as well as a text only version on the FCC website.  Other reasonable accommodations for people with disabilities are available upon request.  In your request, include a description of the accommodation you will need and a way we can contact you if we need more information.  Last minute requests will be accepted but may be impossible to fill.  Send an e-mail to: </w:t>
      </w:r>
      <w:hyperlink r:id="rId5" w:tooltip="mailto:fcc504@fcc.gov" w:history="1">
        <w:r>
          <w:rPr>
            <w:rFonts w:ascii="Times New Roman" w:eastAsia="Times New Roman" w:hAnsi="Times New Roman"/>
            <w:color w:val="0000FF"/>
            <w:u w:val="single"/>
          </w:rPr>
          <w:t>fcc504@fcc.gov</w:t>
        </w:r>
      </w:hyperlink>
      <w:r>
        <w:rPr>
          <w:rFonts w:ascii="Times New Roman" w:eastAsia="Times New Roman" w:hAnsi="Times New Roman"/>
        </w:rPr>
        <w:t xml:space="preserve"> or call the Consumer &amp; Governmental Affairs Bureau at 202-418-0530</w:t>
      </w:r>
      <w:r w:rsidR="00911E6F">
        <w:rPr>
          <w:rFonts w:ascii="Times New Roman" w:eastAsia="Times New Roman" w:hAnsi="Times New Roman"/>
        </w:rPr>
        <w:t>.</w:t>
      </w:r>
    </w:p>
    <w:p w:rsidR="007A53F3" w14:paraId="3FB5A3C1" w14:textId="77777777">
      <w:pPr>
        <w:rPr>
          <w:rFonts w:ascii="Times New Roman" w:eastAsia="Times New Roman" w:hAnsi="Times New Roman"/>
        </w:rPr>
      </w:pPr>
    </w:p>
    <w:p w:rsidR="007A53F3" w14:paraId="3657EABF" w14:textId="4C55C540">
      <w:pPr>
        <w:rPr>
          <w:rFonts w:ascii="Times New Roman" w:eastAsia="Times New Roman" w:hAnsi="Times New Roman"/>
        </w:rPr>
      </w:pPr>
      <w:r>
        <w:rPr>
          <w:rFonts w:ascii="Times New Roman" w:eastAsia="Times New Roman" w:hAnsi="Times New Roman"/>
        </w:rPr>
        <w:t xml:space="preserve">Additional information concerning this meeting may be obtained from the Office of Media Relations, (202) 418-0500.  Audio/Video coverage of the meeting will be broadcast live with open captioning over the Internet from the FCC Live web page at </w:t>
      </w:r>
      <w:hyperlink r:id="rId4" w:history="1">
        <w:r>
          <w:rPr>
            <w:rStyle w:val="Hyperlink"/>
            <w:rFonts w:ascii="Times New Roman" w:eastAsia="Times New Roman" w:hAnsi="Times New Roman"/>
            <w:sz w:val="24"/>
            <w:szCs w:val="24"/>
          </w:rPr>
          <w:t>www.fcc.gov/live</w:t>
        </w:r>
      </w:hyperlink>
      <w:r>
        <w:rPr>
          <w:rFonts w:ascii="Times New Roman" w:eastAsia="Times New Roman" w:hAnsi="Times New Roman"/>
        </w:rPr>
        <w:t>.</w:t>
      </w:r>
    </w:p>
    <w:p w:rsidR="007A53F3" w14:paraId="65D56DBD" w14:textId="77777777">
      <w:pPr>
        <w:tabs>
          <w:tab w:val="center" w:pos="4680"/>
        </w:tabs>
        <w:spacing w:after="120"/>
        <w:rPr>
          <w:rFonts w:ascii="Times New Roman" w:eastAsia="Times New Roman" w:hAnsi="Times New Roman"/>
        </w:rPr>
      </w:pPr>
    </w:p>
    <w:p w:rsidR="007A53F3" w14:paraId="47DFC905" w14:textId="77777777">
      <w:pPr>
        <w:tabs>
          <w:tab w:val="center" w:pos="4680"/>
        </w:tabs>
        <w:jc w:val="center"/>
        <w:rPr>
          <w:rFonts w:ascii="Times New Roman" w:eastAsia="Times New Roman" w:hAnsi="Times New Roman"/>
          <w:b/>
        </w:rPr>
      </w:pPr>
      <w:r>
        <w:rPr>
          <w:rFonts w:ascii="Times New Roman" w:eastAsia="Times New Roman" w:hAnsi="Times New Roman"/>
          <w:b/>
        </w:rPr>
        <w:t>-FCC-</w:t>
      </w:r>
      <w:bookmarkEnd w:id="0"/>
    </w:p>
    <w:sectPr>
      <w:headerReference w:type="default" r:id="rId6"/>
      <w:footerReference w:type="even" r:id="rId7"/>
      <w:footerReference w:type="default" r:id="rId8"/>
      <w:headerReference w:type="first" r:id="rId9"/>
      <w:footerReference w:type="first" r:id="rId10"/>
      <w:endnotePr>
        <w:numFmt w:val="decimal"/>
      </w:endnotePr>
      <w:pgSz w:w="12240" w:h="15840" w:code="1"/>
      <w:pgMar w:top="1440" w:right="1440" w:bottom="720" w:left="1440" w:header="720" w:footer="720" w:gutter="0"/>
      <w:pgNumType w:start="1"/>
      <w:cols w:space="720"/>
      <w:titlePg/>
      <w:docGrid w:linePitch="360" w:charSpace="4710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pitch w:val="default"/>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A53F3" w14:paraId="20604FFB" w14:textId="77777777">
    <w:pPr>
      <w:pStyle w:val="Footer"/>
      <w:framePr w:wrap="none" w:vAnchor="text" w:hAnchor="margin" w:x="4603" w:y="1"/>
      <w:autoSpaceDE w:val="0"/>
      <w:autoSpaceDN w:val="0"/>
      <w:rPr>
        <w:rStyle w:val="PageNumber"/>
      </w:rPr>
    </w:pPr>
    <w:r>
      <w:fldChar w:fldCharType="begin"/>
    </w:r>
    <w:r>
      <w:instrText>PAGE  \* MERGEFORMAT</w:instrText>
    </w:r>
    <w:r>
      <w:fldChar w:fldCharType="separate"/>
    </w:r>
    <w:r>
      <w:rPr>
        <w:rStyle w:val="PageNumber"/>
      </w:rPr>
      <w:t>1</w:t>
    </w:r>
    <w:r>
      <w:rPr>
        <w:rStyle w:val="PageNumber"/>
      </w:rPr>
      <w:fldChar w:fldCharType="end"/>
    </w:r>
  </w:p>
  <w:p w:rsidR="007A53F3" w14:paraId="29E90E4D" w14:textId="77777777">
    <w:pPr>
      <w:pStyle w:val="Footer"/>
      <w:autoSpaceDE w:val="0"/>
      <w:autoSpaceDN w:val="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A53F3" w14:paraId="78A1EE09" w14:textId="77777777">
    <w:pPr>
      <w:pStyle w:val="Footer"/>
      <w:tabs>
        <w:tab w:val="center" w:pos="4680"/>
        <w:tab w:val="right" w:pos="9360"/>
      </w:tabs>
      <w:autoSpaceDE w:val="0"/>
      <w:autoSpaceDN w:val="0"/>
      <w:jc w:val="center"/>
      <w:rPr>
        <w:rFonts w:ascii="Times New Roman" w:eastAsia="Times New Roman" w:hAnsi="Times New Roman"/>
      </w:rPr>
    </w:pPr>
    <w:r>
      <w:fldChar w:fldCharType="begin"/>
    </w:r>
    <w:r>
      <w:instrText>PAGE  \* MERGEFORMAT</w:instrText>
    </w:r>
    <w:r>
      <w:fldChar w:fldCharType="separate"/>
    </w:r>
    <w:r>
      <w:rPr>
        <w:rFonts w:ascii="Times New Roman" w:eastAsia="Times New Roman" w:hAnsi="Times New Roman"/>
      </w:rPr>
      <w:t>3</w:t>
    </w:r>
    <w:r>
      <w:rPr>
        <w:rFonts w:ascii="Times New Roman" w:eastAsia="Times New Roman" w:hAnsi="Times New Roman"/>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A53F3" w14:paraId="48019C4A" w14:textId="77777777">
    <w:pPr>
      <w:tabs>
        <w:tab w:val="left" w:pos="4320"/>
      </w:tabs>
      <w:spacing w:line="160" w:lineRule="exact"/>
      <w:rPr>
        <w:rFonts w:ascii="Times New Roman" w:eastAsia="Times New Roman" w:hAnsi="Times New Roman"/>
        <w:sz w:val="22"/>
        <w:szCs w:val="22"/>
      </w:rPr>
    </w:pPr>
  </w:p>
  <w:p w:rsidR="007A53F3" w14:paraId="00D58D37" w14:textId="77777777">
    <w:pPr>
      <w:pStyle w:val="BodyTextIndent"/>
      <w:autoSpaceDE w:val="0"/>
      <w:autoSpaceDN w:val="0"/>
      <w:spacing w:line="140" w:lineRule="exact"/>
      <w:rPr>
        <w:sz w:val="14"/>
        <w:szCs w:val="14"/>
      </w:rPr>
    </w:pPr>
    <w:r>
      <w:rPr>
        <w:sz w:val="14"/>
        <w:szCs w:val="14"/>
      </w:rPr>
      <w:t>*The summaries listed in this notice are intended for the use of the public attending open Commission meetings. Information not summarized may also be considered at such meetings.  Consequently, these summaries should not be interpreted to limit the Commission's authority to consider any relevant information.</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A53F3" w14:paraId="660E4D75" w14:textId="77777777">
    <w:pPr>
      <w:spacing w:line="240" w:lineRule="atLeast"/>
      <w:rPr>
        <w:rFonts w:ascii="Times New Roman" w:eastAsia="Times New Roman" w:hAnsi="Times New Roman"/>
        <w: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A53F3" w14:paraId="66E3A103" w14:textId="77777777">
    <w:pPr>
      <w:tabs>
        <w:tab w:val="left" w:pos="4140"/>
      </w:tabs>
      <w:spacing w:line="240" w:lineRule="atLeast"/>
      <w:rPr>
        <w:rFonts w:ascii="Times New Roman" w:eastAsia="Times New Roman" w:hAnsi="Times New Roman"/>
      </w:rPr>
    </w:pPr>
    <w:r>
      <w:rPr>
        <w:noProof/>
        <w:sz w:val="20"/>
      </w:rPr>
      <mc:AlternateContent>
        <mc:Choice Requires="wps">
          <w:drawing>
            <wp:anchor distT="0" distB="0" distL="114300" distR="114300" simplePos="0" relativeHeight="251658240" behindDoc="1" locked="0" layoutInCell="0" allowOverlap="1">
              <wp:simplePos x="0" y="0"/>
              <wp:positionH relativeFrom="margin">
                <wp:posOffset>91444</wp:posOffset>
              </wp:positionH>
              <wp:positionV relativeFrom="page">
                <wp:posOffset>731524</wp:posOffset>
              </wp:positionV>
              <wp:extent cx="767080" cy="735965"/>
              <wp:effectExtent l="0" t="0" r="0" b="0"/>
              <wp:wrapNone/>
              <wp:docPr id="5" name="Rectangle 4"/>
              <wp:cNvGraphicFramePr>
                <a:graphicFrameLocks xmlns:a="http://schemas.openxmlformats.org/drawingml/2006/main" noChangeAspect="1"/>
              </wp:cNvGraphicFramePr>
              <a:graphic xmlns:a="http://schemas.openxmlformats.org/drawingml/2006/main">
                <a:graphicData uri="http://schemas.microsoft.com/office/word/2010/wordprocessingShape">
                  <wps:wsp xmlns:wps="http://schemas.microsoft.com/office/word/2010/wordprocessingShape">
                    <wps:cNvSpPr txBox="1">
                      <a:spLocks noChangeAspect="1"/>
                    </wps:cNvSpPr>
                    <wps:spPr>
                      <a:xfrm>
                        <a:off x="0" y="0"/>
                        <a:ext cx="767080" cy="735965"/>
                      </a:xfrm>
                      <a:prstGeom prst="rect">
                        <a:avLst/>
                      </a:prstGeom>
                      <a:noFill/>
                      <a:ln>
                        <a:noFill/>
                      </a:ln>
                    </wps:spPr>
                    <wps:txbx>
                      <w:txbxContent>
                        <w:p w:rsidR="007A53F3" w14:textId="77777777">
                          <w:pPr>
                            <w:tabs>
                              <w:tab w:val="left" w:pos="-720"/>
                            </w:tabs>
                            <w:spacing w:line="240" w:lineRule="atLeast"/>
                            <w:rPr>
                              <w:sz w:val="2"/>
                              <w:szCs w:val="2"/>
                            </w:rPr>
                          </w:pPr>
                          <w:r>
                            <w:rPr>
                              <w:noProof/>
                              <w:sz w:val="20"/>
                            </w:rPr>
                            <w:drawing>
                              <wp:inline distT="0" distB="0" distL="0" distR="0">
                                <wp:extent cx="751205" cy="690880"/>
                                <wp:effectExtent l="0" t="0" r="0" b="0"/>
                                <wp:docPr id="1642975177" name="Picture 3"/>
                                <wp:cNvGraphicFramePr/>
                                <a:graphic xmlns:a="http://schemas.openxmlformats.org/drawingml/2006/main">
                                  <a:graphicData uri="http://schemas.openxmlformats.org/drawingml/2006/picture">
                                    <pic:pic xmlns:pic="http://schemas.openxmlformats.org/drawingml/2006/picture">
                                      <pic:nvPicPr>
                                        <pic:cNvPr id="1558028133" name="Picture 1" descr="/storage/emulated/0/.polarisOffice6/polarisSave/image1.png"/>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751840" cy="691515"/>
                                        </a:xfrm>
                                        <a:prstGeom prst="rect">
                                          <a:avLst/>
                                        </a:prstGeom>
                                        <a:noFill/>
                                        <a:ln>
                                          <a:noFill/>
                                        </a:ln>
                                      </pic:spPr>
                                    </pic:pic>
                                  </a:graphicData>
                                </a:graphic>
                              </wp:inline>
                            </w:drawing>
                          </w:r>
                        </w:p>
                      </w:txbxContent>
                    </wps:txbx>
                    <wps:bodyPr rot="0" spcFirstLastPara="0" vertOverflow="overflow" horzOverflow="overflow" vert="horz" wrap="square" lIns="0" tIns="0" rIns="0" bIns="0" numCol="1" spcCol="0" rtlCol="0" fromWordArt="0" anchor="t" anchorCtr="0" forceAA="0" upright="1" compatLnSpc="0">
                      <a:prstTxWarp prst="textNoShape">
                        <a:avLst/>
                      </a:prstTxWarp>
                    </wps:bodyPr>
                  </wps:wsp>
                </a:graphicData>
              </a:graphic>
            </wp:anchor>
          </w:drawing>
        </mc:Choice>
        <mc:Fallback>
          <w:pict>
            <v:shapetype id="_x0000_t202" coordsize="21600,21600" o:spt="202" path="m,l,21600r21600,l21600,xe">
              <v:stroke joinstyle="miter"/>
              <v:path gradientshapeok="t" o:connecttype="rect"/>
            </v:shapetype>
            <v:shape id="Rectangle 4" o:spid="_x0000_s2049" type="#_x0000_t202" style="width:60.4pt;height:57.95pt;margin-top:57.6pt;margin-left:7.2pt;mso-position-horizontal-relative:margin;mso-position-vertical-relative:page;mso-wrap-distance-bottom:0;mso-wrap-distance-left:9pt;mso-wrap-distance-right:9pt;mso-wrap-distance-top:0;mso-wrap-style:square;position:absolute;visibility:visible;v-text-anchor:top;z-index:-251657216" o:allowincell="f" filled="f" stroked="f">
              <o:lock v:ext="edit" aspectratio="t"/>
              <v:textbox inset="0,0,0,0">
                <w:txbxContent>
                  <w:p w:rsidR="007A53F3" w14:paraId="157C4CD3" w14:textId="77777777">
                    <w:pPr>
                      <w:tabs>
                        <w:tab w:val="left" w:pos="-720"/>
                      </w:tabs>
                      <w:spacing w:line="240" w:lineRule="atLeast"/>
                      <w:rPr>
                        <w:sz w:val="2"/>
                        <w:szCs w:val="2"/>
                      </w:rPr>
                    </w:pPr>
                    <w:drawing>
                      <wp:inline distT="0" distB="0" distL="0" distR="0">
                        <wp:extent cx="751205" cy="690880"/>
                        <wp:effectExtent l="0" t="0" r="0" b="0"/>
                        <wp:docPr id="4" name="Picture 3"/>
                        <wp:cNvGraphicFramePr/>
                        <a:graphic xmlns:a="http://schemas.openxmlformats.org/drawingml/2006/main">
                          <a:graphicData uri="http://schemas.openxmlformats.org/drawingml/2006/picture">
                            <pic:pic xmlns:pic="http://schemas.openxmlformats.org/drawingml/2006/picture">
                              <pic:nvPicPr>
                                <pic:cNvPr id="1" name="Picture 1" descr="/storage/emulated/0/.polarisOffice6/polarisSave/image1.png"/>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751840" cy="691515"/>
                                </a:xfrm>
                                <a:prstGeom prst="rect">
                                  <a:avLst/>
                                </a:prstGeom>
                                <a:noFill/>
                                <a:ln>
                                  <a:noFill/>
                                </a:ln>
                              </pic:spPr>
                            </pic:pic>
                          </a:graphicData>
                        </a:graphic>
                      </wp:inline>
                    </w:drawing>
                  </w:p>
                </w:txbxContent>
              </v:textbox>
              <w10:wrap anchorx="margin"/>
            </v:shape>
          </w:pict>
        </mc:Fallback>
      </mc:AlternateContent>
    </w:r>
    <w:r>
      <w:rPr>
        <w:rFonts w:ascii="Times New Roman" w:eastAsia="Times New Roman" w:hAnsi="Times New Roman"/>
      </w:rPr>
      <w:tab/>
    </w:r>
    <w:r>
      <w:rPr>
        <w:rFonts w:ascii="Times New Roman" w:eastAsia="Times New Roman" w:hAnsi="Times New Roman"/>
        <w:b/>
        <w:sz w:val="48"/>
        <w:szCs w:val="48"/>
      </w:rPr>
      <w:t>Commission</w:t>
    </w:r>
  </w:p>
  <w:p w:rsidR="007A53F3" w14:paraId="45A4DB03" w14:textId="77777777">
    <w:pPr>
      <w:tabs>
        <w:tab w:val="left" w:pos="0"/>
        <w:tab w:val="left" w:pos="4140"/>
      </w:tabs>
      <w:spacing w:line="240" w:lineRule="atLeast"/>
      <w:rPr>
        <w:rFonts w:ascii="Times New Roman" w:eastAsia="Times New Roman" w:hAnsi="Times New Roman"/>
      </w:rPr>
    </w:pPr>
    <w:r>
      <w:rPr>
        <w:rFonts w:ascii="Times New Roman" w:eastAsia="Times New Roman" w:hAnsi="Times New Roman"/>
      </w:rPr>
      <w:tab/>
    </w:r>
    <w:r>
      <w:rPr>
        <w:rFonts w:ascii="Times New Roman" w:eastAsia="Times New Roman" w:hAnsi="Times New Roman"/>
        <w:b/>
        <w:sz w:val="48"/>
        <w:szCs w:val="48"/>
      </w:rPr>
      <w:t>Meeting Agenda</w:t>
    </w:r>
  </w:p>
  <w:p w:rsidR="007A53F3" w14:paraId="6072E3A5" w14:textId="77777777">
    <w:pPr>
      <w:tabs>
        <w:tab w:val="left" w:pos="4140"/>
      </w:tabs>
      <w:spacing w:before="120" w:line="240" w:lineRule="atLeast"/>
      <w:rPr>
        <w:rFonts w:ascii="Times New Roman" w:eastAsia="Times New Roman" w:hAnsi="Times New Roman"/>
        <w:b/>
        <w:sz w:val="19"/>
        <w:szCs w:val="19"/>
      </w:rPr>
    </w:pPr>
    <w:r>
      <w:rPr>
        <w:rFonts w:ascii="Times New Roman" w:eastAsia="Times New Roman" w:hAnsi="Times New Roman"/>
      </w:rPr>
      <w:tab/>
    </w:r>
    <w:r>
      <w:rPr>
        <w:rFonts w:ascii="Times New Roman" w:eastAsia="Times New Roman" w:hAnsi="Times New Roman"/>
        <w:b/>
        <w:sz w:val="19"/>
        <w:szCs w:val="19"/>
      </w:rPr>
      <w:t>A Public Notice of the Federal Communications Commission</w:t>
    </w:r>
  </w:p>
  <w:p w:rsidR="007A53F3" w14:paraId="32941DD0" w14:textId="77777777">
    <w:pPr>
      <w:tabs>
        <w:tab w:val="left" w:pos="0"/>
        <w:tab w:val="left" w:pos="4140"/>
      </w:tabs>
      <w:spacing w:line="240" w:lineRule="atLeast"/>
      <w:rPr>
        <w:rFonts w:ascii="Times New Roman" w:eastAsia="Times New Roman" w:hAnsi="Times New Roman"/>
      </w:rPr>
    </w:pPr>
    <w:r>
      <w:rPr>
        <w:rFonts w:ascii="Times New Roman" w:eastAsia="Times New Roman" w:hAnsi="Times New Roman"/>
        <w:b/>
        <w:sz w:val="19"/>
        <w:szCs w:val="19"/>
      </w:rPr>
      <w:t>Federal Communications Commission</w:t>
    </w:r>
    <w:r>
      <w:rPr>
        <w:rFonts w:ascii="Times New Roman" w:eastAsia="Times New Roman" w:hAnsi="Times New Roman"/>
        <w:b/>
        <w:sz w:val="19"/>
        <w:szCs w:val="19"/>
      </w:rPr>
      <w:tab/>
      <w:t>News Media Information (202) 418-0500</w:t>
    </w:r>
  </w:p>
  <w:p w:rsidR="007A53F3" w14:paraId="77488B7A" w14:textId="77777777">
    <w:pPr>
      <w:tabs>
        <w:tab w:val="left" w:pos="-720"/>
        <w:tab w:val="left" w:pos="4140"/>
      </w:tabs>
      <w:spacing w:line="240" w:lineRule="atLeast"/>
      <w:rPr>
        <w:rFonts w:ascii="Times New Roman" w:eastAsia="Times New Roman" w:hAnsi="Times New Roman"/>
      </w:rPr>
    </w:pPr>
    <w:r>
      <w:rPr>
        <w:rFonts w:ascii="Times New Roman" w:eastAsia="Times New Roman" w:hAnsi="Times New Roman"/>
        <w:b/>
        <w:sz w:val="19"/>
        <w:szCs w:val="19"/>
      </w:rPr>
      <w:t>445 12th Street, S.W.</w:t>
    </w:r>
    <w:r>
      <w:rPr>
        <w:rFonts w:ascii="Times New Roman" w:eastAsia="Times New Roman" w:hAnsi="Times New Roman"/>
      </w:rPr>
      <w:tab/>
    </w:r>
    <w:r>
      <w:rPr>
        <w:rFonts w:ascii="Times New Roman" w:eastAsia="Times New Roman" w:hAnsi="Times New Roman"/>
        <w:b/>
        <w:sz w:val="19"/>
        <w:szCs w:val="19"/>
      </w:rPr>
      <w:t>Internet:</w:t>
    </w:r>
    <w:r>
      <w:rPr>
        <w:rFonts w:ascii="Times New Roman" w:eastAsia="Times New Roman" w:hAnsi="Times New Roman"/>
        <w:b/>
        <w:sz w:val="19"/>
        <w:szCs w:val="19"/>
      </w:rPr>
      <w:tab/>
      <w:t xml:space="preserve">http://www.fcc.gov </w:t>
    </w:r>
  </w:p>
  <w:p w:rsidR="007A53F3" w14:paraId="351BBC22" w14:textId="77777777">
    <w:pPr>
      <w:tabs>
        <w:tab w:val="left" w:pos="4140"/>
      </w:tabs>
      <w:spacing w:line="240" w:lineRule="atLeast"/>
      <w:rPr>
        <w:rFonts w:ascii="Times New Roman" w:eastAsia="Times New Roman" w:hAnsi="Times New Roman"/>
      </w:rPr>
    </w:pPr>
    <w:r>
      <w:rPr>
        <w:rFonts w:ascii="Times New Roman" w:eastAsia="Times New Roman" w:hAnsi="Times New Roman"/>
        <w:b/>
        <w:sz w:val="19"/>
        <w:szCs w:val="19"/>
      </w:rPr>
      <w:t>Washington, D.C. 20554</w:t>
    </w:r>
    <w:r>
      <w:rPr>
        <w:rFonts w:ascii="Times New Roman" w:eastAsia="Times New Roman" w:hAnsi="Times New Roman"/>
      </w:rPr>
      <w:tab/>
    </w:r>
    <w:r>
      <w:rPr>
        <w:rFonts w:ascii="Times New Roman" w:eastAsia="Times New Roman" w:hAnsi="Times New Roman"/>
        <w:b/>
        <w:sz w:val="19"/>
        <w:szCs w:val="19"/>
      </w:rPr>
      <w:t>TTY (888) 835-5322</w:t>
    </w:r>
  </w:p>
  <w:p w:rsidR="007A53F3" w14:paraId="040D4517" w14:textId="77777777">
    <w:pPr>
      <w:pStyle w:val="Header"/>
      <w:tabs>
        <w:tab w:val="center" w:pos="4680"/>
        <w:tab w:val="right" w:pos="9360"/>
      </w:tabs>
      <w:autoSpaceDE w:val="0"/>
      <w:autoSpaceDN w:val="0"/>
      <w:rPr>
        <w:rFonts w:ascii="Times New Roman" w:eastAsia="Times New Roman" w:hAnsi="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isplayHorizontalDrawingGridEvery w:val="0"/>
  <w:displayVerticalDrawingGridEvery w:val="2"/>
  <w:noPunctuationKerning/>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53F3"/>
    <w:rsid w:val="00025A86"/>
    <w:rsid w:val="00030C67"/>
    <w:rsid w:val="0008158B"/>
    <w:rsid w:val="000B7C80"/>
    <w:rsid w:val="000D0705"/>
    <w:rsid w:val="00127EEC"/>
    <w:rsid w:val="001E6333"/>
    <w:rsid w:val="002564ED"/>
    <w:rsid w:val="002E4C5E"/>
    <w:rsid w:val="003312DF"/>
    <w:rsid w:val="003B2CCB"/>
    <w:rsid w:val="003D2DA9"/>
    <w:rsid w:val="00482671"/>
    <w:rsid w:val="004D6286"/>
    <w:rsid w:val="004E41D6"/>
    <w:rsid w:val="0050369C"/>
    <w:rsid w:val="005F4DB7"/>
    <w:rsid w:val="0064308B"/>
    <w:rsid w:val="00647F38"/>
    <w:rsid w:val="00653094"/>
    <w:rsid w:val="00661AFE"/>
    <w:rsid w:val="006B7089"/>
    <w:rsid w:val="006E1BFC"/>
    <w:rsid w:val="006F17FC"/>
    <w:rsid w:val="007447CA"/>
    <w:rsid w:val="007A53F3"/>
    <w:rsid w:val="007E1025"/>
    <w:rsid w:val="00884921"/>
    <w:rsid w:val="008F49E6"/>
    <w:rsid w:val="00911E6F"/>
    <w:rsid w:val="00923649"/>
    <w:rsid w:val="00924981"/>
    <w:rsid w:val="00947CB2"/>
    <w:rsid w:val="00A31569"/>
    <w:rsid w:val="00A8062C"/>
    <w:rsid w:val="00AA5389"/>
    <w:rsid w:val="00AE3708"/>
    <w:rsid w:val="00AE3C25"/>
    <w:rsid w:val="00AF5AAF"/>
    <w:rsid w:val="00B852D0"/>
    <w:rsid w:val="00C80F79"/>
    <w:rsid w:val="00C9155B"/>
    <w:rsid w:val="00CA1732"/>
    <w:rsid w:val="00D040F6"/>
    <w:rsid w:val="00E0006B"/>
    <w:rsid w:val="00F0594B"/>
    <w:rsid w:val="00F45BCD"/>
    <w:rsid w:val="00FA358A"/>
    <w:rsid w:val="00FA6621"/>
    <w:rsid w:val="00FC03A7"/>
    <w:rsid w:val="00FD05D0"/>
  </w:rsids>
  <m:mathPr>
    <m:mathFont m:val="Cambria Math"/>
    <m:smallFrac/>
    <m:lMargin m:val="1440"/>
    <m:rMargin m:val="1440"/>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15:docId w15:val="{C5DE0849-4975-4914-B62E-746BA5696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pPr>
    <w:rPr>
      <w:rFonts w:ascii="Courier" w:eastAsia="Courier" w:hAnsi="Courier"/>
      <w:sz w:val="24"/>
      <w:szCs w:val="24"/>
    </w:rPr>
  </w:style>
  <w:style w:type="paragraph" w:styleId="Heading1">
    <w:name w:val="heading 1"/>
    <w:basedOn w:val="Normal"/>
    <w:next w:val="Normal"/>
    <w:uiPriority w:val="9"/>
    <w:qFormat/>
    <w:pPr>
      <w:keepNext/>
      <w:autoSpaceDE/>
      <w:autoSpaceDN/>
      <w:outlineLvl w:val="0"/>
    </w:pPr>
    <w:rPr>
      <w:rFonts w:ascii="Arial" w:eastAsia="Arial" w:hAnsi="Arial"/>
      <w:b/>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AHeading">
    <w:name w:val="toa heading"/>
    <w:basedOn w:val="Normal"/>
    <w:next w:val="Normal"/>
    <w:semiHidden/>
    <w:pPr>
      <w:tabs>
        <w:tab w:val="right" w:pos="9360"/>
      </w:tabs>
      <w:autoSpaceDE/>
      <w:autoSpaceDN/>
    </w:pPr>
  </w:style>
  <w:style w:type="paragraph" w:styleId="Header">
    <w:name w:val="header"/>
    <w:basedOn w:val="Normal"/>
    <w:link w:val="HeaderChar"/>
    <w:pPr>
      <w:tabs>
        <w:tab w:val="center" w:pos="4320"/>
        <w:tab w:val="right" w:pos="8640"/>
      </w:tabs>
      <w:autoSpaceDE/>
      <w:autoSpaceDN/>
    </w:pPr>
  </w:style>
  <w:style w:type="paragraph" w:styleId="Footer">
    <w:name w:val="footer"/>
    <w:basedOn w:val="Normal"/>
    <w:link w:val="FooterChar"/>
    <w:pPr>
      <w:tabs>
        <w:tab w:val="center" w:pos="4320"/>
        <w:tab w:val="right" w:pos="8640"/>
      </w:tabs>
      <w:autoSpaceDE/>
      <w:autoSpaceDN/>
    </w:pPr>
  </w:style>
  <w:style w:type="paragraph" w:customStyle="1" w:styleId="NewHeading">
    <w:name w:val="New Heading"/>
    <w:basedOn w:val="Heading1"/>
    <w:pPr>
      <w:tabs>
        <w:tab w:val="center" w:pos="4680"/>
      </w:tabs>
      <w:jc w:val="center"/>
    </w:pPr>
    <w:rPr>
      <w:rFonts w:ascii="Courier" w:eastAsia="Times New Roman" w:hAnsi="Courier"/>
      <w:sz w:val="24"/>
      <w:szCs w:val="24"/>
      <w:u w:val="single"/>
    </w:rPr>
  </w:style>
  <w:style w:type="paragraph" w:styleId="BodyTextIndent">
    <w:name w:val="Body Text Indent"/>
    <w:basedOn w:val="Normal"/>
    <w:pPr>
      <w:autoSpaceDE/>
      <w:autoSpaceDN/>
      <w:ind w:left="4147"/>
    </w:pPr>
    <w:rPr>
      <w:rFonts w:ascii="Courier New" w:eastAsia="Courier New" w:hAnsi="Courier New"/>
      <w:spacing w:val="-8"/>
      <w:sz w:val="16"/>
      <w:szCs w:val="16"/>
    </w:rPr>
  </w:style>
  <w:style w:type="paragraph" w:styleId="BodyText">
    <w:name w:val="Body Text"/>
    <w:basedOn w:val="Normal"/>
    <w:pPr>
      <w:tabs>
        <w:tab w:val="left" w:pos="-720"/>
      </w:tabs>
      <w:autoSpaceDE/>
      <w:autoSpaceDN/>
      <w:jc w:val="both"/>
    </w:pPr>
    <w:rPr>
      <w:rFonts w:ascii="Times New Roman" w:eastAsia="Times New Roman" w:hAnsi="Times New Roman"/>
      <w:sz w:val="20"/>
      <w:szCs w:val="20"/>
    </w:rPr>
  </w:style>
  <w:style w:type="character" w:styleId="PageNumber">
    <w:name w:val="page number"/>
    <w:basedOn w:val="DefaultParagraphFont"/>
  </w:style>
  <w:style w:type="character" w:styleId="Hyperlink">
    <w:name w:val="Hyperlink"/>
    <w:rPr>
      <w:color w:val="0000FF"/>
      <w:w w:val="100"/>
      <w:sz w:val="20"/>
      <w:szCs w:val="20"/>
      <w:u w:val="single"/>
      <w:shd w:val="clear" w:color="auto" w:fill="auto"/>
    </w:rPr>
  </w:style>
  <w:style w:type="paragraph" w:styleId="BalloonText">
    <w:name w:val="Balloon Text"/>
    <w:basedOn w:val="Normal"/>
    <w:semiHidden/>
    <w:rPr>
      <w:rFonts w:ascii="Tahoma" w:eastAsia="Tahoma" w:hAnsi="Tahoma"/>
      <w:sz w:val="16"/>
      <w:szCs w:val="16"/>
    </w:rPr>
  </w:style>
  <w:style w:type="character" w:customStyle="1" w:styleId="HeaderChar">
    <w:name w:val="Header Char"/>
    <w:link w:val="Header"/>
    <w:rPr>
      <w:rFonts w:ascii="Courier" w:eastAsia="Courier" w:hAnsi="Courier"/>
      <w:w w:val="100"/>
      <w:sz w:val="24"/>
      <w:szCs w:val="24"/>
      <w:shd w:val="clear" w:color="auto" w:fill="auto"/>
    </w:rPr>
  </w:style>
  <w:style w:type="character" w:customStyle="1" w:styleId="Mention">
    <w:name w:val="Mention"/>
    <w:semiHidden/>
    <w:unhideWhenUsed/>
    <w:rPr>
      <w:color w:val="2B579A"/>
      <w:w w:val="100"/>
      <w:sz w:val="20"/>
      <w:szCs w:val="20"/>
      <w:shd w:val="clear" w:color="000000" w:fill="E6E6E6"/>
    </w:rPr>
  </w:style>
  <w:style w:type="character" w:customStyle="1" w:styleId="UnresolvedMention">
    <w:name w:val="Unresolved Mention"/>
    <w:semiHidden/>
    <w:unhideWhenUsed/>
    <w:rPr>
      <w:color w:val="605E5C"/>
      <w:w w:val="100"/>
      <w:sz w:val="20"/>
      <w:szCs w:val="20"/>
      <w:shd w:val="clear" w:color="000000" w:fill="E1DFDD"/>
    </w:rPr>
  </w:style>
  <w:style w:type="character" w:styleId="CommentReference">
    <w:name w:val="annotation reference"/>
    <w:rPr>
      <w:w w:val="100"/>
      <w:sz w:val="16"/>
      <w:szCs w:val="16"/>
      <w:shd w:val="clear" w:color="auto" w:fill="auto"/>
    </w:rPr>
  </w:style>
  <w:style w:type="paragraph" w:styleId="CommentText">
    <w:name w:val="annotation text"/>
    <w:basedOn w:val="Normal"/>
    <w:link w:val="CommentTextChar"/>
    <w:rPr>
      <w:sz w:val="20"/>
      <w:szCs w:val="20"/>
    </w:rPr>
  </w:style>
  <w:style w:type="character" w:customStyle="1" w:styleId="CommentTextChar">
    <w:name w:val="Comment Text Char"/>
    <w:link w:val="CommentText"/>
    <w:rPr>
      <w:rFonts w:ascii="Courier" w:eastAsia="Courier" w:hAnsi="Courier"/>
      <w:w w:val="100"/>
      <w:sz w:val="20"/>
      <w:szCs w:val="20"/>
      <w:shd w:val="clear" w:color="auto" w:fill="auto"/>
    </w:rPr>
  </w:style>
  <w:style w:type="paragraph" w:styleId="CommentSubject">
    <w:name w:val="annotation subject"/>
    <w:basedOn w:val="CommentText"/>
    <w:next w:val="CommentText"/>
    <w:link w:val="CommentSubjectChar"/>
    <w:rPr>
      <w:b/>
    </w:rPr>
  </w:style>
  <w:style w:type="character" w:customStyle="1" w:styleId="CommentSubjectChar">
    <w:name w:val="Comment Subject Char"/>
    <w:link w:val="CommentSubject"/>
    <w:rPr>
      <w:rFonts w:ascii="Courier" w:eastAsia="Courier" w:hAnsi="Courier"/>
      <w:b/>
      <w:w w:val="100"/>
      <w:sz w:val="20"/>
      <w:szCs w:val="20"/>
      <w:shd w:val="clear" w:color="auto" w:fill="auto"/>
    </w:rPr>
  </w:style>
  <w:style w:type="character" w:customStyle="1" w:styleId="FooterChar">
    <w:name w:val="Footer Char"/>
    <w:link w:val="Footer"/>
    <w:rPr>
      <w:rFonts w:ascii="Courier" w:eastAsia="Courier" w:hAnsi="Courier"/>
      <w:w w:val="100"/>
      <w:sz w:val="24"/>
      <w:szCs w:val="24"/>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www.fcc.gov/live" TargetMode="External" /><Relationship Id="rId5" Type="http://schemas.openxmlformats.org/officeDocument/2006/relationships/hyperlink" Target="mailto:fcc504@fcc.gov" TargetMode="Externa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2.xm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