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D2628" w:rsidP="002E7292" w14:paraId="073454FF" w14:textId="77777777">
      <w:pPr>
        <w:jc w:val="center"/>
        <w:rPr>
          <w:b/>
          <w:bCs/>
          <w:caps/>
          <w:szCs w:val="22"/>
        </w:rPr>
      </w:pPr>
      <w:bookmarkStart w:id="0" w:name="_Hlk33780404"/>
      <w:bookmarkStart w:id="1" w:name="_GoBack"/>
      <w:bookmarkEnd w:id="1"/>
      <w:r w:rsidRPr="00A46422">
        <w:rPr>
          <w:b/>
          <w:bCs/>
          <w:caps/>
          <w:szCs w:val="22"/>
        </w:rPr>
        <w:t>STATEMENT OF COMMISSIONER</w:t>
      </w:r>
      <w:r w:rsidR="0072610D">
        <w:rPr>
          <w:b/>
          <w:bCs/>
          <w:caps/>
          <w:szCs w:val="22"/>
        </w:rPr>
        <w:t xml:space="preserve"> </w:t>
      </w:r>
    </w:p>
    <w:p w:rsidR="002E7292" w:rsidRPr="00A46422" w:rsidP="002E7292" w14:paraId="34AD22FC" w14:textId="220DD1BF">
      <w:pPr>
        <w:jc w:val="center"/>
        <w:rPr>
          <w:b/>
          <w:bCs/>
          <w:caps/>
          <w:szCs w:val="22"/>
        </w:rPr>
      </w:pPr>
      <w:r w:rsidRPr="00A46422">
        <w:rPr>
          <w:b/>
          <w:bCs/>
          <w:caps/>
          <w:szCs w:val="22"/>
        </w:rPr>
        <w:t>GEOFFREY STARKS</w:t>
      </w:r>
    </w:p>
    <w:p w:rsidR="002E7292" w:rsidRPr="005577AD" w:rsidP="002E7292" w14:paraId="7124003A" w14:textId="77777777">
      <w:pPr>
        <w:jc w:val="center"/>
        <w:rPr>
          <w:b/>
          <w:bCs/>
          <w:caps/>
          <w:szCs w:val="22"/>
        </w:rPr>
      </w:pPr>
    </w:p>
    <w:p w:rsidR="00AD6343" w:rsidRPr="00A62C86" w:rsidP="00AD6343" w14:paraId="1CC5A2A9" w14:textId="77777777">
      <w:pPr>
        <w:rPr>
          <w:bCs/>
        </w:rPr>
      </w:pPr>
      <w:bookmarkStart w:id="2" w:name="_Hlk42603447"/>
      <w:bookmarkEnd w:id="0"/>
      <w:r w:rsidRPr="00A62C86">
        <w:rPr>
          <w:bCs/>
        </w:rPr>
        <w:t>Re:</w:t>
      </w:r>
      <w:r w:rsidRPr="00A62C86">
        <w:rPr>
          <w:bCs/>
        </w:rPr>
        <w:tab/>
      </w:r>
      <w:r w:rsidRPr="00A62C86">
        <w:rPr>
          <w:bCs/>
          <w:i/>
          <w:iCs/>
        </w:rPr>
        <w:t xml:space="preserve">John C. Spiller; Jakob A. Mears; Rising Eagle Capital Group LLC; </w:t>
      </w:r>
      <w:r w:rsidRPr="00A62C86">
        <w:rPr>
          <w:bCs/>
          <w:i/>
          <w:iCs/>
        </w:rPr>
        <w:t>JSquared</w:t>
      </w:r>
      <w:r w:rsidRPr="00A62C86">
        <w:rPr>
          <w:bCs/>
          <w:i/>
          <w:iCs/>
        </w:rPr>
        <w:t xml:space="preserve"> Telecom LLC; Only Web Leads LLC; Rising Phoenix Group; Rising Phoenix Holdings; RPG Leads; and Rising Eagle Capital Group – Cayman</w:t>
      </w:r>
      <w:r w:rsidRPr="00A62C86">
        <w:rPr>
          <w:bCs/>
        </w:rPr>
        <w:t>, File No.</w:t>
      </w:r>
      <w:r>
        <w:rPr>
          <w:bCs/>
        </w:rPr>
        <w:t>:</w:t>
      </w:r>
      <w:r w:rsidRPr="00A62C86">
        <w:rPr>
          <w:bCs/>
        </w:rPr>
        <w:t xml:space="preserve"> </w:t>
      </w:r>
      <w:r>
        <w:rPr>
          <w:bCs/>
        </w:rPr>
        <w:t xml:space="preserve"> </w:t>
      </w:r>
      <w:r w:rsidRPr="00A62C86">
        <w:rPr>
          <w:bCs/>
        </w:rPr>
        <w:t>EB-TCD-18-00027781.</w:t>
      </w:r>
      <w:bookmarkEnd w:id="2"/>
    </w:p>
    <w:p w:rsidR="00E34420" w:rsidRPr="008E36CD" w:rsidP="00E34420" w14:paraId="0D299361" w14:textId="37ED1183">
      <w:pPr>
        <w:ind w:left="720" w:hanging="720"/>
        <w:rPr>
          <w:i/>
          <w:iCs/>
          <w:szCs w:val="22"/>
        </w:rPr>
      </w:pPr>
    </w:p>
    <w:p w:rsidR="00AD6343" w:rsidP="00AD6343" w14:paraId="6BA40305" w14:textId="3B637141">
      <w:pPr>
        <w:ind w:firstLine="720"/>
        <w:rPr>
          <w:bCs/>
          <w:iCs/>
          <w:sz w:val="24"/>
          <w:szCs w:val="24"/>
        </w:rPr>
      </w:pPr>
      <w:r>
        <w:rPr>
          <w:bCs/>
          <w:iCs/>
          <w:sz w:val="24"/>
          <w:szCs w:val="24"/>
        </w:rPr>
        <w:t xml:space="preserve">The facts are </w:t>
      </w:r>
      <w:r>
        <w:rPr>
          <w:bCs/>
          <w:iCs/>
          <w:sz w:val="24"/>
          <w:szCs w:val="24"/>
        </w:rPr>
        <w:t>pretty clear</w:t>
      </w:r>
      <w:r>
        <w:rPr>
          <w:bCs/>
          <w:iCs/>
          <w:sz w:val="24"/>
          <w:szCs w:val="24"/>
        </w:rPr>
        <w:t xml:space="preserve"> cut here, and Messrs. Spiller and Mears appear to have merited every penny of the forfeiture we propose today for their prolific robocalling campaign.  They admitted to using spoofed numbers that were not assigned to them to peddle short-term health insurance plans in over 1 billion calls.  They also acknowledged intentionally making</w:t>
      </w:r>
      <w:r w:rsidRPr="0038631F">
        <w:rPr>
          <w:bCs/>
          <w:iCs/>
          <w:sz w:val="24"/>
          <w:szCs w:val="24"/>
        </w:rPr>
        <w:t xml:space="preserve"> calls to consumers on the National Do Not Call Registry because </w:t>
      </w:r>
      <w:r>
        <w:rPr>
          <w:bCs/>
          <w:iCs/>
          <w:sz w:val="24"/>
          <w:szCs w:val="24"/>
        </w:rPr>
        <w:t xml:space="preserve">they found those </w:t>
      </w:r>
      <w:r w:rsidRPr="0038631F">
        <w:rPr>
          <w:bCs/>
          <w:iCs/>
          <w:sz w:val="24"/>
          <w:szCs w:val="24"/>
        </w:rPr>
        <w:t xml:space="preserve">calls </w:t>
      </w:r>
      <w:r>
        <w:rPr>
          <w:bCs/>
          <w:iCs/>
          <w:sz w:val="24"/>
          <w:szCs w:val="24"/>
        </w:rPr>
        <w:t>led to substantially more sales.</w:t>
      </w:r>
      <w:r w:rsidRPr="0038631F">
        <w:rPr>
          <w:bCs/>
          <w:iCs/>
          <w:sz w:val="24"/>
          <w:szCs w:val="24"/>
        </w:rPr>
        <w:t xml:space="preserve"> </w:t>
      </w:r>
      <w:r>
        <w:rPr>
          <w:bCs/>
          <w:iCs/>
          <w:sz w:val="24"/>
          <w:szCs w:val="24"/>
        </w:rPr>
        <w:t xml:space="preserve"> It is particularly upsetting that these robocalls involved scams related to healthcare, given that medical communications are now more important than ever.  I therefore approve this action; stopping illegal robocalls is the Commission’s top consumer protection priority, and we must remain aggressive in the fight to bring consumers relief from these annoying and often harmful intrusions.</w:t>
      </w:r>
      <w:r w:rsidRPr="009128DF">
        <w:rPr>
          <w:bCs/>
          <w:iCs/>
          <w:sz w:val="24"/>
          <w:szCs w:val="24"/>
        </w:rPr>
        <w:t xml:space="preserve"> </w:t>
      </w:r>
    </w:p>
    <w:p w:rsidR="00AD6343" w:rsidP="00AD6343" w14:paraId="0E14D706" w14:textId="77777777">
      <w:pPr>
        <w:ind w:firstLine="720"/>
        <w:rPr>
          <w:bCs/>
          <w:iCs/>
          <w:sz w:val="24"/>
          <w:szCs w:val="24"/>
        </w:rPr>
      </w:pPr>
    </w:p>
    <w:p w:rsidR="00AD6343" w:rsidP="00AD6343" w14:paraId="5089AC90" w14:textId="77777777">
      <w:pPr>
        <w:ind w:firstLine="720"/>
        <w:rPr>
          <w:bCs/>
          <w:iCs/>
          <w:sz w:val="24"/>
          <w:szCs w:val="24"/>
        </w:rPr>
      </w:pPr>
      <w:r>
        <w:rPr>
          <w:bCs/>
          <w:iCs/>
          <w:sz w:val="24"/>
          <w:szCs w:val="24"/>
        </w:rPr>
        <w:t>But what now?  What is the plan for following through to make sure this forfeiture is paid (assuming there’s something to collect) and that these offenders get out of the robocalling business for good?</w:t>
      </w:r>
    </w:p>
    <w:p w:rsidR="00AD6343" w:rsidP="00AD6343" w14:paraId="4CADF0AB" w14:textId="77777777">
      <w:pPr>
        <w:ind w:firstLine="720"/>
        <w:rPr>
          <w:bCs/>
          <w:iCs/>
          <w:sz w:val="24"/>
          <w:szCs w:val="24"/>
        </w:rPr>
      </w:pPr>
    </w:p>
    <w:p w:rsidR="00AD6343" w:rsidP="00AD6343" w14:paraId="47F6C097" w14:textId="77777777">
      <w:pPr>
        <w:ind w:firstLine="720"/>
        <w:rPr>
          <w:bCs/>
          <w:iCs/>
          <w:sz w:val="24"/>
          <w:szCs w:val="24"/>
        </w:rPr>
      </w:pPr>
      <w:r>
        <w:rPr>
          <w:bCs/>
          <w:iCs/>
          <w:sz w:val="24"/>
          <w:szCs w:val="24"/>
        </w:rPr>
        <w:t>According to a Wall Street Journal Article, between 2015 and March of 2019 the FCC issued forfeitures totaling $208.4 million for robocall violations, but collected only $6,790.</w:t>
      </w:r>
      <w:r>
        <w:rPr>
          <w:rStyle w:val="FootnoteReference"/>
          <w:bCs/>
          <w:iCs/>
          <w:sz w:val="24"/>
          <w:szCs w:val="24"/>
        </w:rPr>
        <w:footnoteReference w:id="3"/>
      </w:r>
      <w:r>
        <w:rPr>
          <w:bCs/>
          <w:iCs/>
          <w:sz w:val="24"/>
          <w:szCs w:val="24"/>
        </w:rPr>
        <w:t xml:space="preserve">  I asked the Enforcement Bureau about our progress in collecting on large forfeitures, and was told that the Bureau does not maintain a list of proposed forfeitures and collections.  Notably in 2015, then Commissioner Pai observed how the Enforcement Bureau’s process had “gone off the rails,” in part by how “</w:t>
      </w:r>
      <w:r w:rsidRPr="00BB57B5">
        <w:rPr>
          <w:bCs/>
          <w:iCs/>
          <w:sz w:val="24"/>
          <w:szCs w:val="24"/>
        </w:rPr>
        <w:t>extremely hard</w:t>
      </w:r>
      <w:r>
        <w:rPr>
          <w:bCs/>
          <w:iCs/>
          <w:sz w:val="24"/>
          <w:szCs w:val="24"/>
        </w:rPr>
        <w:t xml:space="preserve"> [it is to] find out just how much money is actually being collected after the media headlines fade into the rear-view mirror.”.</w:t>
      </w:r>
      <w:r>
        <w:rPr>
          <w:rStyle w:val="FootnoteReference"/>
          <w:bCs/>
          <w:iCs/>
          <w:sz w:val="24"/>
          <w:szCs w:val="24"/>
        </w:rPr>
        <w:footnoteReference w:id="4"/>
      </w:r>
      <w:r>
        <w:rPr>
          <w:bCs/>
          <w:iCs/>
          <w:sz w:val="24"/>
          <w:szCs w:val="24"/>
        </w:rPr>
        <w:t xml:space="preserve">  He wanted the same answers then that I want now, but five years later we appear to be in the same place. </w:t>
      </w:r>
    </w:p>
    <w:p w:rsidR="00AD6343" w:rsidP="00AD6343" w14:paraId="60472CFB" w14:textId="77777777">
      <w:pPr>
        <w:ind w:firstLine="720"/>
        <w:rPr>
          <w:bCs/>
          <w:iCs/>
          <w:sz w:val="24"/>
          <w:szCs w:val="24"/>
        </w:rPr>
      </w:pPr>
    </w:p>
    <w:p w:rsidR="00E34420" w:rsidRPr="005577AD" w:rsidP="00AD6343" w14:paraId="0F07AFB5" w14:textId="25958801">
      <w:pPr>
        <w:ind w:firstLine="720"/>
        <w:rPr>
          <w:szCs w:val="22"/>
        </w:rPr>
      </w:pPr>
      <w:r>
        <w:rPr>
          <w:bCs/>
          <w:iCs/>
          <w:sz w:val="24"/>
          <w:szCs w:val="24"/>
        </w:rPr>
        <w:t xml:space="preserve">The threat of large fines as a deterrent means nothing if we systematically fail to </w:t>
      </w:r>
      <w:r>
        <w:rPr>
          <w:bCs/>
          <w:iCs/>
          <w:sz w:val="24"/>
          <w:szCs w:val="24"/>
        </w:rPr>
        <w:t>actually collect</w:t>
      </w:r>
      <w:r>
        <w:rPr>
          <w:bCs/>
          <w:iCs/>
          <w:sz w:val="24"/>
          <w:szCs w:val="24"/>
        </w:rPr>
        <w:t xml:space="preserve"> on them, including coordinating with the Department of Justice.  That means better follow-through on the entire life of an enforcement action.  We must work harder to ensure on the back end that our enforcement efforts reap actual, measurable results, and then be transparent about how we’re doing to put violators on notice that we mean business.  Otherwise, we’re just creating more headlines</w:t>
      </w:r>
      <w:r w:rsidRPr="0027762E">
        <w:rPr>
          <w:bCs/>
          <w:iCs/>
          <w:sz w:val="24"/>
          <w:szCs w:val="24"/>
        </w:rPr>
        <w: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0D23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294F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27F98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49CA29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CBE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703" w14:paraId="781C5835" w14:textId="77777777">
      <w:r>
        <w:separator/>
      </w:r>
    </w:p>
  </w:footnote>
  <w:footnote w:type="continuationSeparator" w:id="1">
    <w:p w:rsidR="00DB7703" w:rsidP="00C721AC" w14:paraId="6DC50130" w14:textId="77777777">
      <w:pPr>
        <w:spacing w:before="120"/>
        <w:rPr>
          <w:sz w:val="20"/>
        </w:rPr>
      </w:pPr>
      <w:r>
        <w:rPr>
          <w:sz w:val="20"/>
        </w:rPr>
        <w:t xml:space="preserve">(Continued from previous page)  </w:t>
      </w:r>
      <w:r>
        <w:rPr>
          <w:sz w:val="20"/>
        </w:rPr>
        <w:separator/>
      </w:r>
    </w:p>
  </w:footnote>
  <w:footnote w:type="continuationNotice" w:id="2">
    <w:p w:rsidR="00DB7703" w:rsidP="00C721AC" w14:paraId="4CD0AD81" w14:textId="77777777">
      <w:pPr>
        <w:jc w:val="right"/>
        <w:rPr>
          <w:sz w:val="20"/>
        </w:rPr>
      </w:pPr>
    </w:p>
  </w:footnote>
  <w:footnote w:id="3">
    <w:p w:rsidR="00AD6343" w:rsidRPr="00555AF8" w:rsidP="00AD6343" w14:paraId="748F5AA3" w14:textId="77777777">
      <w:pPr>
        <w:pStyle w:val="FootnoteText"/>
        <w:rPr>
          <w:sz w:val="22"/>
          <w:szCs w:val="22"/>
        </w:rPr>
      </w:pPr>
      <w:r w:rsidRPr="00B23FFB">
        <w:rPr>
          <w:rStyle w:val="FootnoteReference"/>
          <w:sz w:val="22"/>
          <w:szCs w:val="22"/>
        </w:rPr>
        <w:footnoteRef/>
      </w:r>
      <w:r w:rsidRPr="00B23FFB">
        <w:rPr>
          <w:sz w:val="22"/>
          <w:szCs w:val="22"/>
        </w:rPr>
        <w:t xml:space="preserve"> Sarah Krause, The Wall Street Journal, “The FCC Has Fined </w:t>
      </w:r>
      <w:r w:rsidRPr="00B23FFB">
        <w:rPr>
          <w:sz w:val="22"/>
          <w:szCs w:val="22"/>
        </w:rPr>
        <w:t>Robocallers</w:t>
      </w:r>
      <w:r w:rsidRPr="00B23FFB">
        <w:rPr>
          <w:sz w:val="22"/>
          <w:szCs w:val="22"/>
        </w:rPr>
        <w:t xml:space="preserve"> $208 Million. It’s Collected $6,790.” (Mar. 28, 2019)</w:t>
      </w:r>
      <w:r>
        <w:rPr>
          <w:sz w:val="22"/>
          <w:szCs w:val="22"/>
        </w:rPr>
        <w:t xml:space="preserve"> (also noting that during</w:t>
      </w:r>
      <w:r w:rsidRPr="008F05C7">
        <w:rPr>
          <w:sz w:val="22"/>
          <w:szCs w:val="22"/>
        </w:rPr>
        <w:t xml:space="preserve"> Ajit</w:t>
      </w:r>
      <w:r>
        <w:rPr>
          <w:sz w:val="22"/>
          <w:szCs w:val="22"/>
        </w:rPr>
        <w:t xml:space="preserve"> Pai’s tenure as</w:t>
      </w:r>
      <w:r w:rsidRPr="008F05C7">
        <w:rPr>
          <w:sz w:val="22"/>
          <w:szCs w:val="22"/>
        </w:rPr>
        <w:t xml:space="preserve"> FCC chairman </w:t>
      </w:r>
      <w:r>
        <w:rPr>
          <w:sz w:val="22"/>
          <w:szCs w:val="22"/>
        </w:rPr>
        <w:t>s</w:t>
      </w:r>
      <w:r w:rsidRPr="008F05C7">
        <w:rPr>
          <w:sz w:val="22"/>
          <w:szCs w:val="22"/>
        </w:rPr>
        <w:t>in</w:t>
      </w:r>
      <w:r>
        <w:rPr>
          <w:sz w:val="22"/>
          <w:szCs w:val="22"/>
        </w:rPr>
        <w:t>ce</w:t>
      </w:r>
      <w:r w:rsidRPr="008F05C7">
        <w:rPr>
          <w:sz w:val="22"/>
          <w:szCs w:val="22"/>
        </w:rPr>
        <w:t xml:space="preserve"> January 2017, the FCC ha</w:t>
      </w:r>
      <w:r>
        <w:rPr>
          <w:sz w:val="22"/>
          <w:szCs w:val="22"/>
        </w:rPr>
        <w:t>d</w:t>
      </w:r>
      <w:r w:rsidRPr="008F05C7">
        <w:rPr>
          <w:sz w:val="22"/>
          <w:szCs w:val="22"/>
        </w:rPr>
        <w:t xml:space="preserve"> issued $202 million in forfeiture orders against </w:t>
      </w:r>
      <w:r w:rsidRPr="008F05C7">
        <w:rPr>
          <w:sz w:val="22"/>
          <w:szCs w:val="22"/>
        </w:rPr>
        <w:t>robocallers</w:t>
      </w:r>
      <w:r w:rsidRPr="008F05C7">
        <w:rPr>
          <w:sz w:val="22"/>
          <w:szCs w:val="22"/>
        </w:rPr>
        <w:t xml:space="preserve"> but ha</w:t>
      </w:r>
      <w:r>
        <w:rPr>
          <w:sz w:val="22"/>
          <w:szCs w:val="22"/>
        </w:rPr>
        <w:t>d</w:t>
      </w:r>
      <w:r w:rsidRPr="008F05C7">
        <w:rPr>
          <w:sz w:val="22"/>
          <w:szCs w:val="22"/>
        </w:rPr>
        <w:t xml:space="preserve"> collected none of it</w:t>
      </w:r>
      <w:r>
        <w:rPr>
          <w:sz w:val="22"/>
          <w:szCs w:val="22"/>
        </w:rPr>
        <w:t>),</w:t>
      </w:r>
      <w:r w:rsidRPr="00B23FFB">
        <w:rPr>
          <w:sz w:val="22"/>
          <w:szCs w:val="22"/>
        </w:rPr>
        <w:t xml:space="preserve"> </w:t>
      </w:r>
      <w:hyperlink r:id="rId1" w:history="1">
        <w:r w:rsidRPr="00555AF8">
          <w:rPr>
            <w:rStyle w:val="Hyperlink"/>
            <w:sz w:val="22"/>
            <w:szCs w:val="22"/>
          </w:rPr>
          <w:t>https://www.wsj.com/articles/the-fcc-has-fined-robocallers-208-million-its-collected-6-790-11553770803</w:t>
        </w:r>
      </w:hyperlink>
      <w:r w:rsidRPr="00555AF8">
        <w:rPr>
          <w:sz w:val="22"/>
          <w:szCs w:val="22"/>
        </w:rPr>
        <w:t xml:space="preserve">. </w:t>
      </w:r>
    </w:p>
  </w:footnote>
  <w:footnote w:id="4">
    <w:p w:rsidR="00AD6343" w:rsidRPr="00555AF8" w:rsidP="00AD6343" w14:paraId="3A951BF9" w14:textId="77777777">
      <w:pPr>
        <w:pStyle w:val="FootnoteText"/>
        <w:rPr>
          <w:sz w:val="22"/>
          <w:szCs w:val="22"/>
        </w:rPr>
      </w:pPr>
      <w:r w:rsidRPr="00555AF8">
        <w:rPr>
          <w:rStyle w:val="FootnoteReference"/>
          <w:sz w:val="22"/>
          <w:szCs w:val="22"/>
        </w:rPr>
        <w:footnoteRef/>
      </w:r>
      <w:r w:rsidRPr="00555AF8">
        <w:rPr>
          <w:sz w:val="22"/>
          <w:szCs w:val="22"/>
        </w:rPr>
        <w:t xml:space="preserve"> </w:t>
      </w:r>
      <w:r>
        <w:rPr>
          <w:sz w:val="22"/>
          <w:szCs w:val="22"/>
        </w:rPr>
        <w:t>R</w:t>
      </w:r>
      <w:r w:rsidRPr="00555AF8">
        <w:rPr>
          <w:sz w:val="22"/>
          <w:szCs w:val="22"/>
        </w:rPr>
        <w:t>emarks of Commissioner Ajit Pai at the PLI/FCBA 33rd Annual Institute on Telecommunications Policy &amp; Regulation, Washington, DC</w:t>
      </w:r>
      <w:r>
        <w:rPr>
          <w:sz w:val="22"/>
          <w:szCs w:val="22"/>
        </w:rPr>
        <w:t xml:space="preserve"> (Dec. 3, 2015), </w:t>
      </w:r>
      <w:hyperlink r:id="rId2" w:history="1">
        <w:r w:rsidRPr="009B52A1">
          <w:rPr>
            <w:rStyle w:val="Hyperlink"/>
            <w:sz w:val="22"/>
            <w:szCs w:val="22"/>
          </w:rPr>
          <w:t>https://www.fcc.gov/document/commissioner-pai-plifcba-remarks</w:t>
        </w:r>
      </w:hyperlink>
      <w:r>
        <w:rPr>
          <w:sz w:val="22"/>
          <w:szCs w:val="22"/>
        </w:rPr>
        <w:t xml:space="preserve">.  Commissioner Pai also mentioned </w:t>
      </w:r>
      <w:r w:rsidRPr="00555AF8">
        <w:rPr>
          <w:bCs/>
          <w:iCs/>
          <w:sz w:val="22"/>
          <w:szCs w:val="22"/>
        </w:rPr>
        <w:t xml:space="preserve">a </w:t>
      </w:r>
      <w:r>
        <w:rPr>
          <w:bCs/>
          <w:iCs/>
          <w:sz w:val="22"/>
          <w:szCs w:val="22"/>
        </w:rPr>
        <w:t xml:space="preserve">then-recent </w:t>
      </w:r>
      <w:r w:rsidRPr="00555AF8">
        <w:rPr>
          <w:bCs/>
          <w:iCs/>
          <w:sz w:val="22"/>
          <w:szCs w:val="22"/>
        </w:rPr>
        <w:t xml:space="preserve">POLITICO headline </w:t>
      </w:r>
      <w:r>
        <w:rPr>
          <w:bCs/>
          <w:iCs/>
          <w:sz w:val="22"/>
          <w:szCs w:val="22"/>
        </w:rPr>
        <w:t>that read,</w:t>
      </w:r>
      <w:r w:rsidRPr="00555AF8">
        <w:rPr>
          <w:bCs/>
          <w:iCs/>
          <w:sz w:val="22"/>
          <w:szCs w:val="22"/>
        </w:rPr>
        <w:t xml:space="preserve"> “FCC proposes millions in fines, collects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6770E" w14:textId="77777777">
    <w:pPr>
      <w:pStyle w:val="Header"/>
      <w:rPr>
        <w:b w:val="0"/>
      </w:rPr>
    </w:pPr>
    <w:r>
      <w:tab/>
      <w:t>Federal Communications Commission</w:t>
    </w:r>
    <w:r>
      <w:tab/>
    </w:r>
    <w:r w:rsidR="002E7292">
      <w:t>FCC 20-</w:t>
    </w:r>
    <w:r w:rsidR="00431B74">
      <w:t>2</w:t>
    </w:r>
    <w:r w:rsidR="003C2898">
      <w:t>7</w:t>
    </w:r>
  </w:p>
  <w:p w:rsidR="00D25FB5" w14:paraId="5F52144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AE19A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EE091D" w14:textId="346A644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92">
      <w:rPr>
        <w:spacing w:val="-2"/>
      </w:rPr>
      <w:t>FCC 20-</w:t>
    </w:r>
    <w:r w:rsidR="00AD6343">
      <w:rPr>
        <w:spacing w:val="-2"/>
      </w:rPr>
      <w:t>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D2628"/>
    <w:rsid w:val="000E05FE"/>
    <w:rsid w:val="000E3D42"/>
    <w:rsid w:val="000F799A"/>
    <w:rsid w:val="00122BD5"/>
    <w:rsid w:val="00133F79"/>
    <w:rsid w:val="00194A66"/>
    <w:rsid w:val="001D2924"/>
    <w:rsid w:val="001D6BCF"/>
    <w:rsid w:val="001E01CA"/>
    <w:rsid w:val="00275CF5"/>
    <w:rsid w:val="0027762E"/>
    <w:rsid w:val="0028301F"/>
    <w:rsid w:val="00285017"/>
    <w:rsid w:val="002A2D2E"/>
    <w:rsid w:val="002B7EDD"/>
    <w:rsid w:val="002C00E8"/>
    <w:rsid w:val="002E7292"/>
    <w:rsid w:val="003420F1"/>
    <w:rsid w:val="00343749"/>
    <w:rsid w:val="003660ED"/>
    <w:rsid w:val="0038631F"/>
    <w:rsid w:val="003B0550"/>
    <w:rsid w:val="003B694F"/>
    <w:rsid w:val="003C2898"/>
    <w:rsid w:val="003C50EB"/>
    <w:rsid w:val="003F171C"/>
    <w:rsid w:val="003F1C3C"/>
    <w:rsid w:val="00412FC5"/>
    <w:rsid w:val="00422276"/>
    <w:rsid w:val="004242F1"/>
    <w:rsid w:val="00430CF2"/>
    <w:rsid w:val="00431B74"/>
    <w:rsid w:val="00445A00"/>
    <w:rsid w:val="00451B0F"/>
    <w:rsid w:val="004550E6"/>
    <w:rsid w:val="0045749D"/>
    <w:rsid w:val="00487425"/>
    <w:rsid w:val="004C2EE3"/>
    <w:rsid w:val="004E4A22"/>
    <w:rsid w:val="00511968"/>
    <w:rsid w:val="00555AF8"/>
    <w:rsid w:val="0055614C"/>
    <w:rsid w:val="005577AD"/>
    <w:rsid w:val="00576BC1"/>
    <w:rsid w:val="005E14C2"/>
    <w:rsid w:val="00607BA5"/>
    <w:rsid w:val="0061180A"/>
    <w:rsid w:val="00626EB6"/>
    <w:rsid w:val="00655D03"/>
    <w:rsid w:val="006622F0"/>
    <w:rsid w:val="00683388"/>
    <w:rsid w:val="00683F84"/>
    <w:rsid w:val="006A6A81"/>
    <w:rsid w:val="006F7393"/>
    <w:rsid w:val="0070224F"/>
    <w:rsid w:val="007115F7"/>
    <w:rsid w:val="0072610D"/>
    <w:rsid w:val="00785689"/>
    <w:rsid w:val="0079754B"/>
    <w:rsid w:val="007A1E6D"/>
    <w:rsid w:val="007A5821"/>
    <w:rsid w:val="007B0EB2"/>
    <w:rsid w:val="00810B6F"/>
    <w:rsid w:val="00822CE0"/>
    <w:rsid w:val="00841AB1"/>
    <w:rsid w:val="008C68F1"/>
    <w:rsid w:val="008E36CD"/>
    <w:rsid w:val="008F05C7"/>
    <w:rsid w:val="009128DF"/>
    <w:rsid w:val="00921803"/>
    <w:rsid w:val="00926503"/>
    <w:rsid w:val="00934012"/>
    <w:rsid w:val="009726D8"/>
    <w:rsid w:val="009A4496"/>
    <w:rsid w:val="009B52A1"/>
    <w:rsid w:val="009F76DB"/>
    <w:rsid w:val="00A32C3B"/>
    <w:rsid w:val="00A45F4F"/>
    <w:rsid w:val="00A46422"/>
    <w:rsid w:val="00A600A9"/>
    <w:rsid w:val="00A62C86"/>
    <w:rsid w:val="00AA55B7"/>
    <w:rsid w:val="00AA5B9E"/>
    <w:rsid w:val="00AB2407"/>
    <w:rsid w:val="00AB53DF"/>
    <w:rsid w:val="00AD6343"/>
    <w:rsid w:val="00B07E5C"/>
    <w:rsid w:val="00B23FFB"/>
    <w:rsid w:val="00B811F7"/>
    <w:rsid w:val="00B95EAB"/>
    <w:rsid w:val="00BA5DC6"/>
    <w:rsid w:val="00BA6196"/>
    <w:rsid w:val="00BB57B5"/>
    <w:rsid w:val="00BC6D8C"/>
    <w:rsid w:val="00BD3718"/>
    <w:rsid w:val="00C34006"/>
    <w:rsid w:val="00C426B1"/>
    <w:rsid w:val="00C65DDD"/>
    <w:rsid w:val="00C66160"/>
    <w:rsid w:val="00C721AC"/>
    <w:rsid w:val="00C90D6A"/>
    <w:rsid w:val="00CA247E"/>
    <w:rsid w:val="00CC72B6"/>
    <w:rsid w:val="00D0218D"/>
    <w:rsid w:val="00D25FB5"/>
    <w:rsid w:val="00D44223"/>
    <w:rsid w:val="00DA2529"/>
    <w:rsid w:val="00DB130A"/>
    <w:rsid w:val="00DB2EBB"/>
    <w:rsid w:val="00DB7703"/>
    <w:rsid w:val="00DC10A1"/>
    <w:rsid w:val="00DC3DDC"/>
    <w:rsid w:val="00DC655F"/>
    <w:rsid w:val="00DD0B59"/>
    <w:rsid w:val="00DD7EBD"/>
    <w:rsid w:val="00DF62B6"/>
    <w:rsid w:val="00E07225"/>
    <w:rsid w:val="00E34420"/>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21"/>
    <w:pPr>
      <w:widowControl w:val="0"/>
    </w:pPr>
    <w:rPr>
      <w:snapToGrid w:val="0"/>
      <w:kern w:val="28"/>
      <w:sz w:val="22"/>
    </w:rPr>
  </w:style>
  <w:style w:type="paragraph" w:styleId="Heading1">
    <w:name w:val="heading 1"/>
    <w:basedOn w:val="Normal"/>
    <w:next w:val="ParaNum"/>
    <w:qFormat/>
    <w:rsid w:val="007A58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5821"/>
    <w:pPr>
      <w:keepNext/>
      <w:numPr>
        <w:ilvl w:val="1"/>
        <w:numId w:val="3"/>
      </w:numPr>
      <w:spacing w:after="120"/>
      <w:outlineLvl w:val="1"/>
    </w:pPr>
    <w:rPr>
      <w:b/>
    </w:rPr>
  </w:style>
  <w:style w:type="paragraph" w:styleId="Heading3">
    <w:name w:val="heading 3"/>
    <w:basedOn w:val="Normal"/>
    <w:next w:val="ParaNum"/>
    <w:qFormat/>
    <w:rsid w:val="007A5821"/>
    <w:pPr>
      <w:keepNext/>
      <w:numPr>
        <w:ilvl w:val="2"/>
        <w:numId w:val="3"/>
      </w:numPr>
      <w:tabs>
        <w:tab w:val="left" w:pos="2160"/>
      </w:tabs>
      <w:spacing w:after="120"/>
      <w:outlineLvl w:val="2"/>
    </w:pPr>
    <w:rPr>
      <w:b/>
    </w:rPr>
  </w:style>
  <w:style w:type="paragraph" w:styleId="Heading4">
    <w:name w:val="heading 4"/>
    <w:basedOn w:val="Normal"/>
    <w:next w:val="ParaNum"/>
    <w:qFormat/>
    <w:rsid w:val="007A5821"/>
    <w:pPr>
      <w:keepNext/>
      <w:numPr>
        <w:ilvl w:val="3"/>
        <w:numId w:val="3"/>
      </w:numPr>
      <w:tabs>
        <w:tab w:val="left" w:pos="2880"/>
      </w:tabs>
      <w:spacing w:after="120"/>
      <w:outlineLvl w:val="3"/>
    </w:pPr>
    <w:rPr>
      <w:b/>
    </w:rPr>
  </w:style>
  <w:style w:type="paragraph" w:styleId="Heading5">
    <w:name w:val="heading 5"/>
    <w:basedOn w:val="Normal"/>
    <w:next w:val="ParaNum"/>
    <w:qFormat/>
    <w:rsid w:val="007A582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A5821"/>
    <w:pPr>
      <w:numPr>
        <w:ilvl w:val="5"/>
        <w:numId w:val="3"/>
      </w:numPr>
      <w:tabs>
        <w:tab w:val="left" w:pos="4320"/>
      </w:tabs>
      <w:spacing w:after="120"/>
      <w:outlineLvl w:val="5"/>
    </w:pPr>
    <w:rPr>
      <w:b/>
    </w:rPr>
  </w:style>
  <w:style w:type="paragraph" w:styleId="Heading7">
    <w:name w:val="heading 7"/>
    <w:basedOn w:val="Normal"/>
    <w:next w:val="ParaNum"/>
    <w:qFormat/>
    <w:rsid w:val="007A58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A582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A58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A58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5821"/>
  </w:style>
  <w:style w:type="paragraph" w:customStyle="1" w:styleId="ParaNum">
    <w:name w:val="ParaNum"/>
    <w:basedOn w:val="Normal"/>
    <w:rsid w:val="007A5821"/>
    <w:pPr>
      <w:numPr>
        <w:numId w:val="2"/>
      </w:numPr>
      <w:tabs>
        <w:tab w:val="clear" w:pos="1080"/>
        <w:tab w:val="num" w:pos="1440"/>
      </w:tabs>
      <w:spacing w:after="120"/>
    </w:pPr>
  </w:style>
  <w:style w:type="paragraph" w:styleId="EndnoteText">
    <w:name w:val="endnote text"/>
    <w:basedOn w:val="Normal"/>
    <w:semiHidden/>
    <w:rsid w:val="007A5821"/>
    <w:rPr>
      <w:sz w:val="20"/>
    </w:rPr>
  </w:style>
  <w:style w:type="character" w:styleId="EndnoteReference">
    <w:name w:val="endnote reference"/>
    <w:semiHidden/>
    <w:rsid w:val="007A5821"/>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rrfootnote Char Char"/>
    <w:link w:val="FootnoteTextChar"/>
    <w:rsid w:val="007A5821"/>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7A5821"/>
    <w:rPr>
      <w:rFonts w:ascii="Times New Roman" w:hAnsi="Times New Roman"/>
      <w:dstrike w:val="0"/>
      <w:color w:val="auto"/>
      <w:sz w:val="20"/>
      <w:vertAlign w:val="superscript"/>
    </w:rPr>
  </w:style>
  <w:style w:type="paragraph" w:styleId="TOC1">
    <w:name w:val="toc 1"/>
    <w:basedOn w:val="Normal"/>
    <w:next w:val="Normal"/>
    <w:semiHidden/>
    <w:rsid w:val="007A58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5821"/>
    <w:pPr>
      <w:tabs>
        <w:tab w:val="left" w:pos="720"/>
        <w:tab w:val="right" w:leader="dot" w:pos="9360"/>
      </w:tabs>
      <w:suppressAutoHyphens/>
      <w:ind w:left="720" w:right="720" w:hanging="360"/>
    </w:pPr>
    <w:rPr>
      <w:noProof/>
    </w:rPr>
  </w:style>
  <w:style w:type="paragraph" w:styleId="TOC3">
    <w:name w:val="toc 3"/>
    <w:basedOn w:val="Normal"/>
    <w:next w:val="Normal"/>
    <w:semiHidden/>
    <w:rsid w:val="007A58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58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58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58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58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58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58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5821"/>
    <w:pPr>
      <w:tabs>
        <w:tab w:val="right" w:pos="9360"/>
      </w:tabs>
      <w:suppressAutoHyphens/>
    </w:pPr>
  </w:style>
  <w:style w:type="character" w:customStyle="1" w:styleId="EquationCaption">
    <w:name w:val="_Equation Caption"/>
    <w:rsid w:val="007A5821"/>
  </w:style>
  <w:style w:type="paragraph" w:styleId="Header">
    <w:name w:val="header"/>
    <w:basedOn w:val="Normal"/>
    <w:autoRedefine/>
    <w:rsid w:val="007A5821"/>
    <w:pPr>
      <w:tabs>
        <w:tab w:val="center" w:pos="4680"/>
        <w:tab w:val="right" w:pos="9360"/>
      </w:tabs>
    </w:pPr>
    <w:rPr>
      <w:b/>
    </w:rPr>
  </w:style>
  <w:style w:type="paragraph" w:styleId="Footer">
    <w:name w:val="footer"/>
    <w:basedOn w:val="Normal"/>
    <w:rsid w:val="007A5821"/>
    <w:pPr>
      <w:tabs>
        <w:tab w:val="center" w:pos="4320"/>
        <w:tab w:val="right" w:pos="8640"/>
      </w:tabs>
    </w:pPr>
  </w:style>
  <w:style w:type="character" w:styleId="PageNumber">
    <w:name w:val="page number"/>
    <w:basedOn w:val="DefaultParagraphFont"/>
    <w:rsid w:val="007A5821"/>
  </w:style>
  <w:style w:type="paragraph" w:styleId="BlockText">
    <w:name w:val="Block Text"/>
    <w:basedOn w:val="Normal"/>
    <w:rsid w:val="007A5821"/>
    <w:pPr>
      <w:spacing w:after="240"/>
      <w:ind w:left="1440" w:right="1440"/>
    </w:pPr>
  </w:style>
  <w:style w:type="paragraph" w:customStyle="1" w:styleId="Paratitle">
    <w:name w:val="Para title"/>
    <w:basedOn w:val="Normal"/>
    <w:rsid w:val="007A5821"/>
    <w:pPr>
      <w:tabs>
        <w:tab w:val="center" w:pos="9270"/>
      </w:tabs>
      <w:spacing w:after="240"/>
    </w:pPr>
    <w:rPr>
      <w:spacing w:val="-2"/>
    </w:rPr>
  </w:style>
  <w:style w:type="paragraph" w:customStyle="1" w:styleId="Bullet">
    <w:name w:val="Bullet"/>
    <w:basedOn w:val="Normal"/>
    <w:rsid w:val="007A5821"/>
    <w:pPr>
      <w:tabs>
        <w:tab w:val="left" w:pos="2160"/>
      </w:tabs>
      <w:spacing w:after="220"/>
      <w:ind w:left="2160" w:hanging="720"/>
    </w:pPr>
  </w:style>
  <w:style w:type="paragraph" w:customStyle="1" w:styleId="TableFormat">
    <w:name w:val="TableFormat"/>
    <w:basedOn w:val="Bullet"/>
    <w:rsid w:val="007A5821"/>
    <w:pPr>
      <w:tabs>
        <w:tab w:val="clear" w:pos="2160"/>
        <w:tab w:val="left" w:pos="5040"/>
      </w:tabs>
      <w:ind w:left="5040" w:hanging="3600"/>
    </w:pPr>
  </w:style>
  <w:style w:type="paragraph" w:customStyle="1" w:styleId="TOCTitle">
    <w:name w:val="TOC Title"/>
    <w:basedOn w:val="Normal"/>
    <w:rsid w:val="007A58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5821"/>
    <w:pPr>
      <w:jc w:val="center"/>
    </w:pPr>
    <w:rPr>
      <w:rFonts w:ascii="Times New Roman Bold" w:hAnsi="Times New Roman Bold"/>
      <w:b/>
      <w:bCs/>
      <w:caps/>
      <w:szCs w:val="22"/>
    </w:rPr>
  </w:style>
  <w:style w:type="character" w:styleId="Hyperlink">
    <w:name w:val="Hyperlink"/>
    <w:rsid w:val="007A5821"/>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 Char,Style 5 Char Char Char"/>
    <w:link w:val="FootnoteText"/>
    <w:locked/>
    <w:rsid w:val="002E7292"/>
  </w:style>
  <w:style w:type="paragraph" w:customStyle="1" w:styleId="ItemTitle">
    <w:name w:val="Item Title"/>
    <w:basedOn w:val="Normal"/>
    <w:link w:val="ItemTitleChar"/>
    <w:qFormat/>
    <w:rsid w:val="002E7292"/>
    <w:pPr>
      <w:widowControl/>
      <w:jc w:val="center"/>
    </w:pPr>
    <w:rPr>
      <w:rFonts w:ascii="Arial" w:hAnsi="Arial" w:eastAsiaTheme="minorHAnsi" w:cs="Arial"/>
      <w:i/>
      <w:snapToGrid/>
      <w:kern w:val="0"/>
      <w:sz w:val="24"/>
      <w:szCs w:val="24"/>
    </w:rPr>
  </w:style>
  <w:style w:type="character" w:customStyle="1" w:styleId="ItemTitleChar">
    <w:name w:val="Item Title Char"/>
    <w:basedOn w:val="DefaultParagraphFont"/>
    <w:link w:val="ItemTitle"/>
    <w:rsid w:val="002E7292"/>
    <w:rPr>
      <w:rFonts w:ascii="Arial" w:hAnsi="Arial" w:eastAsiaTheme="minorHAnsi" w:cs="Arial"/>
      <w:i/>
      <w:sz w:val="24"/>
      <w:szCs w:val="24"/>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E3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sj.com/articles/the-fcc-has-fined-robocallers-208-million-its-collected-6-790-11553770803" TargetMode="External" /><Relationship Id="rId2" Type="http://schemas.openxmlformats.org/officeDocument/2006/relationships/hyperlink" Target="https://www.fcc.gov/document/commissioner-pai-plifcba-remark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