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351FBD0F" w14:textId="77777777" w:rsidTr="46D70228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2B40749" w14:paraId="7CA44601" w14:textId="66B20C4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462116339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947495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51E93B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116B1C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EAEB2ED" w14:textId="230ED3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</w:t>
            </w:r>
            <w:r w:rsidR="009A597D"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2F12F834" w14:textId="108637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5C8AF0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EEF1B4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5F618B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51AE" w:rsidP="007000A1" w14:paraId="764F3431" w14:textId="0B30C2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443DE8">
              <w:rPr>
                <w:b/>
                <w:bCs/>
                <w:sz w:val="26"/>
                <w:szCs w:val="26"/>
              </w:rPr>
              <w:t xml:space="preserve">FCC AUTHORIZES </w:t>
            </w:r>
            <w:r w:rsidR="00CB5F74">
              <w:rPr>
                <w:b/>
                <w:bCs/>
                <w:sz w:val="26"/>
                <w:szCs w:val="26"/>
              </w:rPr>
              <w:t xml:space="preserve">OVER </w:t>
            </w:r>
            <w:r w:rsidRPr="00443DE8">
              <w:rPr>
                <w:b/>
                <w:bCs/>
                <w:sz w:val="26"/>
                <w:szCs w:val="26"/>
              </w:rPr>
              <w:t>$7</w:t>
            </w:r>
            <w:r w:rsidR="00E00E26">
              <w:rPr>
                <w:b/>
                <w:bCs/>
                <w:sz w:val="26"/>
                <w:szCs w:val="26"/>
              </w:rPr>
              <w:t>.</w:t>
            </w:r>
            <w:r w:rsidR="00CB5F74">
              <w:rPr>
                <w:b/>
                <w:bCs/>
                <w:sz w:val="26"/>
                <w:szCs w:val="26"/>
              </w:rPr>
              <w:t>4</w:t>
            </w:r>
            <w:r w:rsidRPr="00443DE8">
              <w:rPr>
                <w:b/>
                <w:bCs/>
                <w:sz w:val="26"/>
                <w:szCs w:val="26"/>
              </w:rPr>
              <w:t xml:space="preserve"> MILLION </w:t>
            </w:r>
            <w:r w:rsidR="009A597D">
              <w:rPr>
                <w:b/>
                <w:bCs/>
                <w:sz w:val="26"/>
                <w:szCs w:val="26"/>
              </w:rPr>
              <w:t>FOR RURAL</w:t>
            </w:r>
            <w:r w:rsidR="00E00E26">
              <w:rPr>
                <w:b/>
                <w:bCs/>
                <w:sz w:val="26"/>
                <w:szCs w:val="26"/>
              </w:rPr>
              <w:t xml:space="preserve"> </w:t>
            </w:r>
            <w:r w:rsidR="009A597D">
              <w:rPr>
                <w:b/>
                <w:bCs/>
                <w:sz w:val="26"/>
                <w:szCs w:val="26"/>
              </w:rPr>
              <w:t>BROADBAND</w:t>
            </w:r>
          </w:p>
          <w:p w:rsidR="00E00E26" w:rsidRPr="007000A1" w:rsidP="003D4B8C" w14:paraId="2175E800" w14:textId="68A0F897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007000A1">
              <w:rPr>
                <w:b/>
                <w:bCs/>
                <w:i/>
                <w:iCs/>
              </w:rPr>
              <w:t xml:space="preserve">Will Expand Deployment </w:t>
            </w:r>
            <w:r w:rsidR="00CB5F74">
              <w:rPr>
                <w:b/>
                <w:bCs/>
                <w:i/>
                <w:iCs/>
              </w:rPr>
              <w:t>to</w:t>
            </w:r>
            <w:r w:rsidRPr="007000A1" w:rsidR="00CB5F74">
              <w:rPr>
                <w:b/>
                <w:bCs/>
                <w:i/>
                <w:iCs/>
              </w:rPr>
              <w:t xml:space="preserve"> </w:t>
            </w:r>
            <w:r w:rsidRPr="007000A1">
              <w:rPr>
                <w:b/>
                <w:bCs/>
                <w:i/>
                <w:iCs/>
              </w:rPr>
              <w:t>11,852 Rural Locations</w:t>
            </w:r>
            <w:r w:rsidR="00CB5F74">
              <w:rPr>
                <w:b/>
                <w:bCs/>
                <w:i/>
                <w:iCs/>
              </w:rPr>
              <w:t>,</w:t>
            </w:r>
            <w:r w:rsidR="005D4AB4">
              <w:rPr>
                <w:b/>
                <w:bCs/>
                <w:i/>
                <w:iCs/>
              </w:rPr>
              <w:t xml:space="preserve"> Including </w:t>
            </w:r>
            <w:r w:rsidR="00CB5F74">
              <w:rPr>
                <w:b/>
                <w:bCs/>
                <w:i/>
                <w:iCs/>
              </w:rPr>
              <w:t xml:space="preserve">on </w:t>
            </w:r>
            <w:r w:rsidR="005D4AB4">
              <w:rPr>
                <w:b/>
                <w:bCs/>
                <w:i/>
                <w:iCs/>
              </w:rPr>
              <w:t>Tribal Lands</w:t>
            </w:r>
          </w:p>
          <w:p w:rsidR="00F61155" w:rsidRPr="006B0A70" w:rsidP="003D4B8C" w14:paraId="00590208" w14:textId="30A8EC18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</w:p>
          <w:p w:rsidR="00443DE8" w:rsidP="00443DE8" w14:paraId="3D3E3237" w14:textId="11136479">
            <w:pPr>
              <w:rPr>
                <w:sz w:val="22"/>
                <w:szCs w:val="22"/>
              </w:rPr>
            </w:pPr>
            <w:r w:rsidRPr="00443DE8">
              <w:rPr>
                <w:sz w:val="22"/>
                <w:szCs w:val="22"/>
              </w:rPr>
              <w:t>WASHINGTON,</w:t>
            </w:r>
            <w:r w:rsidR="009A597D">
              <w:rPr>
                <w:sz w:val="22"/>
                <w:szCs w:val="22"/>
              </w:rPr>
              <w:t xml:space="preserve"> </w:t>
            </w:r>
            <w:r w:rsidRPr="00E724F2" w:rsidR="009A597D">
              <w:rPr>
                <w:sz w:val="22"/>
                <w:szCs w:val="22"/>
              </w:rPr>
              <w:t>June 12</w:t>
            </w:r>
            <w:r w:rsidRPr="00E724F2" w:rsidR="00065E2D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443DE8">
              <w:rPr>
                <w:sz w:val="22"/>
                <w:szCs w:val="22"/>
              </w:rPr>
              <w:t xml:space="preserve">The Federal Communications Commission today authorized </w:t>
            </w:r>
            <w:r w:rsidR="00CB5F74">
              <w:rPr>
                <w:sz w:val="22"/>
                <w:szCs w:val="22"/>
              </w:rPr>
              <w:t>over</w:t>
            </w:r>
            <w:r w:rsidRPr="00443DE8" w:rsidR="00CB5F74">
              <w:rPr>
                <w:sz w:val="22"/>
                <w:szCs w:val="22"/>
              </w:rPr>
              <w:t xml:space="preserve"> </w:t>
            </w:r>
            <w:r w:rsidRPr="00443DE8">
              <w:rPr>
                <w:sz w:val="22"/>
                <w:szCs w:val="22"/>
              </w:rPr>
              <w:t>$7.</w:t>
            </w:r>
            <w:r w:rsidR="00CB5F74">
              <w:rPr>
                <w:sz w:val="22"/>
                <w:szCs w:val="22"/>
              </w:rPr>
              <w:t>4</w:t>
            </w:r>
            <w:r w:rsidRPr="00443DE8">
              <w:rPr>
                <w:sz w:val="22"/>
                <w:szCs w:val="22"/>
              </w:rPr>
              <w:t xml:space="preserve"> million in funding over ten years to expand rural broadband in </w:t>
            </w:r>
            <w:r w:rsidR="001F1B9A">
              <w:rPr>
                <w:sz w:val="22"/>
                <w:szCs w:val="22"/>
              </w:rPr>
              <w:t>Oklahoma and Oregon</w:t>
            </w:r>
            <w:r w:rsidRPr="00443DE8">
              <w:rPr>
                <w:sz w:val="22"/>
                <w:szCs w:val="22"/>
              </w:rPr>
              <w:t xml:space="preserve">. </w:t>
            </w:r>
            <w:r w:rsidR="002D0204">
              <w:rPr>
                <w:sz w:val="22"/>
                <w:szCs w:val="22"/>
              </w:rPr>
              <w:t xml:space="preserve"> </w:t>
            </w:r>
            <w:r w:rsidR="006A3331">
              <w:rPr>
                <w:sz w:val="22"/>
                <w:szCs w:val="22"/>
              </w:rPr>
              <w:t xml:space="preserve">Tribal provider </w:t>
            </w:r>
            <w:r w:rsidR="006A3331">
              <w:rPr>
                <w:sz w:val="22"/>
                <w:szCs w:val="22"/>
              </w:rPr>
              <w:t>Redwire</w:t>
            </w:r>
            <w:r w:rsidR="006A3331">
              <w:rPr>
                <w:sz w:val="22"/>
                <w:szCs w:val="22"/>
              </w:rPr>
              <w:t xml:space="preserve"> </w:t>
            </w:r>
            <w:r w:rsidR="00CB5F74">
              <w:rPr>
                <w:sz w:val="22"/>
                <w:szCs w:val="22"/>
              </w:rPr>
              <w:t xml:space="preserve">will receive </w:t>
            </w:r>
            <w:r w:rsidR="006A3331">
              <w:rPr>
                <w:sz w:val="22"/>
                <w:szCs w:val="22"/>
              </w:rPr>
              <w:t xml:space="preserve">$4,766,845.60 to provide </w:t>
            </w:r>
            <w:r w:rsidR="00CB5F74">
              <w:rPr>
                <w:sz w:val="22"/>
                <w:szCs w:val="22"/>
              </w:rPr>
              <w:t xml:space="preserve">fixed </w:t>
            </w:r>
            <w:r w:rsidR="006A3331">
              <w:rPr>
                <w:sz w:val="22"/>
                <w:szCs w:val="22"/>
              </w:rPr>
              <w:t xml:space="preserve">broadband </w:t>
            </w:r>
            <w:r w:rsidR="00CB5F74">
              <w:rPr>
                <w:sz w:val="22"/>
                <w:szCs w:val="22"/>
              </w:rPr>
              <w:t>of at least</w:t>
            </w:r>
            <w:r w:rsidR="006A3331">
              <w:rPr>
                <w:sz w:val="22"/>
                <w:szCs w:val="22"/>
              </w:rPr>
              <w:t xml:space="preserve"> 25/3 Mbps to 8,041 rural homes and businesses in Oklahoma, </w:t>
            </w:r>
            <w:r w:rsidR="00B6184D">
              <w:rPr>
                <w:sz w:val="22"/>
                <w:szCs w:val="22"/>
              </w:rPr>
              <w:t>including</w:t>
            </w:r>
            <w:r w:rsidR="006A3331">
              <w:rPr>
                <w:sz w:val="22"/>
                <w:szCs w:val="22"/>
              </w:rPr>
              <w:t xml:space="preserve"> in Tribal areas.  </w:t>
            </w:r>
            <w:r w:rsidR="006A3331">
              <w:rPr>
                <w:sz w:val="22"/>
                <w:szCs w:val="22"/>
              </w:rPr>
              <w:t>Viasat</w:t>
            </w:r>
            <w:r w:rsidR="006A3331">
              <w:rPr>
                <w:sz w:val="22"/>
                <w:szCs w:val="22"/>
              </w:rPr>
              <w:t xml:space="preserve"> will serve 3,811 rural locations in Oregon with $2,708,529.40 in FCC support.  </w:t>
            </w:r>
            <w:r w:rsidRPr="00443DE8">
              <w:rPr>
                <w:sz w:val="22"/>
                <w:szCs w:val="22"/>
              </w:rPr>
              <w:t>T</w:t>
            </w:r>
            <w:r w:rsidR="00A60454">
              <w:rPr>
                <w:sz w:val="22"/>
                <w:szCs w:val="22"/>
              </w:rPr>
              <w:t>ogether t</w:t>
            </w:r>
            <w:r w:rsidRPr="00443DE8">
              <w:rPr>
                <w:sz w:val="22"/>
                <w:szCs w:val="22"/>
              </w:rPr>
              <w:t>hese investments will</w:t>
            </w:r>
            <w:r w:rsidR="006A3331">
              <w:rPr>
                <w:sz w:val="22"/>
                <w:szCs w:val="22"/>
              </w:rPr>
              <w:t xml:space="preserve"> </w:t>
            </w:r>
            <w:r w:rsidRPr="00443DE8">
              <w:rPr>
                <w:sz w:val="22"/>
                <w:szCs w:val="22"/>
              </w:rPr>
              <w:t xml:space="preserve">connect </w:t>
            </w:r>
            <w:r w:rsidR="001F1B9A">
              <w:rPr>
                <w:sz w:val="22"/>
                <w:szCs w:val="22"/>
              </w:rPr>
              <w:t>11,852</w:t>
            </w:r>
            <w:r w:rsidRPr="00443DE8">
              <w:rPr>
                <w:sz w:val="22"/>
                <w:szCs w:val="22"/>
              </w:rPr>
              <w:t xml:space="preserve"> unserved rural homes and businesses. </w:t>
            </w:r>
            <w:r w:rsidR="009476DB">
              <w:rPr>
                <w:sz w:val="22"/>
                <w:szCs w:val="22"/>
              </w:rPr>
              <w:t xml:space="preserve"> </w:t>
            </w:r>
          </w:p>
          <w:p w:rsidR="00443DE8" w:rsidRPr="00443DE8" w:rsidP="00443DE8" w14:paraId="20A3505E" w14:textId="77777777">
            <w:pPr>
              <w:rPr>
                <w:sz w:val="22"/>
                <w:szCs w:val="22"/>
              </w:rPr>
            </w:pPr>
          </w:p>
          <w:p w:rsidR="00443DE8" w:rsidP="00443DE8" w14:paraId="16193B27" w14:textId="5CF6C4C3">
            <w:pPr>
              <w:rPr>
                <w:sz w:val="22"/>
                <w:szCs w:val="22"/>
              </w:rPr>
            </w:pPr>
            <w:r w:rsidRPr="00443DE8">
              <w:rPr>
                <w:sz w:val="22"/>
                <w:szCs w:val="22"/>
              </w:rPr>
              <w:t>“</w:t>
            </w:r>
            <w:r w:rsidR="001F1B9A">
              <w:rPr>
                <w:sz w:val="22"/>
                <w:szCs w:val="22"/>
              </w:rPr>
              <w:t xml:space="preserve">Bringing broadband to unserved rural </w:t>
            </w:r>
            <w:r w:rsidR="00111AC7">
              <w:rPr>
                <w:sz w:val="22"/>
                <w:szCs w:val="22"/>
              </w:rPr>
              <w:t xml:space="preserve">homes and businesses </w:t>
            </w:r>
            <w:r w:rsidR="001F1B9A">
              <w:rPr>
                <w:sz w:val="22"/>
                <w:szCs w:val="22"/>
              </w:rPr>
              <w:t xml:space="preserve">in Oklahoma and Oregon will make a real difference to these communities and continue our </w:t>
            </w:r>
            <w:r w:rsidR="009A597D">
              <w:rPr>
                <w:sz w:val="22"/>
                <w:szCs w:val="22"/>
              </w:rPr>
              <w:t xml:space="preserve">progress in </w:t>
            </w:r>
            <w:r w:rsidRPr="00443DE8">
              <w:rPr>
                <w:sz w:val="22"/>
                <w:szCs w:val="22"/>
              </w:rPr>
              <w:t>clos</w:t>
            </w:r>
            <w:r w:rsidR="009A597D">
              <w:rPr>
                <w:sz w:val="22"/>
                <w:szCs w:val="22"/>
              </w:rPr>
              <w:t xml:space="preserve">ing </w:t>
            </w:r>
            <w:r w:rsidRPr="00443DE8">
              <w:rPr>
                <w:sz w:val="22"/>
                <w:szCs w:val="22"/>
              </w:rPr>
              <w:t>the digital divide,</w:t>
            </w:r>
            <w:r w:rsidR="009A597D">
              <w:rPr>
                <w:sz w:val="22"/>
                <w:szCs w:val="22"/>
              </w:rPr>
              <w:t xml:space="preserve">” </w:t>
            </w:r>
            <w:r w:rsidRPr="00443DE8" w:rsidR="009A597D">
              <w:rPr>
                <w:sz w:val="22"/>
                <w:szCs w:val="22"/>
              </w:rPr>
              <w:t>said FCC Chairman Ajit Pai.</w:t>
            </w:r>
            <w:r w:rsidRPr="00443DE8">
              <w:rPr>
                <w:sz w:val="22"/>
                <w:szCs w:val="22"/>
              </w:rPr>
              <w:t xml:space="preserve"> </w:t>
            </w:r>
            <w:r w:rsidR="009A597D">
              <w:rPr>
                <w:sz w:val="22"/>
                <w:szCs w:val="22"/>
              </w:rPr>
              <w:t xml:space="preserve"> “I am determined to do everything possible </w:t>
            </w:r>
            <w:r w:rsidRPr="00443DE8">
              <w:rPr>
                <w:sz w:val="22"/>
                <w:szCs w:val="22"/>
              </w:rPr>
              <w:t>to ensure all Americans are able to access online resources for work, education, and healthcare</w:t>
            </w:r>
            <w:r w:rsidR="009A597D">
              <w:rPr>
                <w:sz w:val="22"/>
                <w:szCs w:val="22"/>
              </w:rPr>
              <w:t xml:space="preserve">. </w:t>
            </w:r>
            <w:r w:rsidRPr="00443DE8">
              <w:rPr>
                <w:sz w:val="22"/>
                <w:szCs w:val="22"/>
              </w:rPr>
              <w:t>The FCC is delivering real value at a critical time for our nation, particularly to those living in unconnected rural areas.”</w:t>
            </w:r>
          </w:p>
          <w:p w:rsidR="00443DE8" w:rsidRPr="00443DE8" w:rsidP="00443DE8" w14:paraId="7ACB17BE" w14:textId="77777777">
            <w:pPr>
              <w:rPr>
                <w:sz w:val="22"/>
                <w:szCs w:val="22"/>
              </w:rPr>
            </w:pPr>
          </w:p>
          <w:p w:rsidR="00443DE8" w:rsidP="00443DE8" w14:paraId="60FF1278" w14:textId="13EEA591">
            <w:pPr>
              <w:rPr>
                <w:sz w:val="22"/>
                <w:szCs w:val="22"/>
              </w:rPr>
            </w:pPr>
            <w:r w:rsidRPr="00443DE8">
              <w:rPr>
                <w:sz w:val="22"/>
                <w:szCs w:val="22"/>
              </w:rPr>
              <w:t xml:space="preserve">The funding represents the </w:t>
            </w:r>
            <w:r w:rsidRPr="006A3331" w:rsidR="009A597D">
              <w:rPr>
                <w:sz w:val="22"/>
                <w:szCs w:val="22"/>
              </w:rPr>
              <w:t>13</w:t>
            </w:r>
            <w:r w:rsidRPr="006A3331">
              <w:rPr>
                <w:sz w:val="22"/>
                <w:szCs w:val="22"/>
                <w:vertAlign w:val="superscript"/>
              </w:rPr>
              <w:t>th</w:t>
            </w:r>
            <w:r w:rsidRPr="00443DE8">
              <w:rPr>
                <w:sz w:val="22"/>
                <w:szCs w:val="22"/>
              </w:rPr>
              <w:t xml:space="preserve"> wave of support from the successful 2018 Connect America Fund Phase II auction. </w:t>
            </w:r>
            <w:r w:rsidR="002D0204">
              <w:rPr>
                <w:sz w:val="22"/>
                <w:szCs w:val="22"/>
              </w:rPr>
              <w:t xml:space="preserve"> </w:t>
            </w:r>
            <w:r w:rsidRPr="006A3331">
              <w:rPr>
                <w:sz w:val="22"/>
                <w:szCs w:val="22"/>
              </w:rPr>
              <w:t xml:space="preserve">Providers must build out to 40% of the assigned homes and businesses in the areas won in a state within three years. </w:t>
            </w:r>
            <w:r w:rsidRPr="006A3331" w:rsidR="002D0204">
              <w:rPr>
                <w:sz w:val="22"/>
                <w:szCs w:val="22"/>
              </w:rPr>
              <w:t xml:space="preserve"> </w:t>
            </w:r>
            <w:r w:rsidRPr="006A3331">
              <w:rPr>
                <w:sz w:val="22"/>
                <w:szCs w:val="22"/>
              </w:rPr>
              <w:t>Buildout must increase by 20% in each subsequent year, until complete buildout is reached at the end of the sixth year.</w:t>
            </w:r>
            <w:r w:rsidRPr="00443DE8">
              <w:rPr>
                <w:sz w:val="22"/>
                <w:szCs w:val="22"/>
              </w:rPr>
              <w:t xml:space="preserve"> </w:t>
            </w:r>
            <w:r w:rsidR="002D0204">
              <w:rPr>
                <w:sz w:val="22"/>
                <w:szCs w:val="22"/>
              </w:rPr>
              <w:t xml:space="preserve"> </w:t>
            </w:r>
          </w:p>
          <w:p w:rsidR="00443DE8" w:rsidP="00443DE8" w14:paraId="091C343E" w14:textId="3588EAF5">
            <w:pPr>
              <w:rPr>
                <w:sz w:val="22"/>
                <w:szCs w:val="22"/>
              </w:rPr>
            </w:pPr>
          </w:p>
          <w:p w:rsidR="00DC32E0" w:rsidP="00443DE8" w14:paraId="60AA868E" w14:textId="77777777">
            <w:pPr>
              <w:rPr>
                <w:sz w:val="22"/>
                <w:szCs w:val="22"/>
              </w:rPr>
            </w:pPr>
          </w:p>
          <w:tbl>
            <w:tblPr>
              <w:tblW w:w="8414" w:type="dxa"/>
              <w:tblLook w:val="04A0"/>
            </w:tblPr>
            <w:tblGrid>
              <w:gridCol w:w="1477"/>
              <w:gridCol w:w="2379"/>
              <w:gridCol w:w="1702"/>
              <w:gridCol w:w="1712"/>
              <w:gridCol w:w="1144"/>
            </w:tblGrid>
            <w:tr w14:paraId="16C6B889" w14:textId="77777777" w:rsidTr="46D70228">
              <w:tblPrEx>
                <w:tblW w:w="8414" w:type="dxa"/>
                <w:tblLook w:val="04A0"/>
              </w:tblPrEx>
              <w:trPr>
                <w:trHeight w:val="585"/>
              </w:trPr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E4B" w:rsidRPr="00816D8D" w:rsidP="00A32E4B" w14:paraId="14B5DDDE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16D8D">
                    <w:rPr>
                      <w:b/>
                      <w:bCs/>
                      <w:color w:val="000000"/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E4B" w:rsidRPr="00816D8D" w:rsidP="00A32E4B" w14:paraId="200D5907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16D8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Company             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E4B" w:rsidRPr="00816D8D" w:rsidP="00A32E4B" w14:paraId="3B1D310B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16D8D">
                    <w:rPr>
                      <w:b/>
                      <w:bCs/>
                      <w:color w:val="000000"/>
                      <w:sz w:val="22"/>
                      <w:szCs w:val="22"/>
                    </w:rPr>
                    <w:t>Minimum Speed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E4B" w:rsidRPr="00816D8D" w:rsidP="00A32E4B" w14:paraId="69EF421E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16D8D">
                    <w:rPr>
                      <w:b/>
                      <w:bCs/>
                      <w:color w:val="000000"/>
                      <w:sz w:val="22"/>
                      <w:szCs w:val="22"/>
                    </w:rPr>
                    <w:t>Support/10 Years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E4B" w:rsidRPr="00816D8D" w:rsidP="00A32E4B" w14:paraId="1AC871E9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16D8D">
                    <w:rPr>
                      <w:b/>
                      <w:bCs/>
                      <w:color w:val="000000"/>
                      <w:sz w:val="22"/>
                      <w:szCs w:val="22"/>
                    </w:rPr>
                    <w:t>Locations</w:t>
                  </w:r>
                </w:p>
              </w:tc>
            </w:tr>
            <w:tr w14:paraId="7AE049EB" w14:textId="77777777" w:rsidTr="46D70228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32E4B" w:rsidRPr="00816D8D" w:rsidP="00A32E4B" w14:paraId="60A21EC8" w14:textId="192E08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32E4B" w:rsidRPr="00816D8D" w:rsidP="00A32E4B" w14:paraId="4683D5A4" w14:textId="20B73EE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Redwire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32E4B" w:rsidRPr="00E00E26" w:rsidP="00A32E4B" w14:paraId="4AA7DF80" w14:textId="7FB17530">
                  <w:pPr>
                    <w:jc w:val="center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111AC7"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32E4B" w:rsidRPr="00816D8D" w:rsidP="00A32E4B" w14:paraId="2536130F" w14:textId="26132251">
                  <w:pPr>
                    <w:jc w:val="center"/>
                    <w:rPr>
                      <w:sz w:val="22"/>
                      <w:szCs w:val="22"/>
                    </w:rPr>
                  </w:pPr>
                  <w:r w:rsidRPr="00816D8D">
                    <w:rPr>
                      <w:sz w:val="22"/>
                      <w:szCs w:val="22"/>
                    </w:rPr>
                    <w:t>$</w:t>
                  </w:r>
                  <w:r w:rsidR="009A597D">
                    <w:rPr>
                      <w:sz w:val="22"/>
                      <w:szCs w:val="22"/>
                    </w:rPr>
                    <w:t>4,766,845.60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32E4B" w:rsidRPr="00816D8D" w:rsidP="00A32E4B" w14:paraId="2685ECF5" w14:textId="020F68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8,041</w:t>
                  </w:r>
                </w:p>
              </w:tc>
            </w:tr>
            <w:tr w14:paraId="3CDC7A8E" w14:textId="77777777" w:rsidTr="46D70228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16D8D" w:rsidRPr="00816D8D" w:rsidP="00816D8D" w14:paraId="0980B130" w14:textId="6BF4F14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Oregon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16D8D" w:rsidRPr="00816D8D" w:rsidP="00816D8D" w14:paraId="291A38CF" w14:textId="55E9A2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Carrier Services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16D8D" w:rsidRPr="00E00E26" w:rsidP="00816D8D" w14:paraId="6E0223C7" w14:textId="7F0FEAFF">
                  <w:pPr>
                    <w:jc w:val="center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16D8D" w:rsidRPr="00816D8D" w:rsidP="00816D8D" w14:paraId="63238D8A" w14:textId="36CC73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$2,708,529.40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16D8D" w:rsidRPr="00816D8D" w:rsidP="00816D8D" w14:paraId="65F9D7E6" w14:textId="6A90902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3,811</w:t>
                  </w:r>
                </w:p>
              </w:tc>
            </w:tr>
          </w:tbl>
          <w:p w:rsidR="00A32E4B" w:rsidRPr="00443DE8" w:rsidP="00443DE8" w14:paraId="596E69AF" w14:textId="77777777">
            <w:pPr>
              <w:rPr>
                <w:sz w:val="22"/>
                <w:szCs w:val="22"/>
              </w:rPr>
            </w:pPr>
          </w:p>
          <w:p w:rsidR="000856F7" w:rsidP="00443DE8" w14:paraId="3647266A" w14:textId="77777777">
            <w:pPr>
              <w:rPr>
                <w:sz w:val="22"/>
                <w:szCs w:val="22"/>
              </w:rPr>
            </w:pPr>
            <w:r w:rsidRPr="00E00E26">
              <w:rPr>
                <w:sz w:val="22"/>
                <w:szCs w:val="22"/>
              </w:rPr>
              <w:t xml:space="preserve">In total, the Connect America Fund Phase II Auction in 2018 allocated $1.488 billion in support over the next ten years to expand broadband to more than 700,000 unserved rural homes and small businesses in 45 states.  The FCC has now </w:t>
            </w:r>
            <w:r w:rsidRPr="006A3331">
              <w:rPr>
                <w:sz w:val="22"/>
                <w:szCs w:val="22"/>
              </w:rPr>
              <w:t xml:space="preserve">authorized </w:t>
            </w:r>
            <w:r w:rsidRPr="006A3331" w:rsidR="00E00E26">
              <w:rPr>
                <w:sz w:val="22"/>
                <w:szCs w:val="22"/>
              </w:rPr>
              <w:t>thirteen</w:t>
            </w:r>
            <w:r w:rsidRPr="00E00E26">
              <w:rPr>
                <w:sz w:val="22"/>
                <w:szCs w:val="22"/>
              </w:rPr>
              <w:t xml:space="preserve"> waves of funding, and today’s action brings total authorized funding to </w:t>
            </w:r>
            <w:r w:rsidRPr="006A3331">
              <w:rPr>
                <w:sz w:val="22"/>
                <w:szCs w:val="22"/>
              </w:rPr>
              <w:t xml:space="preserve">over </w:t>
            </w:r>
            <w:r w:rsidRPr="006A3331" w:rsidR="00535245">
              <w:rPr>
                <w:sz w:val="22"/>
                <w:szCs w:val="22"/>
              </w:rPr>
              <w:t>$1.45 billion</w:t>
            </w:r>
            <w:r w:rsidRPr="006A3331">
              <w:rPr>
                <w:sz w:val="22"/>
                <w:szCs w:val="22"/>
              </w:rPr>
              <w:t>,</w:t>
            </w:r>
            <w:r w:rsidRPr="00E00E26">
              <w:rPr>
                <w:sz w:val="22"/>
                <w:szCs w:val="22"/>
              </w:rPr>
              <w:t xml:space="preserve"> which is expanding connectivity to </w:t>
            </w:r>
            <w:r w:rsidRPr="006A3331" w:rsidR="00535245">
              <w:rPr>
                <w:sz w:val="22"/>
                <w:szCs w:val="22"/>
              </w:rPr>
              <w:t>643,813</w:t>
            </w:r>
            <w:r w:rsidRPr="00E00E26">
              <w:rPr>
                <w:sz w:val="22"/>
                <w:szCs w:val="22"/>
              </w:rPr>
              <w:t xml:space="preserve"> homes and businesses nationwide. </w:t>
            </w:r>
            <w:r w:rsidRPr="00E00E26" w:rsidR="008E7258">
              <w:rPr>
                <w:sz w:val="22"/>
                <w:szCs w:val="22"/>
              </w:rPr>
              <w:t xml:space="preserve"> </w:t>
            </w:r>
            <w:r w:rsidRPr="00E00E26">
              <w:rPr>
                <w:sz w:val="22"/>
                <w:szCs w:val="22"/>
              </w:rPr>
              <w:t>Funding rounds will continue until the authorization process is complete</w:t>
            </w:r>
            <w:r>
              <w:rPr>
                <w:sz w:val="22"/>
                <w:szCs w:val="22"/>
              </w:rPr>
              <w:t xml:space="preserve">. </w:t>
            </w:r>
          </w:p>
          <w:p w:rsidR="000856F7" w:rsidP="00443DE8" w14:paraId="350764E8" w14:textId="77777777">
            <w:pPr>
              <w:rPr>
                <w:sz w:val="22"/>
                <w:szCs w:val="22"/>
              </w:rPr>
            </w:pPr>
          </w:p>
          <w:p w:rsidR="00040127" w:rsidRPr="002E165B" w:rsidP="00443DE8" w14:paraId="43DCD565" w14:textId="35820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6A3331" w:rsidR="00443DE8">
              <w:rPr>
                <w:sz w:val="22"/>
                <w:szCs w:val="22"/>
              </w:rPr>
              <w:t>Connect America Fund Phase II Auction is part of a broader effort by the FCC to close the digital divide in rural America</w:t>
            </w:r>
            <w:r w:rsidRPr="006A3331" w:rsidR="00E00E26">
              <w:rPr>
                <w:sz w:val="22"/>
                <w:szCs w:val="22"/>
              </w:rPr>
              <w:t xml:space="preserve">.  </w:t>
            </w:r>
            <w:r w:rsidRPr="006A3331" w:rsidR="00443DE8">
              <w:rPr>
                <w:sz w:val="22"/>
                <w:szCs w:val="22"/>
              </w:rPr>
              <w:t xml:space="preserve">A map of winning bids in the Auction is available at </w:t>
            </w:r>
            <w:hyperlink r:id="rId5" w:history="1">
              <w:r w:rsidRPr="006A3331" w:rsidR="002D0204">
                <w:rPr>
                  <w:rStyle w:val="Hyperlink"/>
                  <w:sz w:val="22"/>
                  <w:szCs w:val="22"/>
                </w:rPr>
                <w:t>https://www.fcc.gov/reportsresearch/maps/caf2-auction903-results/</w:t>
              </w:r>
            </w:hyperlink>
            <w:r w:rsidRPr="006A3331" w:rsidR="00443DE8">
              <w:rPr>
                <w:sz w:val="22"/>
                <w:szCs w:val="22"/>
              </w:rPr>
              <w:t>.</w:t>
            </w:r>
            <w:r w:rsidR="002D0204"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09F3663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9A56D1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A565FF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EACA6C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51AE" w:rsidP="00850E26" w14:paraId="0D324E0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6086F988" w14:textId="2EBC69C4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1DA4BC72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81232"/>
    <w:rsid w:val="000856F7"/>
    <w:rsid w:val="00091E65"/>
    <w:rsid w:val="00096D4A"/>
    <w:rsid w:val="000A38EA"/>
    <w:rsid w:val="000C1E47"/>
    <w:rsid w:val="000C26F3"/>
    <w:rsid w:val="000E049E"/>
    <w:rsid w:val="0010799B"/>
    <w:rsid w:val="00111AC7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1261"/>
    <w:rsid w:val="00194341"/>
    <w:rsid w:val="001B20BB"/>
    <w:rsid w:val="001C4370"/>
    <w:rsid w:val="001D04AA"/>
    <w:rsid w:val="001D3779"/>
    <w:rsid w:val="001F0469"/>
    <w:rsid w:val="001F1B9A"/>
    <w:rsid w:val="00203A98"/>
    <w:rsid w:val="00206EDD"/>
    <w:rsid w:val="0021247E"/>
    <w:rsid w:val="002146F6"/>
    <w:rsid w:val="002267B4"/>
    <w:rsid w:val="00231C32"/>
    <w:rsid w:val="00240345"/>
    <w:rsid w:val="002421F0"/>
    <w:rsid w:val="00244D33"/>
    <w:rsid w:val="00247274"/>
    <w:rsid w:val="00266966"/>
    <w:rsid w:val="00285C36"/>
    <w:rsid w:val="00294C0C"/>
    <w:rsid w:val="002A0934"/>
    <w:rsid w:val="002B1013"/>
    <w:rsid w:val="002C5F4F"/>
    <w:rsid w:val="002D0204"/>
    <w:rsid w:val="002D03E5"/>
    <w:rsid w:val="002E165B"/>
    <w:rsid w:val="002E3F1D"/>
    <w:rsid w:val="002E79D0"/>
    <w:rsid w:val="002F31D0"/>
    <w:rsid w:val="00300359"/>
    <w:rsid w:val="00310103"/>
    <w:rsid w:val="0031773E"/>
    <w:rsid w:val="00333871"/>
    <w:rsid w:val="00347716"/>
    <w:rsid w:val="003506E1"/>
    <w:rsid w:val="003727E3"/>
    <w:rsid w:val="00385A93"/>
    <w:rsid w:val="003910F1"/>
    <w:rsid w:val="003D3D09"/>
    <w:rsid w:val="003D4B8C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3DE8"/>
    <w:rsid w:val="00444E07"/>
    <w:rsid w:val="00444FA9"/>
    <w:rsid w:val="00463288"/>
    <w:rsid w:val="00473E9C"/>
    <w:rsid w:val="00480099"/>
    <w:rsid w:val="004941A2"/>
    <w:rsid w:val="00497858"/>
    <w:rsid w:val="004A729A"/>
    <w:rsid w:val="004B4FEA"/>
    <w:rsid w:val="004C0ADA"/>
    <w:rsid w:val="004C1B10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5245"/>
    <w:rsid w:val="00545DAE"/>
    <w:rsid w:val="00571B83"/>
    <w:rsid w:val="00575A00"/>
    <w:rsid w:val="00586417"/>
    <w:rsid w:val="0058673C"/>
    <w:rsid w:val="005A7972"/>
    <w:rsid w:val="005B17E7"/>
    <w:rsid w:val="005B239B"/>
    <w:rsid w:val="005B2643"/>
    <w:rsid w:val="005C0E7E"/>
    <w:rsid w:val="005D17FD"/>
    <w:rsid w:val="005D48AC"/>
    <w:rsid w:val="005D4AB4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642C"/>
    <w:rsid w:val="00657EC9"/>
    <w:rsid w:val="00665633"/>
    <w:rsid w:val="00674C86"/>
    <w:rsid w:val="0067679B"/>
    <w:rsid w:val="0068015E"/>
    <w:rsid w:val="006861AB"/>
    <w:rsid w:val="00686B89"/>
    <w:rsid w:val="0069420F"/>
    <w:rsid w:val="006A2FC5"/>
    <w:rsid w:val="006A3331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0A1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6D8D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22F6"/>
    <w:rsid w:val="008D4D00"/>
    <w:rsid w:val="008D4E5E"/>
    <w:rsid w:val="008D7ABD"/>
    <w:rsid w:val="008E55A2"/>
    <w:rsid w:val="008E7258"/>
    <w:rsid w:val="008F1609"/>
    <w:rsid w:val="008F78D8"/>
    <w:rsid w:val="0093373C"/>
    <w:rsid w:val="009476DB"/>
    <w:rsid w:val="00961620"/>
    <w:rsid w:val="009734B6"/>
    <w:rsid w:val="0098096F"/>
    <w:rsid w:val="0098437A"/>
    <w:rsid w:val="00986C92"/>
    <w:rsid w:val="00993C47"/>
    <w:rsid w:val="009972BC"/>
    <w:rsid w:val="009A597D"/>
    <w:rsid w:val="009B4B16"/>
    <w:rsid w:val="009D3B82"/>
    <w:rsid w:val="009E54A1"/>
    <w:rsid w:val="009F4E25"/>
    <w:rsid w:val="009F5B1F"/>
    <w:rsid w:val="00A225A9"/>
    <w:rsid w:val="00A32E4B"/>
    <w:rsid w:val="00A3308E"/>
    <w:rsid w:val="00A35DFD"/>
    <w:rsid w:val="00A60454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5EE2"/>
    <w:rsid w:val="00AF051B"/>
    <w:rsid w:val="00B037A2"/>
    <w:rsid w:val="00B31870"/>
    <w:rsid w:val="00B320B8"/>
    <w:rsid w:val="00B35EE2"/>
    <w:rsid w:val="00B36DEF"/>
    <w:rsid w:val="00B57131"/>
    <w:rsid w:val="00B6184D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10DF"/>
    <w:rsid w:val="00CB24D2"/>
    <w:rsid w:val="00CB5F74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32E0"/>
    <w:rsid w:val="00DC40AA"/>
    <w:rsid w:val="00DD1750"/>
    <w:rsid w:val="00E00E26"/>
    <w:rsid w:val="00E349AA"/>
    <w:rsid w:val="00E41390"/>
    <w:rsid w:val="00E41CA0"/>
    <w:rsid w:val="00E4366B"/>
    <w:rsid w:val="00E50A4A"/>
    <w:rsid w:val="00E606DE"/>
    <w:rsid w:val="00E644FE"/>
    <w:rsid w:val="00E724F2"/>
    <w:rsid w:val="00E72733"/>
    <w:rsid w:val="00E742FA"/>
    <w:rsid w:val="00E76816"/>
    <w:rsid w:val="00E76EB4"/>
    <w:rsid w:val="00E83DBF"/>
    <w:rsid w:val="00E87C13"/>
    <w:rsid w:val="00E94CD9"/>
    <w:rsid w:val="00EA1A76"/>
    <w:rsid w:val="00EA290B"/>
    <w:rsid w:val="00EE0E90"/>
    <w:rsid w:val="00EE51AE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6E5F"/>
    <w:rsid w:val="00FD71AE"/>
    <w:rsid w:val="00FE0198"/>
    <w:rsid w:val="00FE3A7C"/>
    <w:rsid w:val="00FF1C0B"/>
    <w:rsid w:val="00FF232D"/>
    <w:rsid w:val="00FF2F05"/>
    <w:rsid w:val="00FF7F9B"/>
    <w:rsid w:val="02B40749"/>
    <w:rsid w:val="46D70228"/>
    <w:rsid w:val="5669E72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F828B70-59F1-4C41-8734-9FBC9CA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B23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3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2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reportsresearch/maps/caf2-auction903-results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