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A41C4F" w14:paraId="0D53B450" w14:textId="4FEA98EF">
      <w:pPr>
        <w:rPr>
          <w:spacing w:val="-2"/>
        </w:rPr>
      </w:pPr>
      <w:bookmarkStart w:id="0" w:name="_GoBack"/>
      <w:bookmarkEnd w:id="0"/>
    </w:p>
    <w:p w:rsidR="009D3FAB" w14:paraId="5F390BFF" w14:textId="77777777">
      <w:pPr>
        <w:rPr>
          <w:spacing w:val="-2"/>
        </w:rPr>
      </w:pPr>
    </w:p>
    <w:p w:rsidR="009D3FAB" w14:paraId="2A8E128D" w14:textId="77777777">
      <w:pPr>
        <w:rPr>
          <w:spacing w:val="-2"/>
        </w:rPr>
      </w:pPr>
    </w:p>
    <w:p w:rsidR="009D3FAB" w14:paraId="276A67B1" w14:textId="77777777">
      <w:pPr>
        <w:rPr>
          <w:spacing w:val="-2"/>
        </w:rPr>
      </w:pPr>
    </w:p>
    <w:p w:rsidR="009D3FAB" w14:paraId="3818BB2E" w14:textId="77777777">
      <w:pPr>
        <w:rPr>
          <w:spacing w:val="-2"/>
        </w:rPr>
      </w:pPr>
    </w:p>
    <w:p w:rsidR="009D3FAB" w14:paraId="27D1B14C" w14:textId="77777777">
      <w:pPr>
        <w:rPr>
          <w:spacing w:val="-2"/>
        </w:rPr>
      </w:pPr>
    </w:p>
    <w:p w:rsidR="009D3FAB" w14:paraId="328B856E" w14:textId="77777777">
      <w:pPr>
        <w:rPr>
          <w:spacing w:val="-2"/>
        </w:rPr>
      </w:pPr>
    </w:p>
    <w:p w:rsidR="009D3FAB" w14:paraId="2D8A981E" w14:textId="77777777">
      <w:pPr>
        <w:rPr>
          <w:spacing w:val="-2"/>
        </w:rPr>
      </w:pPr>
    </w:p>
    <w:p w:rsidR="009D3FAB" w14:paraId="38FA717E" w14:textId="77777777">
      <w:pPr>
        <w:rPr>
          <w:spacing w:val="-2"/>
        </w:rPr>
      </w:pPr>
    </w:p>
    <w:p w:rsidR="009D3FAB" w14:paraId="7AE0CA42" w14:textId="77777777">
      <w:pPr>
        <w:rPr>
          <w:spacing w:val="-2"/>
        </w:rPr>
      </w:pPr>
    </w:p>
    <w:p w:rsidR="009D3FAB" w14:paraId="1CBC3DDD" w14:textId="77777777">
      <w:pPr>
        <w:rPr>
          <w:spacing w:val="-2"/>
        </w:rPr>
      </w:pPr>
    </w:p>
    <w:p w:rsidR="009D3FAB" w14:paraId="7C9E12BC" w14:textId="77777777">
      <w:pPr>
        <w:rPr>
          <w:spacing w:val="-2"/>
        </w:rPr>
      </w:pPr>
    </w:p>
    <w:p w:rsidR="009D3FAB" w14:paraId="5741B320" w14:textId="77777777">
      <w:pPr>
        <w:rPr>
          <w:spacing w:val="-2"/>
        </w:rPr>
      </w:pPr>
    </w:p>
    <w:p w:rsidR="009D3FAB" w14:paraId="0E81C425" w14:textId="77777777">
      <w:pPr>
        <w:rPr>
          <w:spacing w:val="-2"/>
        </w:rPr>
      </w:pPr>
    </w:p>
    <w:p w:rsidR="009D3FAB" w14:paraId="234E7A0A" w14:textId="77777777">
      <w:pPr>
        <w:rPr>
          <w:spacing w:val="-2"/>
        </w:rPr>
      </w:pPr>
    </w:p>
    <w:p w:rsidR="009D3FAB" w:rsidRPr="009D3FAB" w:rsidP="009D3FAB" w14:paraId="14AC86C3" w14:textId="4BB490EB">
      <w:pPr>
        <w:jc w:val="center"/>
        <w:rPr>
          <w:b/>
          <w:bCs/>
          <w:spacing w:val="-2"/>
          <w:sz w:val="32"/>
          <w:szCs w:val="32"/>
        </w:rPr>
      </w:pPr>
      <w:r>
        <w:rPr>
          <w:b/>
          <w:bCs/>
          <w:spacing w:val="-2"/>
          <w:sz w:val="32"/>
          <w:szCs w:val="32"/>
        </w:rPr>
        <w:t>Call Blocking Tools Now Substantially Available to Consumers</w:t>
      </w:r>
      <w:r w:rsidR="004A5976">
        <w:rPr>
          <w:b/>
          <w:bCs/>
          <w:spacing w:val="-2"/>
          <w:sz w:val="32"/>
          <w:szCs w:val="32"/>
        </w:rPr>
        <w:t xml:space="preserve">: </w:t>
      </w:r>
      <w:r w:rsidRPr="009D3FAB" w:rsidR="004A5976">
        <w:rPr>
          <w:b/>
          <w:bCs/>
          <w:spacing w:val="-2"/>
          <w:sz w:val="32"/>
          <w:szCs w:val="32"/>
        </w:rPr>
        <w:t>Report on Call Blocking</w:t>
      </w:r>
    </w:p>
    <w:p w:rsidR="009D3FAB" w:rsidRPr="009D3FAB" w:rsidP="009D3FAB" w14:paraId="39BA9200" w14:textId="2A6BD62B">
      <w:pPr>
        <w:jc w:val="center"/>
        <w:rPr>
          <w:b/>
          <w:bCs/>
          <w:spacing w:val="-2"/>
          <w:sz w:val="32"/>
          <w:szCs w:val="32"/>
        </w:rPr>
      </w:pPr>
      <w:r w:rsidRPr="009D3FAB">
        <w:rPr>
          <w:b/>
          <w:bCs/>
          <w:spacing w:val="-2"/>
          <w:sz w:val="32"/>
          <w:szCs w:val="32"/>
        </w:rPr>
        <w:t>CG Docket No. 17-59</w:t>
      </w:r>
    </w:p>
    <w:p w:rsidR="009D3FAB" w:rsidRPr="009D3FAB" w:rsidP="009D3FAB" w14:paraId="457FD574" w14:textId="77777777">
      <w:pPr>
        <w:jc w:val="center"/>
        <w:rPr>
          <w:b/>
          <w:bCs/>
          <w:spacing w:val="-2"/>
          <w:sz w:val="28"/>
          <w:szCs w:val="28"/>
        </w:rPr>
      </w:pPr>
    </w:p>
    <w:p w:rsidR="009D3FAB" w:rsidP="009D3FAB" w14:paraId="542C999B" w14:textId="77777777">
      <w:pPr>
        <w:jc w:val="center"/>
        <w:rPr>
          <w:b/>
          <w:bCs/>
          <w:spacing w:val="-2"/>
        </w:rPr>
      </w:pPr>
    </w:p>
    <w:p w:rsidR="009D3FAB" w:rsidP="009D3FAB" w14:paraId="4E0DC0AD" w14:textId="77777777">
      <w:pPr>
        <w:jc w:val="center"/>
        <w:rPr>
          <w:b/>
          <w:bCs/>
          <w:spacing w:val="-2"/>
        </w:rPr>
      </w:pPr>
    </w:p>
    <w:p w:rsidR="009D3FAB" w:rsidP="009D3FAB" w14:paraId="00A57FDF" w14:textId="77777777">
      <w:pPr>
        <w:jc w:val="center"/>
        <w:rPr>
          <w:b/>
          <w:bCs/>
          <w:spacing w:val="-2"/>
        </w:rPr>
      </w:pPr>
    </w:p>
    <w:p w:rsidR="009D3FAB" w:rsidP="009D3FAB" w14:paraId="68274B60" w14:textId="77777777">
      <w:pPr>
        <w:jc w:val="center"/>
        <w:rPr>
          <w:b/>
          <w:bCs/>
          <w:spacing w:val="-2"/>
        </w:rPr>
      </w:pPr>
    </w:p>
    <w:p w:rsidR="009D3FAB" w:rsidP="009D3FAB" w14:paraId="46839903" w14:textId="77777777">
      <w:pPr>
        <w:jc w:val="center"/>
        <w:rPr>
          <w:b/>
          <w:bCs/>
          <w:spacing w:val="-2"/>
        </w:rPr>
      </w:pPr>
    </w:p>
    <w:p w:rsidR="009D3FAB" w:rsidP="009D3FAB" w14:paraId="4191E60D" w14:textId="77777777">
      <w:pPr>
        <w:jc w:val="center"/>
        <w:rPr>
          <w:b/>
          <w:bCs/>
          <w:spacing w:val="-2"/>
        </w:rPr>
      </w:pPr>
    </w:p>
    <w:p w:rsidR="009D3FAB" w:rsidP="009D3FAB" w14:paraId="15335206" w14:textId="77777777">
      <w:pPr>
        <w:jc w:val="center"/>
        <w:rPr>
          <w:b/>
          <w:bCs/>
          <w:spacing w:val="-2"/>
        </w:rPr>
      </w:pPr>
    </w:p>
    <w:p w:rsidR="009D3FAB" w:rsidP="009D3FAB" w14:paraId="6CDE66BA" w14:textId="77777777">
      <w:pPr>
        <w:jc w:val="center"/>
        <w:rPr>
          <w:b/>
          <w:bCs/>
          <w:spacing w:val="-2"/>
        </w:rPr>
      </w:pPr>
    </w:p>
    <w:p w:rsidR="009D3FAB" w:rsidP="009D3FAB" w14:paraId="2B17D067" w14:textId="77777777">
      <w:pPr>
        <w:jc w:val="center"/>
        <w:rPr>
          <w:b/>
          <w:bCs/>
          <w:spacing w:val="-2"/>
        </w:rPr>
      </w:pPr>
    </w:p>
    <w:p w:rsidR="009D3FAB" w:rsidP="009D3FAB" w14:paraId="4BA2C95F" w14:textId="77777777">
      <w:pPr>
        <w:jc w:val="center"/>
        <w:rPr>
          <w:b/>
          <w:bCs/>
          <w:spacing w:val="-2"/>
        </w:rPr>
      </w:pPr>
    </w:p>
    <w:p w:rsidR="009D3FAB" w:rsidP="009D3FAB" w14:paraId="3F142611" w14:textId="77777777">
      <w:pPr>
        <w:jc w:val="center"/>
        <w:rPr>
          <w:b/>
          <w:bCs/>
          <w:spacing w:val="-2"/>
        </w:rPr>
      </w:pPr>
    </w:p>
    <w:p w:rsidR="009D3FAB" w:rsidP="009D3FAB" w14:paraId="03052AE1" w14:textId="77777777">
      <w:pPr>
        <w:jc w:val="center"/>
        <w:rPr>
          <w:b/>
          <w:bCs/>
          <w:spacing w:val="-2"/>
        </w:rPr>
      </w:pPr>
    </w:p>
    <w:p w:rsidR="009D3FAB" w:rsidP="009D3FAB" w14:paraId="784A9EE6" w14:textId="77777777">
      <w:pPr>
        <w:jc w:val="center"/>
        <w:rPr>
          <w:b/>
          <w:bCs/>
          <w:spacing w:val="-2"/>
        </w:rPr>
      </w:pPr>
    </w:p>
    <w:p w:rsidR="009D3FAB" w:rsidP="009D3FAB" w14:paraId="61BEE15B" w14:textId="77777777">
      <w:pPr>
        <w:jc w:val="center"/>
        <w:rPr>
          <w:b/>
          <w:bCs/>
          <w:spacing w:val="-2"/>
        </w:rPr>
      </w:pPr>
    </w:p>
    <w:p w:rsidR="009D3FAB" w:rsidP="009D3FAB" w14:paraId="72D83DF1" w14:textId="77777777">
      <w:pPr>
        <w:jc w:val="center"/>
        <w:rPr>
          <w:b/>
          <w:bCs/>
          <w:spacing w:val="-2"/>
        </w:rPr>
      </w:pPr>
    </w:p>
    <w:p w:rsidR="009D3FAB" w:rsidRPr="009D3FAB" w:rsidP="009D3FAB" w14:paraId="6CCD373E" w14:textId="77777777">
      <w:pPr>
        <w:jc w:val="right"/>
        <w:rPr>
          <w:spacing w:val="-2"/>
        </w:rPr>
      </w:pPr>
      <w:r w:rsidRPr="009D3FAB">
        <w:rPr>
          <w:spacing w:val="-2"/>
        </w:rPr>
        <w:t>A Report of the Consumer and Governmental Affairs Bureau</w:t>
      </w:r>
    </w:p>
    <w:p w:rsidR="009D3FAB" w:rsidRPr="009D3FAB" w:rsidP="009D3FAB" w14:paraId="17CD268F" w14:textId="77777777">
      <w:pPr>
        <w:jc w:val="right"/>
        <w:rPr>
          <w:spacing w:val="-2"/>
        </w:rPr>
      </w:pPr>
      <w:r w:rsidRPr="009D3FAB">
        <w:rPr>
          <w:spacing w:val="-2"/>
        </w:rPr>
        <w:t>Federal Communications Commission</w:t>
      </w:r>
    </w:p>
    <w:p w:rsidR="009D3FAB" w:rsidRPr="009D3FAB" w:rsidP="009D3FAB" w14:paraId="344CF81E" w14:textId="77777777">
      <w:pPr>
        <w:jc w:val="right"/>
        <w:rPr>
          <w:spacing w:val="-2"/>
        </w:rPr>
      </w:pPr>
      <w:r w:rsidRPr="009D3FAB">
        <w:rPr>
          <w:spacing w:val="-2"/>
        </w:rPr>
        <w:t>June 2020</w:t>
      </w:r>
    </w:p>
    <w:p w:rsidR="00822CE0" w14:paraId="07D76B45" w14:textId="77777777">
      <w:pPr>
        <w:rPr>
          <w:spacing w:val="-2"/>
        </w:rPr>
      </w:pPr>
      <w:r>
        <w:rPr>
          <w:spacing w:val="-2"/>
        </w:rPr>
        <w:br w:type="page"/>
      </w:r>
    </w:p>
    <w:p w:rsidR="00412FC5" w:rsidP="00C36B4C" w14:paraId="6E3AFDC5" w14:textId="1ACF2454">
      <w:pPr>
        <w:pStyle w:val="Heading1"/>
      </w:pPr>
      <w:r>
        <w:t>INTRODUCTION</w:t>
      </w:r>
    </w:p>
    <w:p w:rsidR="009261B3" w:rsidP="00344937" w14:paraId="6826683F" w14:textId="416E70F7">
      <w:pPr>
        <w:pStyle w:val="ParaNum"/>
      </w:pPr>
      <w:r>
        <w:t>Robocalls</w:t>
      </w:r>
      <w:r w:rsidR="006E062B">
        <w:t xml:space="preserve"> are </w:t>
      </w:r>
      <w:r>
        <w:t>calls made through automated equipment.</w:t>
      </w:r>
      <w:r>
        <w:rPr>
          <w:rStyle w:val="FootnoteReference"/>
        </w:rPr>
        <w:footnoteReference w:id="3"/>
      </w:r>
      <w:r>
        <w:t xml:space="preserve">  </w:t>
      </w:r>
      <w:r w:rsidR="00C34D7D">
        <w:t xml:space="preserve">The American public generally associates robocalls with annoying and unwanted calls. </w:t>
      </w:r>
      <w:r w:rsidR="00321545">
        <w:t xml:space="preserve"> </w:t>
      </w:r>
      <w:r>
        <w:t xml:space="preserve">Scammers </w:t>
      </w:r>
      <w:r w:rsidR="006E062B">
        <w:t xml:space="preserve">often </w:t>
      </w:r>
      <w:r>
        <w:t>use robocalls to perpetuate widespread fraud.</w:t>
      </w:r>
      <w:r>
        <w:rPr>
          <w:rStyle w:val="FootnoteReference"/>
        </w:rPr>
        <w:footnoteReference w:id="4"/>
      </w:r>
      <w:r>
        <w:t xml:space="preserve">  </w:t>
      </w:r>
      <w:r w:rsidR="009671AE">
        <w:t>The Commission has sought to protect American consumers from illegal and unwanted calls by, among other things, authorizing voice service providers to block such calls as a default before they ever reach consumers.</w:t>
      </w:r>
      <w:r>
        <w:rPr>
          <w:rStyle w:val="FootnoteReference"/>
        </w:rPr>
        <w:footnoteReference w:id="5"/>
      </w:r>
      <w:r w:rsidR="009671AE">
        <w:t xml:space="preserve"> </w:t>
      </w:r>
      <w:r w:rsidR="00BE3013">
        <w:t xml:space="preserve"> </w:t>
      </w:r>
    </w:p>
    <w:p w:rsidR="002A5121" w:rsidP="00344937" w14:paraId="7FAF177A" w14:textId="54D502F7">
      <w:pPr>
        <w:pStyle w:val="ParaNum"/>
      </w:pPr>
      <w:r>
        <w:t xml:space="preserve">Since 2017, the Commission has allowed for and encouraged voice service providers to block certain obviously spoofed calls, authorized the creation of a </w:t>
      </w:r>
      <w:r w:rsidRPr="006F3002">
        <w:t>reassigned numbers database</w:t>
      </w:r>
      <w:r>
        <w:t xml:space="preserve"> so consumers do not get calls intended for others, and taken steps to promote caller ID authentication.</w:t>
      </w:r>
      <w:r>
        <w:rPr>
          <w:rStyle w:val="FootnoteReference"/>
        </w:rPr>
        <w:footnoteReference w:id="6"/>
      </w:r>
      <w:r>
        <w:t xml:space="preserve">  </w:t>
      </w:r>
      <w:r>
        <w:rPr>
          <w:rFonts w:eastAsia="Calibri"/>
        </w:rPr>
        <w:t xml:space="preserve">In its </w:t>
      </w:r>
      <w:r>
        <w:rPr>
          <w:rFonts w:eastAsia="Calibri"/>
          <w:i/>
        </w:rPr>
        <w:t>2017 Call Blocking Report and Order</w:t>
      </w:r>
      <w:r>
        <w:rPr>
          <w:rFonts w:eastAsia="Calibri"/>
        </w:rPr>
        <w:t xml:space="preserve">, the Commission authorized voice service providers to block by default at the network level calls using invalid, unallocated, or unused numbers and numbers on a </w:t>
      </w:r>
      <w:r w:rsidRPr="007C7675">
        <w:rPr>
          <w:rFonts w:eastAsia="Calibri"/>
        </w:rPr>
        <w:t>Do-Not-Originate (DNO) list</w:t>
      </w:r>
      <w:r>
        <w:rPr>
          <w:rFonts w:eastAsia="Calibri"/>
        </w:rPr>
        <w:t>.</w:t>
      </w:r>
      <w:r>
        <w:rPr>
          <w:rStyle w:val="FootnoteReference"/>
          <w:rFonts w:eastAsia="Calibri"/>
        </w:rPr>
        <w:footnoteReference w:id="7"/>
      </w:r>
      <w:r>
        <w:rPr>
          <w:rFonts w:eastAsia="Calibri"/>
        </w:rPr>
        <w:t xml:space="preserve">  </w:t>
      </w:r>
      <w:r>
        <w:t xml:space="preserve">In the </w:t>
      </w:r>
      <w:r w:rsidRPr="00301084">
        <w:rPr>
          <w:i/>
          <w:iCs/>
        </w:rPr>
        <w:t>2019</w:t>
      </w:r>
      <w:r>
        <w:t xml:space="preserve"> </w:t>
      </w:r>
      <w:r w:rsidRPr="00301084">
        <w:rPr>
          <w:rFonts w:eastAsia="Calibri"/>
          <w:i/>
        </w:rPr>
        <w:t>Call Blocking Declaratory Ruling</w:t>
      </w:r>
      <w:r w:rsidRPr="00301084">
        <w:rPr>
          <w:rFonts w:eastAsia="Calibri"/>
        </w:rPr>
        <w:t xml:space="preserve">, the Commission </w:t>
      </w:r>
      <w:r>
        <w:rPr>
          <w:rFonts w:eastAsia="Calibri"/>
        </w:rPr>
        <w:t xml:space="preserve">offered further protection to consumers and </w:t>
      </w:r>
      <w:r w:rsidRPr="00301084">
        <w:rPr>
          <w:rFonts w:eastAsia="Calibri"/>
        </w:rPr>
        <w:t>clarified</w:t>
      </w:r>
      <w:r w:rsidRPr="00301084">
        <w:rPr>
          <w:rFonts w:eastAsia="Calibri"/>
          <w:i/>
        </w:rPr>
        <w:t xml:space="preserve"> </w:t>
      </w:r>
      <w:r w:rsidRPr="00301084">
        <w:rPr>
          <w:rFonts w:eastAsia="Calibri"/>
        </w:rPr>
        <w:t>that voice service providers could immediately start offering call-blocking services by default to new and existing customers</w:t>
      </w:r>
      <w:r>
        <w:rPr>
          <w:rFonts w:eastAsia="Calibri"/>
        </w:rPr>
        <w:t xml:space="preserve"> where the blocking is</w:t>
      </w:r>
      <w:r w:rsidRPr="00301084">
        <w:rPr>
          <w:rFonts w:eastAsia="Calibri"/>
        </w:rPr>
        <w:t xml:space="preserve"> based on reasonable analytics designed to identify unwanted calls.</w:t>
      </w:r>
      <w:r>
        <w:rPr>
          <w:rStyle w:val="FootnoteReference"/>
          <w:rFonts w:eastAsia="Calibri"/>
        </w:rPr>
        <w:footnoteReference w:id="8"/>
      </w:r>
      <w:r w:rsidRPr="00301084">
        <w:rPr>
          <w:rFonts w:eastAsia="Calibri"/>
        </w:rPr>
        <w:t xml:space="preserve"> </w:t>
      </w:r>
      <w:r>
        <w:rPr>
          <w:rFonts w:eastAsia="Calibri"/>
        </w:rPr>
        <w:t xml:space="preserve"> </w:t>
      </w:r>
      <w:r w:rsidRPr="004C5700">
        <w:rPr>
          <w:rFonts w:eastAsia="Calibri"/>
        </w:rPr>
        <w:t xml:space="preserve">In addition to default network blocking, </w:t>
      </w:r>
      <w:r>
        <w:rPr>
          <w:rFonts w:eastAsia="Calibri"/>
        </w:rPr>
        <w:t xml:space="preserve">permitted by the </w:t>
      </w:r>
      <w:r w:rsidRPr="00D1765C">
        <w:rPr>
          <w:rFonts w:eastAsia="Calibri"/>
          <w:i/>
          <w:iCs/>
        </w:rPr>
        <w:t>2017</w:t>
      </w:r>
      <w:r>
        <w:rPr>
          <w:rFonts w:eastAsia="Calibri"/>
        </w:rPr>
        <w:t xml:space="preserve"> </w:t>
      </w:r>
      <w:r w:rsidRPr="00A0041A">
        <w:rPr>
          <w:rFonts w:eastAsia="Calibri"/>
          <w:i/>
        </w:rPr>
        <w:t xml:space="preserve">Call </w:t>
      </w:r>
      <w:r w:rsidRPr="00A0041A">
        <w:rPr>
          <w:rFonts w:eastAsia="Calibri"/>
          <w:i/>
        </w:rPr>
        <w:t>Blocking Report and Order</w:t>
      </w:r>
      <w:r>
        <w:rPr>
          <w:rFonts w:eastAsia="Calibri"/>
        </w:rPr>
        <w:t xml:space="preserve">, </w:t>
      </w:r>
      <w:r w:rsidRPr="004C5700">
        <w:rPr>
          <w:rFonts w:eastAsia="Calibri"/>
        </w:rPr>
        <w:t xml:space="preserve">most voice service providers </w:t>
      </w:r>
      <w:r>
        <w:rPr>
          <w:rFonts w:eastAsia="Calibri"/>
        </w:rPr>
        <w:t xml:space="preserve">now </w:t>
      </w:r>
      <w:r w:rsidRPr="004C5700">
        <w:rPr>
          <w:rFonts w:eastAsia="Calibri"/>
        </w:rPr>
        <w:t xml:space="preserve">offer call blocking and labeling services on an opt-in or opt-out basis, </w:t>
      </w:r>
      <w:r>
        <w:rPr>
          <w:rFonts w:eastAsia="Calibri"/>
        </w:rPr>
        <w:t xml:space="preserve">generally </w:t>
      </w:r>
      <w:r w:rsidRPr="004C5700">
        <w:rPr>
          <w:rFonts w:eastAsia="Calibri"/>
        </w:rPr>
        <w:t>through a third-party analytics company partner</w:t>
      </w:r>
      <w:r>
        <w:rPr>
          <w:rFonts w:eastAsia="Calibri"/>
        </w:rPr>
        <w:t>; c</w:t>
      </w:r>
      <w:r w:rsidRPr="004C5700">
        <w:rPr>
          <w:rFonts w:eastAsia="Calibri"/>
        </w:rPr>
        <w:t xml:space="preserve">onsumers can also obtain call blocking and labeling services directly from </w:t>
      </w:r>
      <w:r>
        <w:rPr>
          <w:rFonts w:eastAsia="Calibri"/>
        </w:rPr>
        <w:t xml:space="preserve">such third-party </w:t>
      </w:r>
      <w:r w:rsidRPr="004C5700">
        <w:rPr>
          <w:rFonts w:eastAsia="Calibri"/>
        </w:rPr>
        <w:t>analytics companies.</w:t>
      </w:r>
      <w:r>
        <w:rPr>
          <w:rStyle w:val="FootnoteReference"/>
        </w:rPr>
        <w:footnoteReference w:id="9"/>
      </w:r>
      <w:r w:rsidRPr="004C5700">
        <w:rPr>
          <w:rFonts w:eastAsia="Calibri"/>
        </w:rPr>
        <w:t xml:space="preserve">  </w:t>
      </w:r>
      <w:r>
        <w:rPr>
          <w:rFonts w:eastAsia="Calibri"/>
        </w:rPr>
        <w:t>Some services now allow consumers to choose which types of incoming calls to block or label.</w:t>
      </w:r>
      <w:r>
        <w:t xml:space="preserve">  </w:t>
      </w:r>
    </w:p>
    <w:p w:rsidR="00E4269D" w:rsidP="00344937" w14:paraId="69139227" w14:textId="61F18728">
      <w:pPr>
        <w:pStyle w:val="ParaNum"/>
      </w:pPr>
      <w:r>
        <w:t xml:space="preserve">The Commission has also taken </w:t>
      </w:r>
      <w:r w:rsidRPr="006F3002">
        <w:t>aggressive enforcement</w:t>
      </w:r>
      <w:r>
        <w:t xml:space="preserve"> action against illegal </w:t>
      </w:r>
      <w:r>
        <w:t>robocallers</w:t>
      </w:r>
      <w:r w:rsidR="004B793C">
        <w:t>,</w:t>
      </w:r>
      <w:r>
        <w:rPr>
          <w:rStyle w:val="FootnoteReference"/>
        </w:rPr>
        <w:footnoteReference w:id="10"/>
      </w:r>
      <w:r>
        <w:t xml:space="preserve"> including </w:t>
      </w:r>
      <w:r w:rsidR="00570FA7">
        <w:t xml:space="preserve">recent </w:t>
      </w:r>
      <w:r>
        <w:t xml:space="preserve">action against gateway providers that facilitated COVID-19-related scam robocalls.  </w:t>
      </w:r>
      <w:r w:rsidR="0009567B">
        <w:t>I</w:t>
      </w:r>
      <w:r w:rsidR="004B793C">
        <w:t>n March 2020</w:t>
      </w:r>
      <w:r w:rsidR="0009567B">
        <w:t xml:space="preserve">, the Commission </w:t>
      </w:r>
      <w:r w:rsidR="0031464E">
        <w:t>learned</w:t>
      </w:r>
      <w:r w:rsidR="0009567B">
        <w:t xml:space="preserve"> that robocall scammers </w:t>
      </w:r>
      <w:r w:rsidR="0031464E">
        <w:t>capitalized</w:t>
      </w:r>
      <w:r w:rsidR="0009567B">
        <w:t xml:space="preserve"> on public anxiety about the </w:t>
      </w:r>
      <w:r w:rsidR="009751F1">
        <w:t xml:space="preserve">novel </w:t>
      </w:r>
      <w:r w:rsidR="0009567B">
        <w:t>coronavirus</w:t>
      </w:r>
      <w:r w:rsidR="009751F1">
        <w:t>,</w:t>
      </w:r>
      <w:r w:rsidR="00F7199F">
        <w:t xml:space="preserve"> </w:t>
      </w:r>
      <w:r w:rsidR="0031464E">
        <w:t>flooding</w:t>
      </w:r>
      <w:r w:rsidR="0009567B">
        <w:t xml:space="preserve"> American consumers with robocalls </w:t>
      </w:r>
      <w:r w:rsidR="0031464E">
        <w:t>advertising</w:t>
      </w:r>
      <w:r w:rsidR="0009567B">
        <w:t xml:space="preserve"> nonexistent COVID-19 testing kits or </w:t>
      </w:r>
      <w:r w:rsidR="0031464E">
        <w:t xml:space="preserve">that </w:t>
      </w:r>
      <w:r w:rsidR="0009567B">
        <w:t>promised financial relief services, among other things.</w:t>
      </w:r>
      <w:r>
        <w:rPr>
          <w:rStyle w:val="FootnoteReference"/>
        </w:rPr>
        <w:footnoteReference w:id="11"/>
      </w:r>
      <w:r w:rsidR="0009567B">
        <w:t xml:space="preserve">  </w:t>
      </w:r>
      <w:r w:rsidRPr="0009567B" w:rsidR="0009567B">
        <w:t>On April 3, 2020</w:t>
      </w:r>
      <w:r w:rsidR="003C19DE">
        <w:t>,</w:t>
      </w:r>
      <w:r w:rsidRPr="0009567B" w:rsidR="0009567B">
        <w:t xml:space="preserve"> and </w:t>
      </w:r>
      <w:r w:rsidR="0031464E">
        <w:t xml:space="preserve">again on </w:t>
      </w:r>
      <w:r w:rsidRPr="0009567B" w:rsidR="0009567B">
        <w:t xml:space="preserve">May 20, 2020, the </w:t>
      </w:r>
      <w:r w:rsidR="0071294C">
        <w:t>Commission (</w:t>
      </w:r>
      <w:r w:rsidRPr="0009567B" w:rsidR="0009567B">
        <w:t>FCC</w:t>
      </w:r>
      <w:r w:rsidR="0071294C">
        <w:t>)</w:t>
      </w:r>
      <w:r w:rsidRPr="0009567B" w:rsidR="0009567B">
        <w:t xml:space="preserve"> and the Federal Trade Commission </w:t>
      </w:r>
      <w:r w:rsidR="0071294C">
        <w:t xml:space="preserve">(FTC) </w:t>
      </w:r>
      <w:r w:rsidRPr="0009567B" w:rsidR="0009567B">
        <w:t xml:space="preserve">jointly sent </w:t>
      </w:r>
      <w:r w:rsidR="0031464E">
        <w:t xml:space="preserve">warning </w:t>
      </w:r>
      <w:r w:rsidRPr="0009567B" w:rsidR="0009567B">
        <w:t>letters to a total of five gateway providers and one originating provider</w:t>
      </w:r>
      <w:r w:rsidR="00A55814">
        <w:t>; t</w:t>
      </w:r>
      <w:r w:rsidR="0031464E">
        <w:t>he letters</w:t>
      </w:r>
      <w:r w:rsidRPr="0009567B" w:rsidR="0009567B">
        <w:t xml:space="preserve"> demand</w:t>
      </w:r>
      <w:r w:rsidR="0031464E">
        <w:t>ed</w:t>
      </w:r>
      <w:r w:rsidRPr="0009567B" w:rsidR="0009567B">
        <w:t xml:space="preserve"> that </w:t>
      </w:r>
      <w:r w:rsidR="0031464E">
        <w:t>the recipient</w:t>
      </w:r>
      <w:r w:rsidRPr="0009567B" w:rsidR="0009567B">
        <w:t xml:space="preserve"> </w:t>
      </w:r>
      <w:r w:rsidR="003C19DE">
        <w:t>providers</w:t>
      </w:r>
      <w:r w:rsidRPr="0009567B" w:rsidR="0009567B">
        <w:t xml:space="preserve"> cease carrying fraudulent </w:t>
      </w:r>
      <w:r w:rsidR="0031464E">
        <w:t xml:space="preserve">COVID-19-related robocall </w:t>
      </w:r>
      <w:r w:rsidR="0009567B">
        <w:t>traffic</w:t>
      </w:r>
      <w:r w:rsidR="002B3548">
        <w:t xml:space="preserve"> immediately</w:t>
      </w:r>
      <w:r w:rsidRPr="0009567B" w:rsidR="0009567B">
        <w:t>.</w:t>
      </w:r>
      <w:r>
        <w:rPr>
          <w:rStyle w:val="FootnoteReference"/>
        </w:rPr>
        <w:footnoteReference w:id="12"/>
      </w:r>
      <w:r w:rsidRPr="0009567B" w:rsidR="0009567B">
        <w:t xml:space="preserve">  The letters warned the providers that if they </w:t>
      </w:r>
      <w:r w:rsidR="0009567B">
        <w:t xml:space="preserve">failed to terminate the offending </w:t>
      </w:r>
      <w:r w:rsidR="0031464E">
        <w:t>calls</w:t>
      </w:r>
      <w:r w:rsidR="006261F1">
        <w:t xml:space="preserve"> within 48 hours</w:t>
      </w:r>
      <w:r w:rsidRPr="0009567B" w:rsidR="0009567B">
        <w:t xml:space="preserve">, the FCC would authorize domestic phone companies to block </w:t>
      </w:r>
      <w:r w:rsidRPr="0009567B" w:rsidR="0009567B">
        <w:rPr>
          <w:u w:val="single"/>
        </w:rPr>
        <w:t>all</w:t>
      </w:r>
      <w:r w:rsidRPr="0009567B" w:rsidR="0009567B">
        <w:t xml:space="preserve"> traffic from their networks. </w:t>
      </w:r>
      <w:r w:rsidR="0009567B">
        <w:t xml:space="preserve"> </w:t>
      </w:r>
      <w:r w:rsidRPr="0031464E" w:rsidR="0031464E">
        <w:t xml:space="preserve">Within </w:t>
      </w:r>
      <w:r w:rsidR="004D78C0">
        <w:t>48</w:t>
      </w:r>
      <w:r w:rsidRPr="0031464E" w:rsidR="0031464E">
        <w:t xml:space="preserve"> hours</w:t>
      </w:r>
      <w:r w:rsidR="006261F1">
        <w:t xml:space="preserve"> of the issuance of each letter</w:t>
      </w:r>
      <w:r w:rsidRPr="0031464E" w:rsidR="0031464E">
        <w:t xml:space="preserve">, each </w:t>
      </w:r>
      <w:r w:rsidR="006261F1">
        <w:t xml:space="preserve">of </w:t>
      </w:r>
      <w:r w:rsidRPr="0031464E" w:rsidR="0031464E">
        <w:t xml:space="preserve">the </w:t>
      </w:r>
      <w:r w:rsidR="006261F1">
        <w:t xml:space="preserve">six </w:t>
      </w:r>
      <w:r w:rsidRPr="0031464E" w:rsidR="0031464E">
        <w:t>providers responded to confirm that the offending robocall traffic</w:t>
      </w:r>
      <w:r w:rsidR="006261F1">
        <w:t xml:space="preserve"> had been terminated</w:t>
      </w:r>
      <w:r w:rsidRPr="0031464E" w:rsidR="0031464E">
        <w:t xml:space="preserve">.  These claims were verified by traceback experts at </w:t>
      </w:r>
      <w:r w:rsidRPr="0031464E" w:rsidR="0031464E">
        <w:t>USTelecom</w:t>
      </w:r>
      <w:r w:rsidRPr="0009567B" w:rsidR="0009567B">
        <w:t>.</w:t>
      </w:r>
      <w:r>
        <w:rPr>
          <w:rStyle w:val="FootnoteReference"/>
        </w:rPr>
        <w:footnoteReference w:id="13"/>
      </w:r>
    </w:p>
    <w:p w:rsidR="00236D31" w:rsidP="007D03CC" w14:paraId="7BB080E0" w14:textId="01947C19">
      <w:pPr>
        <w:pStyle w:val="ParaNum"/>
        <w:widowControl/>
      </w:pPr>
      <w:r>
        <w:t>The Commission receives thousands of informal consumer complaints each year about unwanted calls, including robocalls</w:t>
      </w:r>
      <w:r w:rsidR="00570FA7">
        <w:t>; it is the Commission’s top category of consumer complaints</w:t>
      </w:r>
      <w:r>
        <w:t>.</w:t>
      </w:r>
      <w:r>
        <w:rPr>
          <w:rStyle w:val="FootnoteReference"/>
        </w:rPr>
        <w:footnoteReference w:id="14"/>
      </w:r>
      <w:r>
        <w:t xml:space="preserve">  The Commission received </w:t>
      </w:r>
      <w:r w:rsidR="00570FA7">
        <w:t xml:space="preserve">approximately </w:t>
      </w:r>
      <w:r>
        <w:t>150,000 such complaints in 2016, 185,000 in 2017, 232,000 in 2018, and 193,000 in 2019.</w:t>
      </w:r>
      <w:r>
        <w:rPr>
          <w:rStyle w:val="FootnoteReference"/>
        </w:rPr>
        <w:footnoteReference w:id="15"/>
      </w:r>
      <w:r>
        <w:t xml:space="preserve">  For 2020, the Commission received approximately 14,000 such complaints in January, 13,500 in February, 10,300 in March, 7,600 in April, 9,000 in May, and 5,800 in June (through June 15, 2020).  The FTC also reports a high number of consumer robocall complaints, receiving an average of 315,000 robocall complaints per month in fiscal year 2019.</w:t>
      </w:r>
      <w:r>
        <w:rPr>
          <w:rStyle w:val="FootnoteReference"/>
        </w:rPr>
        <w:footnoteReference w:id="16"/>
      </w:r>
      <w:r>
        <w:t xml:space="preserve">  </w:t>
      </w:r>
      <w:r w:rsidRPr="00AC541A">
        <w:t>The FTC</w:t>
      </w:r>
      <w:r>
        <w:t xml:space="preserve"> </w:t>
      </w:r>
      <w:r w:rsidR="0093275E">
        <w:t>has noted</w:t>
      </w:r>
      <w:r>
        <w:t xml:space="preserve">, however, that </w:t>
      </w:r>
      <w:r w:rsidRPr="00AC541A">
        <w:t>robocall complaints</w:t>
      </w:r>
      <w:r>
        <w:t xml:space="preserve"> filed with that agency</w:t>
      </w:r>
      <w:r w:rsidRPr="00AC541A">
        <w:t xml:space="preserve"> were down 68% in April 2020 compared to April 2019</w:t>
      </w:r>
      <w:r>
        <w:t>,</w:t>
      </w:r>
      <w:r w:rsidRPr="00AC541A">
        <w:t xml:space="preserve"> and down 60% in May 2020 compared to May 2019.</w:t>
      </w:r>
      <w:r>
        <w:rPr>
          <w:rStyle w:val="FootnoteReference"/>
        </w:rPr>
        <w:footnoteReference w:id="17"/>
      </w:r>
      <w:r w:rsidRPr="00AC541A">
        <w:t xml:space="preserve"> </w:t>
      </w:r>
      <w:r>
        <w:t xml:space="preserve"> Third-party analytics companies also track unwanted robocalls.  For example, Hiya and </w:t>
      </w:r>
      <w:r>
        <w:t>YouMail</w:t>
      </w:r>
      <w:r>
        <w:t xml:space="preserve"> analyze call patterns and publish information about call volumes and trends.</w:t>
      </w:r>
      <w:r>
        <w:rPr>
          <w:rStyle w:val="FootnoteReference"/>
        </w:rPr>
        <w:footnoteReference w:id="18"/>
      </w:r>
      <w:r>
        <w:t xml:space="preserve">  Hiya reports that 54.6 billion unwanted robocalls were placed to U.S. mobile phones in 2019.</w:t>
      </w:r>
      <w:r>
        <w:rPr>
          <w:rStyle w:val="FootnoteReference"/>
        </w:rPr>
        <w:footnoteReference w:id="19"/>
      </w:r>
      <w:r>
        <w:t xml:space="preserve">  </w:t>
      </w:r>
      <w:r>
        <w:t>YouMail</w:t>
      </w:r>
      <w:r>
        <w:t xml:space="preserve"> estimates robocalls at 30.5 billion in 2017, 47.8 billion in 2018, </w:t>
      </w:r>
      <w:r w:rsidRPr="000A4FEE">
        <w:t>5</w:t>
      </w:r>
      <w:r>
        <w:t>8.5 billion in 2019, and 19.5 billion so far in 2020.</w:t>
      </w:r>
      <w:r>
        <w:rPr>
          <w:rStyle w:val="FootnoteReference"/>
        </w:rPr>
        <w:footnoteReference w:id="20"/>
      </w:r>
    </w:p>
    <w:p w:rsidR="00047CBF" w:rsidP="00E4269D" w14:paraId="372D0CDD" w14:textId="3139D82E">
      <w:pPr>
        <w:pStyle w:val="ParaNum"/>
      </w:pPr>
      <w:r>
        <w:t xml:space="preserve">The Commission also engages in </w:t>
      </w:r>
      <w:r w:rsidR="00342A68">
        <w:t xml:space="preserve">consumer </w:t>
      </w:r>
      <w:r>
        <w:t xml:space="preserve">outreach </w:t>
      </w:r>
      <w:r w:rsidR="00342A68">
        <w:t xml:space="preserve">and education </w:t>
      </w:r>
      <w:r>
        <w:t xml:space="preserve">regarding </w:t>
      </w:r>
      <w:r w:rsidR="00342A68">
        <w:t>unwanted calls.</w:t>
      </w:r>
      <w:r>
        <w:rPr>
          <w:rStyle w:val="FootnoteReference"/>
        </w:rPr>
        <w:footnoteReference w:id="21"/>
      </w:r>
      <w:r w:rsidR="00342A68">
        <w:t xml:space="preserve">  The Consumer Help Center’s robocall page</w:t>
      </w:r>
      <w:r w:rsidR="00321545">
        <w:t>, which contains tips on how consumer</w:t>
      </w:r>
      <w:r w:rsidR="00C8056C">
        <w:t>s</w:t>
      </w:r>
      <w:r w:rsidR="00321545">
        <w:t xml:space="preserve"> can avoid robocalls,</w:t>
      </w:r>
      <w:r w:rsidR="00342A68">
        <w:t xml:space="preserve"> is the </w:t>
      </w:r>
      <w:r w:rsidR="00F7199F">
        <w:t>resources’</w:t>
      </w:r>
      <w:r w:rsidR="00570FA7">
        <w:t xml:space="preserve"> </w:t>
      </w:r>
      <w:r w:rsidR="00342A68">
        <w:t xml:space="preserve">most visited page, averaging over one million </w:t>
      </w:r>
      <w:r w:rsidR="00C8056C">
        <w:t>visits</w:t>
      </w:r>
      <w:r w:rsidR="00A7610D">
        <w:t xml:space="preserve"> </w:t>
      </w:r>
      <w:r w:rsidR="00342A68">
        <w:t>annually</w:t>
      </w:r>
      <w:r>
        <w:t>.</w:t>
      </w:r>
      <w:r>
        <w:rPr>
          <w:rStyle w:val="FootnoteReference"/>
        </w:rPr>
        <w:footnoteReference w:id="22"/>
      </w:r>
      <w:r>
        <w:t xml:space="preserve">  </w:t>
      </w:r>
      <w:r w:rsidR="00342A68">
        <w:t xml:space="preserve">The </w:t>
      </w:r>
      <w:r w:rsidR="00570FA7">
        <w:t xml:space="preserve">Consumer </w:t>
      </w:r>
      <w:r w:rsidR="00342A68">
        <w:t xml:space="preserve">Help Center also contains a variety of content alerting consumers to </w:t>
      </w:r>
      <w:r w:rsidR="00570FA7">
        <w:t xml:space="preserve">new and ongoing </w:t>
      </w:r>
      <w:r w:rsidR="00342A68">
        <w:t xml:space="preserve">scams that rely on </w:t>
      </w:r>
      <w:r w:rsidR="00342A68">
        <w:t>spoofed robocalls to defraud</w:t>
      </w:r>
      <w:r w:rsidR="00570FA7">
        <w:t xml:space="preserve"> consumers</w:t>
      </w:r>
      <w:r w:rsidR="00342A68">
        <w:t>.</w:t>
      </w:r>
      <w:r>
        <w:rPr>
          <w:rStyle w:val="FootnoteReference"/>
        </w:rPr>
        <w:footnoteReference w:id="23"/>
      </w:r>
      <w:r w:rsidR="00240B52">
        <w:t xml:space="preserve">  </w:t>
      </w:r>
      <w:r w:rsidR="00321545">
        <w:t xml:space="preserve">The </w:t>
      </w:r>
      <w:r w:rsidR="00240B52">
        <w:t>Commission</w:t>
      </w:r>
      <w:r w:rsidR="00321545">
        <w:t>’s</w:t>
      </w:r>
      <w:r w:rsidR="00240B52">
        <w:t xml:space="preserve"> </w:t>
      </w:r>
      <w:r w:rsidR="00321545">
        <w:t xml:space="preserve">outreach efforts on </w:t>
      </w:r>
      <w:r w:rsidR="00240B52">
        <w:t>unwanted call</w:t>
      </w:r>
      <w:r w:rsidR="00321545">
        <w:t>s</w:t>
      </w:r>
      <w:r w:rsidR="00240B52">
        <w:t xml:space="preserve"> include </w:t>
      </w:r>
      <w:r w:rsidR="00570FA7">
        <w:t>rural tours</w:t>
      </w:r>
      <w:r>
        <w:rPr>
          <w:rStyle w:val="FootnoteReference"/>
        </w:rPr>
        <w:footnoteReference w:id="24"/>
      </w:r>
      <w:r w:rsidR="00240B52">
        <w:t xml:space="preserve"> and partnerships with AARP and the National Asian American Coalition</w:t>
      </w:r>
      <w:r w:rsidR="00321545">
        <w:t>,</w:t>
      </w:r>
      <w:r w:rsidR="00240B52">
        <w:t xml:space="preserve"> </w:t>
      </w:r>
      <w:r w:rsidR="00321545">
        <w:t>and</w:t>
      </w:r>
      <w:r w:rsidR="00240B52">
        <w:t xml:space="preserve"> focus on vulnerable communities </w:t>
      </w:r>
      <w:r w:rsidR="00475407">
        <w:t>such as</w:t>
      </w:r>
      <w:r w:rsidR="00240B52">
        <w:t xml:space="preserve"> older Americans and those who are linguistically isolated.  </w:t>
      </w:r>
      <w:r w:rsidR="00570FA7">
        <w:t xml:space="preserve">Consumer education </w:t>
      </w:r>
      <w:r w:rsidR="00240B52">
        <w:t>materials are available in English, Spanish, Korean, Traditional Chinese, Tagalog, and Vietnamese.</w:t>
      </w:r>
      <w:r w:rsidR="00E4269D">
        <w:t xml:space="preserve"> </w:t>
      </w:r>
      <w:r w:rsidR="00321545">
        <w:t xml:space="preserve"> </w:t>
      </w:r>
      <w:r>
        <w:t xml:space="preserve">Commission staff also has a monthly State and National Action Plan telephone conference with state commissions and the National Association of Regulatory Utility Commissioners; the Enforcement Bureau coordinates every month with the FTC on robocall enforcement; and the Commission’s Office of Intergovernmental Affairs works to coordinate FCC speakers </w:t>
      </w:r>
      <w:r w:rsidR="00570FA7">
        <w:t>for</w:t>
      </w:r>
      <w:r>
        <w:t xml:space="preserve"> presentations on key FCC policies, consumer education, and enforcement actions.  </w:t>
      </w:r>
      <w:r>
        <w:t>All of</w:t>
      </w:r>
      <w:r>
        <w:t xml:space="preserve"> these actions assist American consumers in avoiding unwanted calls.</w:t>
      </w:r>
    </w:p>
    <w:p w:rsidR="00F210C7" w:rsidP="006E2742" w14:paraId="2056BD70" w14:textId="4387ECAB">
      <w:pPr>
        <w:pStyle w:val="ParaNum"/>
      </w:pPr>
      <w:r>
        <w:t xml:space="preserve">The </w:t>
      </w:r>
      <w:r w:rsidR="00731DEF">
        <w:t xml:space="preserve">Commission’s </w:t>
      </w:r>
      <w:r>
        <w:t>Consumer and Governmental Affairs Bureau (Bureau) has prepared this</w:t>
      </w:r>
      <w:r w:rsidR="001D124E">
        <w:t xml:space="preserve"> </w:t>
      </w:r>
      <w:r w:rsidR="00BE7E11">
        <w:t>initial</w:t>
      </w:r>
      <w:r>
        <w:t xml:space="preserve"> </w:t>
      </w:r>
      <w:r w:rsidRPr="00BE7E11">
        <w:t>Staff Report</w:t>
      </w:r>
      <w:r>
        <w:t xml:space="preserve"> (</w:t>
      </w:r>
      <w:r w:rsidRPr="00BE7E11">
        <w:t>Report</w:t>
      </w:r>
      <w:r>
        <w:t xml:space="preserve">) on the deployment and implementation of call blocking and </w:t>
      </w:r>
      <w:r w:rsidR="00E838D7">
        <w:t>c</w:t>
      </w:r>
      <w:r>
        <w:t>aller ID authentication</w:t>
      </w:r>
      <w:r w:rsidR="00263836">
        <w:t>, in consultation with the Wireline Competition Bureau and Public Safety and Homeland Security Bureau</w:t>
      </w:r>
      <w:r>
        <w:t xml:space="preserve">.  </w:t>
      </w:r>
      <w:r w:rsidR="00263836">
        <w:t xml:space="preserve">This Report </w:t>
      </w:r>
      <w:r w:rsidR="00F27C55">
        <w:t xml:space="preserve">responds to the Commission’s directive in </w:t>
      </w:r>
      <w:r w:rsidR="00263836">
        <w:t xml:space="preserve">the </w:t>
      </w:r>
      <w:r w:rsidRPr="006E2742" w:rsidR="00263836">
        <w:rPr>
          <w:i/>
          <w:iCs/>
        </w:rPr>
        <w:t>2019</w:t>
      </w:r>
      <w:r w:rsidR="00263836">
        <w:t xml:space="preserve"> </w:t>
      </w:r>
      <w:r w:rsidRPr="006E2742" w:rsidR="00263836">
        <w:rPr>
          <w:i/>
          <w:iCs/>
        </w:rPr>
        <w:t xml:space="preserve">Call Blocking Declaratory Ruling </w:t>
      </w:r>
      <w:r w:rsidR="00263836">
        <w:t>that the Bureau prepare a report “on the state of deployment of advanced methods and tools to eliminate such calls, including the impact of call blocking on 911 and public safety.”</w:t>
      </w:r>
      <w:r>
        <w:rPr>
          <w:rStyle w:val="FootnoteReference"/>
        </w:rPr>
        <w:footnoteReference w:id="25"/>
      </w:r>
      <w:r w:rsidR="00263836">
        <w:t xml:space="preserve">  </w:t>
      </w:r>
      <w:r w:rsidR="009671AE">
        <w:t>The data and information contained in this Report relies on a number of sources, primarily from voice service providers and third-party analytics companies.  The Bureau released a p</w:t>
      </w:r>
      <w:r w:rsidRPr="001940F0" w:rsidR="009671AE">
        <w:t xml:space="preserve">ublic </w:t>
      </w:r>
      <w:r w:rsidR="009671AE">
        <w:t>n</w:t>
      </w:r>
      <w:r w:rsidRPr="001940F0" w:rsidR="009671AE">
        <w:t>otice</w:t>
      </w:r>
      <w:r w:rsidR="009671AE">
        <w:t xml:space="preserve"> requesting information on call blocking issues</w:t>
      </w:r>
      <w:r w:rsidR="00BE3013">
        <w:t>,</w:t>
      </w:r>
      <w:r w:rsidR="009671AE">
        <w:t xml:space="preserve"> </w:t>
      </w:r>
      <w:r w:rsidR="00BE3013">
        <w:t>including</w:t>
      </w:r>
      <w:r w:rsidR="009671AE">
        <w:t xml:space="preserve"> the availability and effectiveness of call blocking tools offered to consumers, the impact of the Commission’s actions on illegal calls, and the impact of call blocking on 911 services and public safety.</w:t>
      </w:r>
      <w:r>
        <w:rPr>
          <w:rStyle w:val="FootnoteReference"/>
        </w:rPr>
        <w:footnoteReference w:id="26"/>
      </w:r>
      <w:r w:rsidR="009671AE">
        <w:t xml:space="preserve">  We received 36 initial </w:t>
      </w:r>
      <w:r w:rsidRPr="00F95D09" w:rsidR="009671AE">
        <w:t xml:space="preserve">comments and </w:t>
      </w:r>
      <w:r w:rsidR="009671AE">
        <w:t xml:space="preserve">32 </w:t>
      </w:r>
      <w:r w:rsidRPr="00F95D09" w:rsidR="009671AE">
        <w:t>reply comments</w:t>
      </w:r>
      <w:r w:rsidR="009671AE">
        <w:t xml:space="preserve"> and </w:t>
      </w:r>
      <w:r w:rsidRPr="00F95D09" w:rsidR="009671AE">
        <w:t>responses to letters</w:t>
      </w:r>
      <w:r w:rsidR="009671AE">
        <w:t xml:space="preserve"> seeking information from </w:t>
      </w:r>
      <w:r w:rsidRPr="00F95D09" w:rsidR="009671AE">
        <w:t>voice service providers, trade associations,</w:t>
      </w:r>
      <w:r w:rsidR="009671AE">
        <w:t xml:space="preserve"> </w:t>
      </w:r>
      <w:r w:rsidRPr="00F95D09" w:rsidR="009671AE">
        <w:t>an</w:t>
      </w:r>
      <w:r w:rsidR="009671AE">
        <w:t xml:space="preserve">alytics companies, and other interested parties.  </w:t>
      </w:r>
      <w:r w:rsidR="00F27C55">
        <w:t>Consistent with t</w:t>
      </w:r>
      <w:r w:rsidR="00AE6DE0">
        <w:t xml:space="preserve">he </w:t>
      </w:r>
      <w:r w:rsidR="006074AA">
        <w:t>Commission</w:t>
      </w:r>
      <w:r w:rsidR="001307A8">
        <w:t xml:space="preserve">’s </w:t>
      </w:r>
      <w:r w:rsidR="004D20DF">
        <w:t xml:space="preserve">2019 </w:t>
      </w:r>
      <w:r w:rsidR="001307A8">
        <w:t>directi</w:t>
      </w:r>
      <w:r w:rsidR="00A30AA7">
        <w:t>ve</w:t>
      </w:r>
      <w:r w:rsidR="001307A8">
        <w:t xml:space="preserve">, </w:t>
      </w:r>
      <w:r w:rsidR="006074AA">
        <w:t>the</w:t>
      </w:r>
      <w:r w:rsidR="00F27C55">
        <w:t xml:space="preserve"> </w:t>
      </w:r>
      <w:r w:rsidR="00AE6DE0">
        <w:t xml:space="preserve">Bureau will issue a second report </w:t>
      </w:r>
      <w:r w:rsidR="004D20DF">
        <w:t xml:space="preserve">on these issues </w:t>
      </w:r>
      <w:r w:rsidR="00AE6DE0">
        <w:t>in June 2021</w:t>
      </w:r>
      <w:r w:rsidR="000512FC">
        <w:t>.</w:t>
      </w:r>
      <w:r>
        <w:rPr>
          <w:rStyle w:val="FootnoteReference"/>
        </w:rPr>
        <w:footnoteReference w:id="27"/>
      </w:r>
      <w:r w:rsidRPr="009671AE" w:rsidR="009671AE">
        <w:t xml:space="preserve"> </w:t>
      </w:r>
      <w:r w:rsidR="00BE3013">
        <w:t xml:space="preserve"> </w:t>
      </w:r>
    </w:p>
    <w:p w:rsidR="00D3254C" w:rsidRPr="00D3254C" w:rsidP="007C7675" w14:paraId="51ABCE26" w14:textId="1F80A247">
      <w:pPr>
        <w:pStyle w:val="ParaNum"/>
      </w:pPr>
      <w:r>
        <w:t>Th</w:t>
      </w:r>
      <w:r w:rsidR="00793BE6">
        <w:t>is</w:t>
      </w:r>
      <w:r>
        <w:t xml:space="preserve"> </w:t>
      </w:r>
      <w:r w:rsidRPr="00BE7E11">
        <w:t>Report</w:t>
      </w:r>
      <w:r w:rsidRPr="007C7675">
        <w:rPr>
          <w:i/>
        </w:rPr>
        <w:t xml:space="preserve"> </w:t>
      </w:r>
      <w:r>
        <w:t xml:space="preserve">describes </w:t>
      </w:r>
      <w:r w:rsidR="005013A8">
        <w:t>call</w:t>
      </w:r>
      <w:r w:rsidR="00F7199F">
        <w:t xml:space="preserve"> </w:t>
      </w:r>
      <w:r w:rsidR="00CB48DA">
        <w:t xml:space="preserve">blocking </w:t>
      </w:r>
      <w:r>
        <w:t xml:space="preserve">initiatives and progress toward protecting consumers from illegal </w:t>
      </w:r>
      <w:r w:rsidR="00164F5A">
        <w:t xml:space="preserve">and unwanted </w:t>
      </w:r>
      <w:r>
        <w:t>robocalls</w:t>
      </w:r>
      <w:r w:rsidR="00687BD2">
        <w:t>.</w:t>
      </w:r>
      <w:r w:rsidR="00CD36F7">
        <w:t xml:space="preserve"> </w:t>
      </w:r>
      <w:r w:rsidR="00714A8D">
        <w:t xml:space="preserve"> </w:t>
      </w:r>
      <w:r w:rsidR="003C6CC0">
        <w:t xml:space="preserve">This Report also </w:t>
      </w:r>
      <w:r w:rsidRPr="00265DE5" w:rsidR="003C6CC0">
        <w:t>include</w:t>
      </w:r>
      <w:r w:rsidR="003C6CC0">
        <w:t>s</w:t>
      </w:r>
      <w:r w:rsidRPr="00265DE5" w:rsidR="003C6CC0">
        <w:t xml:space="preserve"> information on the state of deployment of </w:t>
      </w:r>
      <w:r w:rsidR="003C6CC0">
        <w:t>c</w:t>
      </w:r>
      <w:r w:rsidRPr="00265DE5" w:rsidR="003C6CC0">
        <w:t>aller ID authentication through implementation of the STIR/SHAKEN framework, and contain</w:t>
      </w:r>
      <w:r w:rsidR="003C6CC0">
        <w:t>s</w:t>
      </w:r>
      <w:r w:rsidRPr="00265DE5" w:rsidR="003C6CC0">
        <w:t xml:space="preserve"> “snapshots” of deployment and implementation of Commission and industry efforts at the time of release.</w:t>
      </w:r>
      <w:r>
        <w:rPr>
          <w:rStyle w:val="FootnoteReference"/>
        </w:rPr>
        <w:footnoteReference w:id="28"/>
      </w:r>
      <w:r w:rsidRPr="00265DE5" w:rsidR="003C6CC0">
        <w:t xml:space="preserve">  </w:t>
      </w:r>
      <w:r w:rsidR="005279B9">
        <w:t>M</w:t>
      </w:r>
      <w:r w:rsidR="00053872">
        <w:t>ost voice service providers state that</w:t>
      </w:r>
      <w:r w:rsidR="005013A8">
        <w:t>,</w:t>
      </w:r>
      <w:r w:rsidR="00053872">
        <w:t xml:space="preserve"> following the </w:t>
      </w:r>
      <w:r w:rsidRPr="007C7675" w:rsidR="00053872">
        <w:rPr>
          <w:rFonts w:eastAsia="Calibri"/>
          <w:i/>
          <w:iCs/>
        </w:rPr>
        <w:t>2017</w:t>
      </w:r>
      <w:r w:rsidRPr="007C7675" w:rsidR="00053872">
        <w:rPr>
          <w:rFonts w:eastAsia="Calibri"/>
        </w:rPr>
        <w:t xml:space="preserve"> </w:t>
      </w:r>
      <w:r w:rsidRPr="007C7675" w:rsidR="00053872">
        <w:rPr>
          <w:rFonts w:eastAsia="Calibri"/>
          <w:i/>
        </w:rPr>
        <w:t>Call Blocking Report and Order</w:t>
      </w:r>
      <w:r w:rsidRPr="007C7675" w:rsidR="005013A8">
        <w:rPr>
          <w:rFonts w:eastAsia="Calibri"/>
          <w:iCs/>
        </w:rPr>
        <w:t>,</w:t>
      </w:r>
      <w:r w:rsidR="00053872">
        <w:t xml:space="preserve"> they block at the network level </w:t>
      </w:r>
      <w:r w:rsidRPr="007C7675" w:rsidR="00053872">
        <w:rPr>
          <w:rFonts w:eastAsia="Calibri"/>
        </w:rPr>
        <w:t>calls from telephone numbers on a DNO list and calls that appear to be from invalid, unallocated, or unused numbers.</w:t>
      </w:r>
      <w:r>
        <w:rPr>
          <w:rStyle w:val="FootnoteReference"/>
          <w:rFonts w:eastAsia="Calibri"/>
        </w:rPr>
        <w:footnoteReference w:id="29"/>
      </w:r>
      <w:r w:rsidRPr="007C7675" w:rsidR="00053872">
        <w:rPr>
          <w:rFonts w:eastAsia="Calibri"/>
        </w:rPr>
        <w:t xml:space="preserve">  </w:t>
      </w:r>
      <w:r w:rsidRPr="007C7675" w:rsidR="00A679CF">
        <w:rPr>
          <w:rFonts w:eastAsia="Calibri"/>
        </w:rPr>
        <w:t>F</w:t>
      </w:r>
      <w:r w:rsidRPr="007C7675" w:rsidR="00C44010">
        <w:rPr>
          <w:rFonts w:eastAsia="Calibri"/>
        </w:rPr>
        <w:t xml:space="preserve">ollowing the </w:t>
      </w:r>
      <w:r w:rsidRPr="007C7675" w:rsidR="00C44010">
        <w:rPr>
          <w:rFonts w:eastAsia="Calibri"/>
          <w:i/>
          <w:iCs/>
        </w:rPr>
        <w:t>2019</w:t>
      </w:r>
      <w:r w:rsidRPr="007C7675" w:rsidR="00C44010">
        <w:rPr>
          <w:rFonts w:eastAsia="Calibri"/>
        </w:rPr>
        <w:t xml:space="preserve"> </w:t>
      </w:r>
      <w:r w:rsidRPr="007C7675" w:rsidR="00C44010">
        <w:rPr>
          <w:rFonts w:eastAsia="Calibri"/>
          <w:i/>
        </w:rPr>
        <w:t>Call Blocking Declaratory Ruling</w:t>
      </w:r>
      <w:r w:rsidRPr="007C7675" w:rsidR="00C44010">
        <w:rPr>
          <w:rFonts w:eastAsia="Calibri"/>
          <w:iCs/>
        </w:rPr>
        <w:t>,</w:t>
      </w:r>
      <w:r w:rsidRPr="007C7675" w:rsidR="00053872">
        <w:rPr>
          <w:rFonts w:eastAsia="Calibri"/>
        </w:rPr>
        <w:t xml:space="preserve"> </w:t>
      </w:r>
      <w:r w:rsidRPr="007C7675" w:rsidR="00A679CF">
        <w:rPr>
          <w:rFonts w:eastAsia="Calibri"/>
        </w:rPr>
        <w:t xml:space="preserve">many voice service providers </w:t>
      </w:r>
      <w:r w:rsidRPr="007C7675" w:rsidR="00053872">
        <w:rPr>
          <w:rFonts w:eastAsia="Calibri"/>
        </w:rPr>
        <w:t xml:space="preserve">also offer </w:t>
      </w:r>
      <w:r w:rsidRPr="007C7675" w:rsidR="00AC4E07">
        <w:rPr>
          <w:rFonts w:eastAsia="Calibri"/>
        </w:rPr>
        <w:t xml:space="preserve">additional </w:t>
      </w:r>
      <w:r w:rsidRPr="007C7675" w:rsidR="00053872">
        <w:rPr>
          <w:rFonts w:eastAsia="Calibri"/>
        </w:rPr>
        <w:t xml:space="preserve">blocking or labeling services, generally through a third-party analytics company.  </w:t>
      </w:r>
      <w:r w:rsidRPr="007C7675" w:rsidR="00C44010">
        <w:rPr>
          <w:rFonts w:eastAsia="Calibri"/>
        </w:rPr>
        <w:t xml:space="preserve">In some cases, the voice service provider partners with the third-party </w:t>
      </w:r>
      <w:r w:rsidRPr="007C7675" w:rsidR="00C44010">
        <w:rPr>
          <w:rFonts w:eastAsia="Calibri"/>
        </w:rPr>
        <w:t xml:space="preserve">analytics company; in other cases, the voice service provider instructs the customer how to sign up for the service directly through the third-party analytics company’s website.  </w:t>
      </w:r>
      <w:r w:rsidRPr="007C7675" w:rsidR="00382484">
        <w:rPr>
          <w:rFonts w:eastAsia="Calibri"/>
        </w:rPr>
        <w:t xml:space="preserve">Finally, many voice service providers </w:t>
      </w:r>
      <w:r w:rsidRPr="007C7675" w:rsidR="005013A8">
        <w:rPr>
          <w:rFonts w:eastAsia="Calibri"/>
        </w:rPr>
        <w:t>offer</w:t>
      </w:r>
      <w:r w:rsidRPr="007C7675" w:rsidR="00382484">
        <w:rPr>
          <w:rFonts w:eastAsia="Calibri"/>
        </w:rPr>
        <w:t xml:space="preserve"> specific caller ID and blocking services through their websites.</w:t>
      </w:r>
      <w:r>
        <w:rPr>
          <w:rStyle w:val="FootnoteReference"/>
          <w:rFonts w:eastAsia="Calibri"/>
        </w:rPr>
        <w:footnoteReference w:id="30"/>
      </w:r>
      <w:r w:rsidRPr="007C7675" w:rsidR="00382484">
        <w:rPr>
          <w:rFonts w:eastAsia="Calibri"/>
        </w:rPr>
        <w:t xml:space="preserve">  </w:t>
      </w:r>
    </w:p>
    <w:p w:rsidR="008D6C45" w:rsidP="004A1B8B" w14:paraId="5E46F1CF" w14:textId="49C6A728">
      <w:pPr>
        <w:pStyle w:val="Heading1"/>
      </w:pPr>
      <w:r>
        <w:t>background</w:t>
      </w:r>
    </w:p>
    <w:p w:rsidR="004B47C1" w:rsidP="0040499A" w14:paraId="17CF39D1" w14:textId="39F745FC">
      <w:pPr>
        <w:pStyle w:val="ParaNum"/>
        <w:widowControl/>
      </w:pPr>
      <w:r>
        <w:t xml:space="preserve">Unwanted robocalls are a </w:t>
      </w:r>
      <w:r w:rsidR="00A849B5">
        <w:t xml:space="preserve">significant </w:t>
      </w:r>
      <w:r>
        <w:t xml:space="preserve">consumer problem. </w:t>
      </w:r>
      <w:r w:rsidR="00E90E06">
        <w:t xml:space="preserve"> </w:t>
      </w:r>
      <w:r w:rsidR="00A458B5">
        <w:t>Many consumers have stopped answering their wireline and wireless telephones</w:t>
      </w:r>
      <w:r w:rsidR="00EC4374">
        <w:t xml:space="preserve"> because of</w:t>
      </w:r>
      <w:r w:rsidR="00A458B5">
        <w:t xml:space="preserve"> the enormous volume of unwanted</w:t>
      </w:r>
      <w:r w:rsidR="00663E3F">
        <w:t xml:space="preserve"> </w:t>
      </w:r>
      <w:r w:rsidR="00A458B5">
        <w:t>calls.</w:t>
      </w:r>
      <w:r>
        <w:rPr>
          <w:rStyle w:val="FootnoteReference"/>
        </w:rPr>
        <w:footnoteReference w:id="31"/>
      </w:r>
      <w:r w:rsidR="00A458B5">
        <w:t xml:space="preserve">  </w:t>
      </w:r>
      <w:r w:rsidR="004B7ED4">
        <w:t xml:space="preserve">In addition to being annoying </w:t>
      </w:r>
      <w:r w:rsidR="00663E3F">
        <w:t xml:space="preserve">and used to perpetrate fraud, </w:t>
      </w:r>
      <w:r w:rsidR="004B7ED4">
        <w:t>r</w:t>
      </w:r>
      <w:r w:rsidR="007649BE">
        <w:t xml:space="preserve">obocalls can disrupt emergency medical communications and tie up emergency lines to 911 call centers, also known as Public Safety Answering Points </w:t>
      </w:r>
      <w:r w:rsidR="005E3336">
        <w:t>(</w:t>
      </w:r>
      <w:r w:rsidR="007649BE">
        <w:t>PSAPs</w:t>
      </w:r>
      <w:r w:rsidR="005E3336">
        <w:t>)</w:t>
      </w:r>
      <w:r w:rsidR="007649BE">
        <w:t>.</w:t>
      </w:r>
      <w:r>
        <w:rPr>
          <w:rStyle w:val="FootnoteReference"/>
        </w:rPr>
        <w:footnoteReference w:id="32"/>
      </w:r>
      <w:r w:rsidR="007649BE">
        <w:t xml:space="preserve">  </w:t>
      </w:r>
      <w:r w:rsidR="00A849B5">
        <w:t xml:space="preserve">Understanding this, the </w:t>
      </w:r>
      <w:r w:rsidR="00EC4374">
        <w:t xml:space="preserve">Commission has made stopping </w:t>
      </w:r>
      <w:r w:rsidR="00DD1C95">
        <w:t>unlawful</w:t>
      </w:r>
      <w:r w:rsidR="00E278EF">
        <w:t xml:space="preserve"> robocalls </w:t>
      </w:r>
      <w:r w:rsidR="00EC4374">
        <w:t xml:space="preserve">its highest consumer protection </w:t>
      </w:r>
      <w:r w:rsidR="00E278EF">
        <w:t>priority.</w:t>
      </w:r>
      <w:r>
        <w:rPr>
          <w:rStyle w:val="FootnoteReference"/>
        </w:rPr>
        <w:footnoteReference w:id="33"/>
      </w:r>
      <w:r w:rsidR="00E278EF">
        <w:t xml:space="preserve">  </w:t>
      </w:r>
      <w:bookmarkStart w:id="1" w:name="_Hlk32919099"/>
      <w:r w:rsidR="005A6D7C">
        <w:t xml:space="preserve">  </w:t>
      </w:r>
    </w:p>
    <w:p w:rsidR="002C0F8B" w:rsidP="001055C1" w14:paraId="342605F0" w14:textId="1E981B11">
      <w:pPr>
        <w:pStyle w:val="ParaNum"/>
      </w:pPr>
      <w:r>
        <w:t xml:space="preserve">The Commission </w:t>
      </w:r>
      <w:r w:rsidR="00810A9B">
        <w:t xml:space="preserve">has taken a multi-pronged approach </w:t>
      </w:r>
      <w:r w:rsidR="00B61AC7">
        <w:t>in</w:t>
      </w:r>
      <w:r w:rsidR="00810A9B">
        <w:t xml:space="preserve"> combating unwanted calls.</w:t>
      </w:r>
      <w:r>
        <w:t xml:space="preserve">  </w:t>
      </w:r>
      <w:r w:rsidR="00B61AC7">
        <w:t xml:space="preserve">In addition to its internal </w:t>
      </w:r>
      <w:r w:rsidR="00B61AC7">
        <w:t>policy-making</w:t>
      </w:r>
      <w:r w:rsidR="00B61AC7">
        <w:t xml:space="preserve"> and enforcement activities, </w:t>
      </w:r>
      <w:r>
        <w:t xml:space="preserve">the Commission’s Enforcement Bureau coordinates with the FTC </w:t>
      </w:r>
      <w:r w:rsidR="00B61AC7">
        <w:t xml:space="preserve">and </w:t>
      </w:r>
      <w:r w:rsidR="00670744">
        <w:t xml:space="preserve">Department of Justice </w:t>
      </w:r>
      <w:r>
        <w:t>on robocall</w:t>
      </w:r>
      <w:bookmarkEnd w:id="1"/>
      <w:r>
        <w:t xml:space="preserve"> enforcement</w:t>
      </w:r>
      <w:r w:rsidR="00B61AC7">
        <w:t>, and</w:t>
      </w:r>
      <w:r>
        <w:t xml:space="preserve"> </w:t>
      </w:r>
      <w:r w:rsidR="00B61AC7">
        <w:t>t</w:t>
      </w:r>
      <w:r>
        <w:t xml:space="preserve">he </w:t>
      </w:r>
      <w:r w:rsidR="00344F1C">
        <w:t xml:space="preserve">Commission’s </w:t>
      </w:r>
      <w:r>
        <w:t xml:space="preserve">Office of Intergovernmental Affairs coordinates </w:t>
      </w:r>
      <w:r w:rsidR="00B61AC7">
        <w:t>activities with</w:t>
      </w:r>
      <w:r>
        <w:t xml:space="preserve"> state commissions</w:t>
      </w:r>
      <w:r w:rsidRPr="00810A9B" w:rsidR="00810A9B">
        <w:t xml:space="preserve"> </w:t>
      </w:r>
      <w:r w:rsidR="00810A9B">
        <w:t>and the National Association of Regulatory Utility Commissioners</w:t>
      </w:r>
      <w:r>
        <w:t>.</w:t>
      </w:r>
      <w:r w:rsidRPr="00B177E0" w:rsidR="00B177E0">
        <w:t xml:space="preserve"> </w:t>
      </w:r>
      <w:r w:rsidR="00B177E0">
        <w:t xml:space="preserve"> The Commission also </w:t>
      </w:r>
      <w:r w:rsidR="00B61AC7">
        <w:t xml:space="preserve">conducts consumer education and outreach, including </w:t>
      </w:r>
      <w:r w:rsidR="00B177E0">
        <w:t>post</w:t>
      </w:r>
      <w:r w:rsidR="00B61AC7">
        <w:t>ing</w:t>
      </w:r>
      <w:r w:rsidR="00B177E0">
        <w:t xml:space="preserve"> information on its website to provide consumers with tips on avoiding robocall scams.</w:t>
      </w:r>
      <w:r>
        <w:rPr>
          <w:rStyle w:val="FootnoteReference"/>
        </w:rPr>
        <w:footnoteReference w:id="34"/>
      </w:r>
      <w:r w:rsidR="00B177E0">
        <w:t xml:space="preserve">  </w:t>
      </w:r>
      <w:r w:rsidR="00A849B5">
        <w:t xml:space="preserve">Most </w:t>
      </w:r>
      <w:r w:rsidR="00B177E0">
        <w:t xml:space="preserve">recently, </w:t>
      </w:r>
      <w:r w:rsidR="00746D31">
        <w:t>t</w:t>
      </w:r>
      <w:r w:rsidR="00B177E0">
        <w:t>he Commission</w:t>
      </w:r>
      <w:r w:rsidR="00746D31">
        <w:t xml:space="preserve"> </w:t>
      </w:r>
      <w:r w:rsidR="00B177E0">
        <w:t xml:space="preserve">posted information to educate consumers about </w:t>
      </w:r>
      <w:r w:rsidR="00FB11B8">
        <w:t xml:space="preserve">new </w:t>
      </w:r>
      <w:r w:rsidR="00B177E0">
        <w:t xml:space="preserve">COVID-19-related </w:t>
      </w:r>
      <w:r w:rsidR="00B61AC7">
        <w:t xml:space="preserve">robocall </w:t>
      </w:r>
      <w:r w:rsidR="00B177E0">
        <w:t>scams.</w:t>
      </w:r>
      <w:r>
        <w:rPr>
          <w:rStyle w:val="FootnoteReference"/>
        </w:rPr>
        <w:footnoteReference w:id="35"/>
      </w:r>
      <w:r w:rsidR="00B177E0">
        <w:t xml:space="preserve">  </w:t>
      </w:r>
    </w:p>
    <w:p w:rsidR="00835E71" w:rsidRPr="00835E71" w:rsidP="0040499A" w14:paraId="31BE9A76" w14:textId="70F07675">
      <w:pPr>
        <w:pStyle w:val="ParaNum"/>
        <w:widowControl/>
      </w:pPr>
      <w:r>
        <w:rPr>
          <w:rFonts w:eastAsia="Calibri"/>
        </w:rPr>
        <w:t>C</w:t>
      </w:r>
      <w:r w:rsidR="00C92B2E">
        <w:rPr>
          <w:rFonts w:eastAsia="Calibri"/>
        </w:rPr>
        <w:t>all blocking is o</w:t>
      </w:r>
      <w:r w:rsidR="00CC536A">
        <w:rPr>
          <w:rFonts w:eastAsia="Calibri"/>
        </w:rPr>
        <w:t xml:space="preserve">ne way </w:t>
      </w:r>
      <w:r w:rsidR="000E7B5B">
        <w:rPr>
          <w:rFonts w:eastAsia="Calibri"/>
        </w:rPr>
        <w:t xml:space="preserve">for voice service providers </w:t>
      </w:r>
      <w:r w:rsidR="00CC536A">
        <w:rPr>
          <w:rFonts w:eastAsia="Calibri"/>
        </w:rPr>
        <w:t xml:space="preserve">to </w:t>
      </w:r>
      <w:r w:rsidR="000E7B5B">
        <w:rPr>
          <w:rFonts w:eastAsia="Calibri"/>
        </w:rPr>
        <w:t>reduce unwanted</w:t>
      </w:r>
      <w:r w:rsidR="00CC536A">
        <w:rPr>
          <w:rFonts w:eastAsia="Calibri"/>
        </w:rPr>
        <w:t xml:space="preserve"> </w:t>
      </w:r>
      <w:r w:rsidR="006A4A55">
        <w:rPr>
          <w:rFonts w:eastAsia="Calibri"/>
        </w:rPr>
        <w:t>calls</w:t>
      </w:r>
      <w:r w:rsidR="00CC536A">
        <w:rPr>
          <w:rFonts w:eastAsia="Calibri"/>
        </w:rPr>
        <w:t xml:space="preserve">.  </w:t>
      </w:r>
      <w:r w:rsidRPr="00E25CBD" w:rsidR="00EB7725">
        <w:rPr>
          <w:rFonts w:eastAsia="Calibri"/>
        </w:rPr>
        <w:t>Call blocking is “stopping calls outright so that they do not ring a phone, routing the calls directly to voicemail without ringing the phone, or some other treatment, such as interactive voice response session or voice call screening.”</w:t>
      </w:r>
      <w:r>
        <w:rPr>
          <w:rStyle w:val="FootnoteReference"/>
          <w:rFonts w:eastAsia="Calibri"/>
        </w:rPr>
        <w:footnoteReference w:id="36"/>
      </w:r>
      <w:r w:rsidRPr="00E25CBD" w:rsidR="00EB7725">
        <w:rPr>
          <w:rFonts w:eastAsia="Calibri"/>
        </w:rPr>
        <w:t xml:space="preserve">  </w:t>
      </w:r>
      <w:r w:rsidR="005E3336">
        <w:rPr>
          <w:rFonts w:eastAsia="Calibri"/>
        </w:rPr>
        <w:t>V</w:t>
      </w:r>
      <w:r w:rsidR="00E446A6">
        <w:rPr>
          <w:rFonts w:eastAsia="Calibri"/>
        </w:rPr>
        <w:t xml:space="preserve">oice service providers or third-party analytics companies </w:t>
      </w:r>
      <w:r w:rsidR="005E3336">
        <w:rPr>
          <w:rFonts w:eastAsia="Calibri"/>
        </w:rPr>
        <w:t xml:space="preserve">accomplish this by stopping </w:t>
      </w:r>
      <w:r w:rsidRPr="00E25CBD" w:rsidR="004E4318">
        <w:rPr>
          <w:rFonts w:eastAsia="Calibri"/>
        </w:rPr>
        <w:t>robocalls before they reach the called party.</w:t>
      </w:r>
      <w:r w:rsidRPr="00E25CBD" w:rsidR="00344521">
        <w:rPr>
          <w:rFonts w:eastAsia="Calibri"/>
        </w:rPr>
        <w:t xml:space="preserve">  </w:t>
      </w:r>
      <w:r w:rsidR="006F4B57">
        <w:rPr>
          <w:rFonts w:eastAsia="Calibri"/>
        </w:rPr>
        <w:t xml:space="preserve">The </w:t>
      </w:r>
      <w:r w:rsidR="00A849B5">
        <w:rPr>
          <w:rFonts w:eastAsia="Calibri"/>
        </w:rPr>
        <w:t>consumer</w:t>
      </w:r>
      <w:r w:rsidR="006F4B57">
        <w:rPr>
          <w:rFonts w:eastAsia="Calibri"/>
        </w:rPr>
        <w:t xml:space="preserve"> can also set call blocking of specific numbers </w:t>
      </w:r>
      <w:r w:rsidR="006F4B57">
        <w:rPr>
          <w:rFonts w:eastAsia="Calibri"/>
        </w:rPr>
        <w:t xml:space="preserve">through settings on </w:t>
      </w:r>
      <w:r w:rsidR="00207E16">
        <w:rPr>
          <w:rFonts w:eastAsia="Calibri"/>
        </w:rPr>
        <w:t>their</w:t>
      </w:r>
      <w:r w:rsidR="005B17D8">
        <w:rPr>
          <w:rFonts w:eastAsia="Calibri"/>
        </w:rPr>
        <w:t xml:space="preserve"> wireless </w:t>
      </w:r>
      <w:r w:rsidR="006F4B57">
        <w:rPr>
          <w:rFonts w:eastAsia="Calibri"/>
        </w:rPr>
        <w:t>device.</w:t>
      </w:r>
      <w:r>
        <w:rPr>
          <w:rStyle w:val="FootnoteReference"/>
          <w:rFonts w:eastAsia="Calibri"/>
        </w:rPr>
        <w:footnoteReference w:id="37"/>
      </w:r>
      <w:r w:rsidR="00297827">
        <w:rPr>
          <w:rFonts w:eastAsia="Calibri"/>
        </w:rPr>
        <w:t xml:space="preserve">  </w:t>
      </w:r>
      <w:r w:rsidRPr="0017438D" w:rsidR="00473389">
        <w:rPr>
          <w:rFonts w:eastAsia="Calibri"/>
        </w:rPr>
        <w:t>Call labeling</w:t>
      </w:r>
      <w:r w:rsidRPr="0017438D" w:rsidR="00CE77D6">
        <w:rPr>
          <w:rFonts w:eastAsia="Calibri"/>
        </w:rPr>
        <w:t xml:space="preserve"> is another </w:t>
      </w:r>
      <w:r w:rsidRPr="0017438D" w:rsidR="00E24E7A">
        <w:rPr>
          <w:rFonts w:eastAsia="Calibri"/>
        </w:rPr>
        <w:t xml:space="preserve">tool to assist consumers.  </w:t>
      </w:r>
      <w:r w:rsidR="00A849B5">
        <w:rPr>
          <w:rFonts w:eastAsia="Calibri"/>
        </w:rPr>
        <w:t>M</w:t>
      </w:r>
      <w:r w:rsidRPr="0017438D" w:rsidR="00CF3AB6">
        <w:rPr>
          <w:rFonts w:eastAsia="Calibri"/>
        </w:rPr>
        <w:t>ost</w:t>
      </w:r>
      <w:r w:rsidRPr="0017438D" w:rsidR="004E4318">
        <w:rPr>
          <w:rFonts w:eastAsia="Calibri"/>
        </w:rPr>
        <w:t xml:space="preserve"> </w:t>
      </w:r>
      <w:r w:rsidRPr="0017438D" w:rsidR="00344521">
        <w:rPr>
          <w:rFonts w:eastAsia="Calibri"/>
        </w:rPr>
        <w:t xml:space="preserve">voice service providers and </w:t>
      </w:r>
      <w:r w:rsidRPr="0017438D" w:rsidR="00E446A6">
        <w:rPr>
          <w:rFonts w:eastAsia="Calibri"/>
        </w:rPr>
        <w:t>analytic</w:t>
      </w:r>
      <w:r w:rsidRPr="0017438D" w:rsidR="00126AE2">
        <w:rPr>
          <w:rFonts w:eastAsia="Calibri"/>
        </w:rPr>
        <w:t>s</w:t>
      </w:r>
      <w:r w:rsidRPr="0017438D" w:rsidR="00E446A6">
        <w:rPr>
          <w:rFonts w:eastAsia="Calibri"/>
        </w:rPr>
        <w:t xml:space="preserve"> companie</w:t>
      </w:r>
      <w:r w:rsidR="00A849B5">
        <w:rPr>
          <w:rFonts w:eastAsia="Calibri"/>
        </w:rPr>
        <w:t>s offer the service.  Call labeling</w:t>
      </w:r>
      <w:r w:rsidR="000E7B5B">
        <w:rPr>
          <w:rFonts w:eastAsia="Calibri"/>
        </w:rPr>
        <w:t xml:space="preserve"> </w:t>
      </w:r>
      <w:r w:rsidRPr="0017438D" w:rsidR="00207E16">
        <w:rPr>
          <w:rFonts w:eastAsia="Calibri"/>
        </w:rPr>
        <w:t xml:space="preserve">displays </w:t>
      </w:r>
      <w:r w:rsidRPr="0017438D" w:rsidR="004E4318">
        <w:rPr>
          <w:rFonts w:eastAsia="Calibri"/>
        </w:rPr>
        <w:t xml:space="preserve">categories </w:t>
      </w:r>
      <w:r w:rsidR="000E7B5B">
        <w:rPr>
          <w:rFonts w:eastAsia="Calibri"/>
        </w:rPr>
        <w:t xml:space="preserve">for potentially unwanted or illegal calls </w:t>
      </w:r>
      <w:r w:rsidRPr="0017438D" w:rsidR="00CA4760">
        <w:rPr>
          <w:rFonts w:eastAsia="Calibri"/>
        </w:rPr>
        <w:t>such as</w:t>
      </w:r>
      <w:r w:rsidRPr="0017438D" w:rsidR="007A7F25">
        <w:rPr>
          <w:rFonts w:eastAsia="Calibri"/>
        </w:rPr>
        <w:t xml:space="preserve"> “</w:t>
      </w:r>
      <w:r w:rsidRPr="0017438D" w:rsidR="004E4318">
        <w:rPr>
          <w:rFonts w:eastAsia="Calibri"/>
        </w:rPr>
        <w:t>spam</w:t>
      </w:r>
      <w:r w:rsidRPr="0017438D" w:rsidR="007A7F25">
        <w:rPr>
          <w:rFonts w:eastAsia="Calibri"/>
        </w:rPr>
        <w:t>”</w:t>
      </w:r>
      <w:r w:rsidRPr="0017438D" w:rsidR="004E4318">
        <w:rPr>
          <w:rFonts w:eastAsia="Calibri"/>
        </w:rPr>
        <w:t xml:space="preserve"> or </w:t>
      </w:r>
      <w:r w:rsidRPr="0017438D" w:rsidR="007A7F25">
        <w:rPr>
          <w:rFonts w:eastAsia="Calibri"/>
        </w:rPr>
        <w:t>“</w:t>
      </w:r>
      <w:r w:rsidRPr="0017438D" w:rsidR="004E4318">
        <w:rPr>
          <w:rFonts w:eastAsia="Calibri"/>
        </w:rPr>
        <w:t>scam likely</w:t>
      </w:r>
      <w:r w:rsidRPr="0017438D" w:rsidR="007A7F25">
        <w:rPr>
          <w:rFonts w:eastAsia="Calibri"/>
        </w:rPr>
        <w:t>”</w:t>
      </w:r>
      <w:r w:rsidRPr="0017438D" w:rsidR="00344521">
        <w:rPr>
          <w:rFonts w:eastAsia="Calibri"/>
        </w:rPr>
        <w:t xml:space="preserve"> </w:t>
      </w:r>
      <w:r w:rsidRPr="0017438D" w:rsidR="004E4318">
        <w:rPr>
          <w:rFonts w:eastAsia="Calibri"/>
        </w:rPr>
        <w:t xml:space="preserve">on </w:t>
      </w:r>
      <w:r w:rsidRPr="0017438D" w:rsidR="00344521">
        <w:rPr>
          <w:rFonts w:eastAsia="Calibri"/>
        </w:rPr>
        <w:t xml:space="preserve">the </w:t>
      </w:r>
      <w:r w:rsidR="00A849B5">
        <w:rPr>
          <w:rFonts w:eastAsia="Calibri"/>
        </w:rPr>
        <w:t>device’s</w:t>
      </w:r>
      <w:r w:rsidRPr="0017438D" w:rsidR="00A849B5">
        <w:rPr>
          <w:rFonts w:eastAsia="Calibri"/>
        </w:rPr>
        <w:t xml:space="preserve"> </w:t>
      </w:r>
      <w:r w:rsidRPr="0017438D" w:rsidR="00207E16">
        <w:rPr>
          <w:rFonts w:eastAsia="Calibri"/>
        </w:rPr>
        <w:t>screen</w:t>
      </w:r>
      <w:r w:rsidRPr="0017438D" w:rsidR="00CA4760">
        <w:rPr>
          <w:rFonts w:eastAsia="Calibri"/>
        </w:rPr>
        <w:t>, so the called party can decide whether to answer the call</w:t>
      </w:r>
      <w:r w:rsidRPr="0017438D" w:rsidR="004E4318">
        <w:rPr>
          <w:rFonts w:eastAsia="Calibri"/>
        </w:rPr>
        <w:t xml:space="preserve">.  </w:t>
      </w:r>
    </w:p>
    <w:p w:rsidR="00CC619B" w:rsidRPr="00C34D7D" w:rsidP="004E4318" w14:paraId="78386546" w14:textId="76BBA281">
      <w:pPr>
        <w:pStyle w:val="ParaNum"/>
      </w:pPr>
      <w:r>
        <w:t xml:space="preserve">The Commission’s </w:t>
      </w:r>
      <w:r w:rsidRPr="00D1765C" w:rsidR="00B97FE7">
        <w:rPr>
          <w:i/>
          <w:iCs/>
        </w:rPr>
        <w:t>2017</w:t>
      </w:r>
      <w:r w:rsidR="00B97FE7">
        <w:t xml:space="preserve"> </w:t>
      </w:r>
      <w:r w:rsidRPr="00E25CBD" w:rsidR="00B97FE7">
        <w:rPr>
          <w:i/>
        </w:rPr>
        <w:t xml:space="preserve">Call Blocking </w:t>
      </w:r>
      <w:r w:rsidR="004E4C96">
        <w:rPr>
          <w:i/>
        </w:rPr>
        <w:t xml:space="preserve">Report and </w:t>
      </w:r>
      <w:r w:rsidRPr="00E25CBD" w:rsidR="00B97FE7">
        <w:rPr>
          <w:i/>
        </w:rPr>
        <w:t>Order</w:t>
      </w:r>
      <w:r w:rsidR="00B97FE7">
        <w:t xml:space="preserve"> </w:t>
      </w:r>
      <w:r w:rsidR="00676BEF">
        <w:t>was</w:t>
      </w:r>
      <w:r w:rsidR="00B97FE7">
        <w:t xml:space="preserve"> an important step in preventing robocalls</w:t>
      </w:r>
      <w:r w:rsidRPr="00E25CBD" w:rsidR="00E8308C">
        <w:rPr>
          <w:rFonts w:eastAsia="Calibri"/>
        </w:rPr>
        <w:t xml:space="preserve"> </w:t>
      </w:r>
      <w:r w:rsidR="0038792C">
        <w:rPr>
          <w:rFonts w:eastAsia="Calibri"/>
        </w:rPr>
        <w:t xml:space="preserve">because it gave </w:t>
      </w:r>
      <w:r w:rsidRPr="00E25CBD" w:rsidR="00E8308C">
        <w:rPr>
          <w:rFonts w:eastAsia="Calibri"/>
        </w:rPr>
        <w:t>voice service providers the option of blocking illegal robocalls under certain circumstances</w:t>
      </w:r>
      <w:r w:rsidR="00935D0B">
        <w:rPr>
          <w:rFonts w:eastAsia="Calibri"/>
        </w:rPr>
        <w:t>—</w:t>
      </w:r>
      <w:r w:rsidR="001265FE">
        <w:rPr>
          <w:rFonts w:eastAsia="Calibri"/>
        </w:rPr>
        <w:t xml:space="preserve">those purporting to be </w:t>
      </w:r>
      <w:r w:rsidRPr="00E25CBD" w:rsidR="001265FE">
        <w:rPr>
          <w:rFonts w:eastAsia="Calibri"/>
        </w:rPr>
        <w:t>from telephone numbers on a D</w:t>
      </w:r>
      <w:r w:rsidR="001265FE">
        <w:rPr>
          <w:rFonts w:eastAsia="Calibri"/>
        </w:rPr>
        <w:t>NO</w:t>
      </w:r>
      <w:r w:rsidRPr="00E25CBD" w:rsidR="001265FE">
        <w:rPr>
          <w:rFonts w:eastAsia="Calibri"/>
        </w:rPr>
        <w:t xml:space="preserve"> list and calls that appear to be from invalid, unallocated, or unused numbers</w:t>
      </w:r>
      <w:r w:rsidRPr="00E25CBD" w:rsidR="00E8308C">
        <w:rPr>
          <w:rFonts w:eastAsia="Calibri"/>
        </w:rPr>
        <w:t>.</w:t>
      </w:r>
      <w:r>
        <w:rPr>
          <w:rStyle w:val="FootnoteReference"/>
        </w:rPr>
        <w:footnoteReference w:id="38"/>
      </w:r>
      <w:r w:rsidR="003452C3">
        <w:rPr>
          <w:rFonts w:eastAsia="Calibri"/>
        </w:rPr>
        <w:t xml:space="preserve">  </w:t>
      </w:r>
      <w:r w:rsidRPr="00E25CBD" w:rsidR="002C0F8B">
        <w:rPr>
          <w:rFonts w:eastAsia="Calibri"/>
        </w:rPr>
        <w:t xml:space="preserve">Previously, the Commission had determined that call blocking was an unjust and unreasonable practice under section 201(b) of the </w:t>
      </w:r>
      <w:r w:rsidR="00835E71">
        <w:rPr>
          <w:rFonts w:eastAsia="Calibri"/>
        </w:rPr>
        <w:t xml:space="preserve">Communications </w:t>
      </w:r>
      <w:r w:rsidRPr="00E25CBD" w:rsidR="002C0F8B">
        <w:rPr>
          <w:rFonts w:eastAsia="Calibri"/>
        </w:rPr>
        <w:t>Act</w:t>
      </w:r>
      <w:r w:rsidR="008A4403">
        <w:rPr>
          <w:rFonts w:eastAsia="Calibri"/>
        </w:rPr>
        <w:t xml:space="preserve"> of 1934, as amended (Communications Act).</w:t>
      </w:r>
      <w:r>
        <w:rPr>
          <w:rStyle w:val="FootnoteReference"/>
          <w:rFonts w:eastAsia="Calibri"/>
        </w:rPr>
        <w:footnoteReference w:id="39"/>
      </w:r>
      <w:r w:rsidR="00191FE7">
        <w:rPr>
          <w:rFonts w:eastAsia="Calibri"/>
        </w:rPr>
        <w:t xml:space="preserve">  But </w:t>
      </w:r>
      <w:r w:rsidR="00207E16">
        <w:rPr>
          <w:rFonts w:eastAsia="Calibri"/>
        </w:rPr>
        <w:t xml:space="preserve">with the promulgation of the </w:t>
      </w:r>
      <w:r w:rsidRPr="00D1765C" w:rsidR="00207E16">
        <w:rPr>
          <w:rFonts w:eastAsia="Calibri"/>
          <w:i/>
          <w:iCs/>
        </w:rPr>
        <w:t>2017</w:t>
      </w:r>
      <w:r w:rsidR="00207E16">
        <w:rPr>
          <w:rFonts w:eastAsia="Calibri"/>
        </w:rPr>
        <w:t xml:space="preserve"> </w:t>
      </w:r>
      <w:r w:rsidRPr="00E25CBD" w:rsidR="00207E16">
        <w:rPr>
          <w:rFonts w:eastAsia="Calibri"/>
          <w:i/>
        </w:rPr>
        <w:t xml:space="preserve">Call Blocking </w:t>
      </w:r>
      <w:r w:rsidR="00207E16">
        <w:rPr>
          <w:rFonts w:eastAsia="Calibri"/>
          <w:i/>
        </w:rPr>
        <w:t xml:space="preserve">Report and </w:t>
      </w:r>
      <w:r w:rsidRPr="00E25CBD" w:rsidR="00207E16">
        <w:rPr>
          <w:rFonts w:eastAsia="Calibri"/>
          <w:i/>
        </w:rPr>
        <w:t>Order</w:t>
      </w:r>
      <w:r w:rsidR="00207E16">
        <w:rPr>
          <w:rFonts w:eastAsia="Calibri"/>
          <w:i/>
        </w:rPr>
        <w:t>,</w:t>
      </w:r>
      <w:r w:rsidRPr="00E25CBD" w:rsidR="00207E16">
        <w:rPr>
          <w:rFonts w:eastAsia="Calibri"/>
        </w:rPr>
        <w:t xml:space="preserve"> </w:t>
      </w:r>
      <w:r w:rsidRPr="00E25CBD" w:rsidR="00185795">
        <w:rPr>
          <w:rFonts w:eastAsia="Calibri"/>
        </w:rPr>
        <w:t>a</w:t>
      </w:r>
      <w:r w:rsidRPr="00E25CBD" w:rsidR="002C0F8B">
        <w:rPr>
          <w:rFonts w:eastAsia="Calibri"/>
        </w:rPr>
        <w:t xml:space="preserve"> voice service provider </w:t>
      </w:r>
      <w:r w:rsidR="007622E9">
        <w:rPr>
          <w:rFonts w:eastAsia="Calibri"/>
        </w:rPr>
        <w:t xml:space="preserve">that </w:t>
      </w:r>
      <w:r w:rsidRPr="00E25CBD" w:rsidR="002C0F8B">
        <w:rPr>
          <w:rFonts w:eastAsia="Calibri"/>
        </w:rPr>
        <w:t xml:space="preserve">blocks calls in accordance with </w:t>
      </w:r>
      <w:r w:rsidR="00207E16">
        <w:rPr>
          <w:rFonts w:eastAsia="Calibri"/>
        </w:rPr>
        <w:t>its rules</w:t>
      </w:r>
      <w:r w:rsidRPr="00E25CBD" w:rsidR="002C0F8B">
        <w:rPr>
          <w:rFonts w:eastAsia="Calibri"/>
        </w:rPr>
        <w:t xml:space="preserve"> </w:t>
      </w:r>
      <w:r w:rsidRPr="00E25CBD" w:rsidR="00A840BD">
        <w:rPr>
          <w:rFonts w:eastAsia="Calibri"/>
        </w:rPr>
        <w:t>does</w:t>
      </w:r>
      <w:r w:rsidRPr="00E25CBD" w:rsidR="002C0F8B">
        <w:rPr>
          <w:rFonts w:eastAsia="Calibri"/>
        </w:rPr>
        <w:t xml:space="preserve"> not</w:t>
      </w:r>
      <w:r w:rsidRPr="00E25CBD" w:rsidR="0096508A">
        <w:rPr>
          <w:rFonts w:eastAsia="Calibri"/>
        </w:rPr>
        <w:t xml:space="preserve"> </w:t>
      </w:r>
      <w:r w:rsidRPr="00E25CBD" w:rsidR="002C0F8B">
        <w:rPr>
          <w:rFonts w:eastAsia="Calibri"/>
        </w:rPr>
        <w:t>violate the Commission’s call completion rules.</w:t>
      </w:r>
      <w:r>
        <w:rPr>
          <w:rStyle w:val="FootnoteReference"/>
          <w:rFonts w:eastAsia="Calibri"/>
        </w:rPr>
        <w:footnoteReference w:id="40"/>
      </w:r>
      <w:r w:rsidRPr="00E25CBD" w:rsidR="00416FF5">
        <w:rPr>
          <w:rFonts w:eastAsia="Calibri"/>
        </w:rPr>
        <w:t xml:space="preserve">  </w:t>
      </w:r>
      <w:r w:rsidR="00661C0C">
        <w:t xml:space="preserve">The Commission has made clear “that voice service providers may implement network-based blocking </w:t>
      </w:r>
      <w:r w:rsidRPr="001745E0" w:rsidR="00661C0C">
        <w:t>(i.e.,</w:t>
      </w:r>
      <w:r w:rsidR="00661C0C">
        <w:t xml:space="preserve"> blocking without consumer choice) only in ‘specific, well-defined circumstances.’”</w:t>
      </w:r>
      <w:r>
        <w:rPr>
          <w:rStyle w:val="FootnoteReference"/>
        </w:rPr>
        <w:footnoteReference w:id="41"/>
      </w:r>
      <w:r w:rsidR="00661C0C">
        <w:t xml:space="preserve">  </w:t>
      </w:r>
    </w:p>
    <w:p w:rsidR="004B47C1" w:rsidRPr="00387DA8" w:rsidP="00362B8C" w14:paraId="04D5703D" w14:textId="17562C85">
      <w:pPr>
        <w:pStyle w:val="ParaNum"/>
        <w:widowControl/>
      </w:pPr>
      <w:r>
        <w:rPr>
          <w:rFonts w:eastAsia="Calibri"/>
        </w:rPr>
        <w:t xml:space="preserve">Following the </w:t>
      </w:r>
      <w:r w:rsidRPr="00D1765C">
        <w:rPr>
          <w:rFonts w:eastAsia="Calibri"/>
          <w:i/>
          <w:iCs/>
        </w:rPr>
        <w:t>2017</w:t>
      </w:r>
      <w:r>
        <w:rPr>
          <w:rFonts w:eastAsia="Calibri"/>
        </w:rPr>
        <w:t xml:space="preserve"> </w:t>
      </w:r>
      <w:r w:rsidRPr="00992D6E">
        <w:rPr>
          <w:rFonts w:eastAsia="Calibri"/>
          <w:i/>
          <w:iCs/>
        </w:rPr>
        <w:t>Call Blocking Report and Order</w:t>
      </w:r>
      <w:r>
        <w:rPr>
          <w:rFonts w:eastAsia="Calibri"/>
        </w:rPr>
        <w:t>, voice service providers have blocked by default at the network level calls using invalid, unallocated, or unused numbers and numbers on a DNO list</w:t>
      </w:r>
      <w:r>
        <w:t>.</w:t>
      </w:r>
      <w:r>
        <w:rPr>
          <w:rStyle w:val="FootnoteReference"/>
          <w:rFonts w:eastAsia="Calibri"/>
        </w:rPr>
        <w:footnoteReference w:id="42"/>
      </w:r>
      <w:r>
        <w:t xml:space="preserve">  In the </w:t>
      </w:r>
      <w:r w:rsidRPr="00D1765C">
        <w:rPr>
          <w:i/>
          <w:iCs/>
        </w:rPr>
        <w:t>2019</w:t>
      </w:r>
      <w:r>
        <w:t xml:space="preserve"> </w:t>
      </w:r>
      <w:r w:rsidRPr="00CC619B">
        <w:rPr>
          <w:rFonts w:eastAsia="Calibri"/>
          <w:i/>
        </w:rPr>
        <w:t>Call Blocking Declaratory Ruling</w:t>
      </w:r>
      <w:r w:rsidRPr="00CC619B">
        <w:rPr>
          <w:rFonts w:eastAsia="Calibri"/>
        </w:rPr>
        <w:t>,</w:t>
      </w:r>
      <w:r>
        <w:rPr>
          <w:rFonts w:eastAsia="Calibri"/>
        </w:rPr>
        <w:t xml:space="preserve"> the Commission clarified</w:t>
      </w:r>
      <w:r w:rsidRPr="00CC619B">
        <w:rPr>
          <w:rFonts w:eastAsia="Calibri"/>
          <w:i/>
        </w:rPr>
        <w:t xml:space="preserve"> </w:t>
      </w:r>
      <w:r w:rsidRPr="00CC619B">
        <w:rPr>
          <w:rFonts w:eastAsia="Calibri"/>
        </w:rPr>
        <w:t xml:space="preserve">that voice service providers </w:t>
      </w:r>
      <w:r>
        <w:rPr>
          <w:rFonts w:eastAsia="Calibri"/>
        </w:rPr>
        <w:t>could</w:t>
      </w:r>
      <w:r w:rsidRPr="00CC619B">
        <w:rPr>
          <w:rFonts w:eastAsia="Calibri"/>
        </w:rPr>
        <w:t xml:space="preserve"> immediately start offering call</w:t>
      </w:r>
      <w:r>
        <w:rPr>
          <w:rFonts w:eastAsia="Calibri"/>
        </w:rPr>
        <w:t>-</w:t>
      </w:r>
      <w:r w:rsidRPr="00CC619B">
        <w:rPr>
          <w:rFonts w:eastAsia="Calibri"/>
        </w:rPr>
        <w:t>blocking services by default</w:t>
      </w:r>
      <w:r>
        <w:rPr>
          <w:rFonts w:eastAsia="Calibri"/>
        </w:rPr>
        <w:t xml:space="preserve"> to new and existing customers </w:t>
      </w:r>
      <w:r w:rsidRPr="00CC619B">
        <w:rPr>
          <w:rFonts w:eastAsia="Calibri"/>
        </w:rPr>
        <w:t>based on reasonable analytics designed to identify unwanted calls.</w:t>
      </w:r>
      <w:r>
        <w:rPr>
          <w:rStyle w:val="FootnoteReference"/>
          <w:rFonts w:eastAsia="Calibri"/>
        </w:rPr>
        <w:footnoteReference w:id="43"/>
      </w:r>
      <w:r>
        <w:rPr>
          <w:rFonts w:eastAsia="Calibri"/>
        </w:rPr>
        <w:t xml:space="preserve">  </w:t>
      </w:r>
    </w:p>
    <w:p w:rsidR="004B47C1" w:rsidRPr="00CC619B" w:rsidP="004B47C1" w14:paraId="14F825C0" w14:textId="1464C75A">
      <w:pPr>
        <w:pStyle w:val="ParaNum"/>
      </w:pPr>
      <w:r>
        <w:rPr>
          <w:rFonts w:eastAsia="Calibri"/>
        </w:rPr>
        <w:t>The Commission defines c</w:t>
      </w:r>
      <w:r w:rsidRPr="00D36070">
        <w:rPr>
          <w:rFonts w:eastAsia="Calibri"/>
        </w:rPr>
        <w:t>all blocking as “stopping calls outright so that they do not ring a phone, routing the calls directly to voicemail without ringing the phone, or some other treatment, such as interactive voice response session or voice call screening.”</w:t>
      </w:r>
      <w:r>
        <w:rPr>
          <w:rStyle w:val="FootnoteReference"/>
          <w:rFonts w:eastAsia="Calibri"/>
        </w:rPr>
        <w:footnoteReference w:id="44"/>
      </w:r>
      <w:r w:rsidRPr="00D36070">
        <w:rPr>
          <w:rFonts w:eastAsia="Calibri"/>
        </w:rPr>
        <w:t xml:space="preserve">  According to CTIA, the wireless industry blocks more than one million illegal robocalls every day.</w:t>
      </w:r>
      <w:r>
        <w:rPr>
          <w:rStyle w:val="FootnoteReference"/>
          <w:rFonts w:eastAsia="Calibri"/>
        </w:rPr>
        <w:footnoteReference w:id="45"/>
      </w:r>
      <w:r w:rsidRPr="00D36070">
        <w:rPr>
          <w:rFonts w:eastAsia="Calibri"/>
        </w:rPr>
        <w:t xml:space="preserve"> </w:t>
      </w:r>
      <w:r>
        <w:rPr>
          <w:rFonts w:eastAsia="Calibri"/>
        </w:rPr>
        <w:t xml:space="preserve"> </w:t>
      </w:r>
      <w:r w:rsidRPr="00D36070">
        <w:rPr>
          <w:rFonts w:eastAsia="Calibri"/>
        </w:rPr>
        <w:t xml:space="preserve">Voice service providers currently have implemented default network blocking for apparently fraudulent calls, e.g., calls from invalid numbers, </w:t>
      </w:r>
      <w:r w:rsidRPr="00D36070">
        <w:rPr>
          <w:rFonts w:eastAsia="Calibri"/>
        </w:rPr>
        <w:t>from numbers that are unallocated or not assigned, and DNO numbers.</w:t>
      </w:r>
      <w:r>
        <w:rPr>
          <w:rStyle w:val="FootnoteReference"/>
          <w:rFonts w:eastAsia="Calibri"/>
        </w:rPr>
        <w:footnoteReference w:id="46"/>
      </w:r>
      <w:r w:rsidRPr="00D36070">
        <w:rPr>
          <w:rFonts w:eastAsia="Calibri"/>
        </w:rPr>
        <w:t xml:space="preserve"> </w:t>
      </w:r>
      <w:r>
        <w:rPr>
          <w:rFonts w:eastAsia="Calibri"/>
        </w:rPr>
        <w:t xml:space="preserve"> </w:t>
      </w:r>
      <w:r w:rsidR="00F15007">
        <w:rPr>
          <w:rFonts w:eastAsia="Calibri"/>
        </w:rPr>
        <w:t>G</w:t>
      </w:r>
      <w:r w:rsidRPr="00D36070">
        <w:rPr>
          <w:rFonts w:eastAsia="Calibri"/>
        </w:rPr>
        <w:t>enerally, the voice service provider sends an intercept message or code to the calling party after the default block.</w:t>
      </w:r>
    </w:p>
    <w:p w:rsidR="001055C1" w:rsidRPr="009818BF" w:rsidP="004C5700" w14:paraId="2692286A" w14:textId="3578BFC2">
      <w:pPr>
        <w:pStyle w:val="ParaNum"/>
      </w:pPr>
      <w:r>
        <w:t xml:space="preserve">In a further measure to </w:t>
      </w:r>
      <w:r w:rsidR="00C5733E">
        <w:t>combat</w:t>
      </w:r>
      <w:r>
        <w:t xml:space="preserve"> </w:t>
      </w:r>
      <w:r w:rsidR="003F4BCC">
        <w:t>unwanted</w:t>
      </w:r>
      <w:r>
        <w:t xml:space="preserve"> robocalls</w:t>
      </w:r>
      <w:r w:rsidR="0070301C">
        <w:t>,</w:t>
      </w:r>
      <w:r>
        <w:t xml:space="preserve"> the Commission clarified, in the </w:t>
      </w:r>
      <w:r w:rsidRPr="00D1765C" w:rsidR="006F4B57">
        <w:rPr>
          <w:i/>
          <w:iCs/>
        </w:rPr>
        <w:t>2019</w:t>
      </w:r>
      <w:r w:rsidR="006F4B57">
        <w:t xml:space="preserve"> </w:t>
      </w:r>
      <w:r w:rsidRPr="00CC619B">
        <w:rPr>
          <w:rFonts w:eastAsia="Calibri"/>
          <w:i/>
        </w:rPr>
        <w:t>Call Blocking Declaratory Ruling</w:t>
      </w:r>
      <w:r w:rsidRPr="00CC619B">
        <w:rPr>
          <w:rFonts w:eastAsia="Calibri"/>
        </w:rPr>
        <w:t>,</w:t>
      </w:r>
      <w:r w:rsidRPr="00CC619B">
        <w:rPr>
          <w:rFonts w:eastAsia="Calibri"/>
          <w:i/>
        </w:rPr>
        <w:t xml:space="preserve"> </w:t>
      </w:r>
      <w:r w:rsidRPr="00CC619B">
        <w:rPr>
          <w:rFonts w:eastAsia="Calibri"/>
        </w:rPr>
        <w:t xml:space="preserve">that voice service providers </w:t>
      </w:r>
      <w:r w:rsidR="006F4B57">
        <w:rPr>
          <w:rFonts w:eastAsia="Calibri"/>
        </w:rPr>
        <w:t>could</w:t>
      </w:r>
      <w:r w:rsidRPr="00CC619B" w:rsidR="006F4B57">
        <w:rPr>
          <w:rFonts w:eastAsia="Calibri"/>
        </w:rPr>
        <w:t xml:space="preserve"> </w:t>
      </w:r>
      <w:r w:rsidRPr="00CC619B">
        <w:rPr>
          <w:rFonts w:eastAsia="Calibri"/>
        </w:rPr>
        <w:t xml:space="preserve">immediately </w:t>
      </w:r>
      <w:r w:rsidR="00207E16">
        <w:rPr>
          <w:rFonts w:eastAsia="Calibri"/>
        </w:rPr>
        <w:t>offer</w:t>
      </w:r>
      <w:r w:rsidRPr="00CC619B">
        <w:rPr>
          <w:rFonts w:eastAsia="Calibri"/>
        </w:rPr>
        <w:t xml:space="preserve"> call blocking services by default</w:t>
      </w:r>
      <w:r w:rsidR="00CB1525">
        <w:rPr>
          <w:rFonts w:eastAsia="Calibri"/>
        </w:rPr>
        <w:t xml:space="preserve"> to new and existing customers</w:t>
      </w:r>
      <w:r w:rsidR="00207E16">
        <w:rPr>
          <w:rFonts w:eastAsia="Calibri"/>
        </w:rPr>
        <w:t xml:space="preserve"> so long as </w:t>
      </w:r>
      <w:r w:rsidRPr="00CC619B">
        <w:rPr>
          <w:rFonts w:eastAsia="Calibri"/>
        </w:rPr>
        <w:t>an opportunity to opt</w:t>
      </w:r>
      <w:r w:rsidR="004D6F9C">
        <w:rPr>
          <w:rFonts w:eastAsia="Calibri"/>
        </w:rPr>
        <w:t xml:space="preserve"> </w:t>
      </w:r>
      <w:r w:rsidRPr="00CC619B">
        <w:rPr>
          <w:rFonts w:eastAsia="Calibri"/>
        </w:rPr>
        <w:t>out</w:t>
      </w:r>
      <w:r w:rsidRPr="00CC619B" w:rsidR="0087337E">
        <w:rPr>
          <w:rFonts w:eastAsia="Calibri"/>
        </w:rPr>
        <w:t xml:space="preserve"> from the service</w:t>
      </w:r>
      <w:r w:rsidR="006F4B57">
        <w:rPr>
          <w:rFonts w:eastAsia="Calibri"/>
        </w:rPr>
        <w:t xml:space="preserve"> </w:t>
      </w:r>
      <w:r w:rsidR="00207E16">
        <w:rPr>
          <w:rFonts w:eastAsia="Calibri"/>
        </w:rPr>
        <w:t>is provided</w:t>
      </w:r>
      <w:r w:rsidRPr="00CC619B">
        <w:rPr>
          <w:rFonts w:eastAsia="Calibri"/>
        </w:rPr>
        <w:t>.</w:t>
      </w:r>
      <w:r w:rsidR="00CB1525">
        <w:rPr>
          <w:rFonts w:eastAsia="Calibri"/>
        </w:rPr>
        <w:t xml:space="preserve">  Such </w:t>
      </w:r>
      <w:r w:rsidRPr="00CC619B" w:rsidR="00F33BF5">
        <w:rPr>
          <w:rFonts w:eastAsia="Calibri"/>
        </w:rPr>
        <w:t xml:space="preserve">call blocking programs </w:t>
      </w:r>
      <w:r w:rsidR="00CB1525">
        <w:rPr>
          <w:rFonts w:eastAsia="Calibri"/>
        </w:rPr>
        <w:t xml:space="preserve">could be </w:t>
      </w:r>
      <w:r w:rsidRPr="00CC619B" w:rsidR="00F33BF5">
        <w:rPr>
          <w:rFonts w:eastAsia="Calibri"/>
        </w:rPr>
        <w:t>based on</w:t>
      </w:r>
      <w:r w:rsidRPr="00CC619B" w:rsidR="00367DA1">
        <w:rPr>
          <w:rFonts w:eastAsia="Calibri"/>
        </w:rPr>
        <w:t xml:space="preserve"> </w:t>
      </w:r>
      <w:r w:rsidRPr="00CC619B" w:rsidR="00F33BF5">
        <w:rPr>
          <w:rFonts w:eastAsia="Calibri"/>
        </w:rPr>
        <w:t>reasonable analytics designed to id</w:t>
      </w:r>
      <w:r w:rsidRPr="00CC619B" w:rsidR="00E35FCA">
        <w:rPr>
          <w:rFonts w:eastAsia="Calibri"/>
        </w:rPr>
        <w:t>entify unwanted calls</w:t>
      </w:r>
      <w:r w:rsidRPr="00CC619B" w:rsidR="007D2466">
        <w:rPr>
          <w:rFonts w:eastAsia="Calibri"/>
        </w:rPr>
        <w:t>.</w:t>
      </w:r>
      <w:r>
        <w:rPr>
          <w:rStyle w:val="FootnoteReference"/>
          <w:rFonts w:eastAsia="Calibri"/>
        </w:rPr>
        <w:footnoteReference w:id="47"/>
      </w:r>
      <w:r w:rsidR="007A7BEA">
        <w:rPr>
          <w:rFonts w:eastAsia="Calibri"/>
        </w:rPr>
        <w:t xml:space="preserve">  </w:t>
      </w:r>
      <w:r w:rsidRPr="004C5700" w:rsidR="006F4B57">
        <w:rPr>
          <w:rFonts w:eastAsia="Calibri"/>
        </w:rPr>
        <w:t>In addition to default network blocking, m</w:t>
      </w:r>
      <w:r w:rsidRPr="004C5700" w:rsidR="007A7BEA">
        <w:rPr>
          <w:rFonts w:eastAsia="Calibri"/>
        </w:rPr>
        <w:t xml:space="preserve">ost voice service providers offer call blocking and labeling services on an opt-in or opt-out basis, through a third-party analytics company partner.  </w:t>
      </w:r>
      <w:r w:rsidRPr="004C5700" w:rsidR="006F4B57">
        <w:rPr>
          <w:rFonts w:eastAsia="Calibri"/>
        </w:rPr>
        <w:t>C</w:t>
      </w:r>
      <w:r w:rsidRPr="004C5700" w:rsidR="007A7BEA">
        <w:rPr>
          <w:rFonts w:eastAsia="Calibri"/>
        </w:rPr>
        <w:t xml:space="preserve">onsumers can </w:t>
      </w:r>
      <w:r w:rsidRPr="004C5700" w:rsidR="006F4B57">
        <w:rPr>
          <w:rFonts w:eastAsia="Calibri"/>
        </w:rPr>
        <w:t xml:space="preserve">also </w:t>
      </w:r>
      <w:r w:rsidRPr="004C5700" w:rsidR="007A7BEA">
        <w:rPr>
          <w:rFonts w:eastAsia="Calibri"/>
        </w:rPr>
        <w:t>obtain call blocking and labeling services directly from</w:t>
      </w:r>
      <w:r w:rsidRPr="004C5700" w:rsidR="007D032F">
        <w:rPr>
          <w:rFonts w:eastAsia="Calibri"/>
        </w:rPr>
        <w:t xml:space="preserve"> </w:t>
      </w:r>
      <w:r w:rsidR="00532550">
        <w:rPr>
          <w:rFonts w:eastAsia="Calibri"/>
        </w:rPr>
        <w:t xml:space="preserve">such third-party </w:t>
      </w:r>
      <w:r w:rsidRPr="004C5700" w:rsidR="007D032F">
        <w:rPr>
          <w:rFonts w:eastAsia="Calibri"/>
        </w:rPr>
        <w:t>analytics companies</w:t>
      </w:r>
      <w:r w:rsidRPr="004C5700" w:rsidR="007A7BEA">
        <w:rPr>
          <w:rFonts w:eastAsia="Calibri"/>
        </w:rPr>
        <w:t xml:space="preserve">.  </w:t>
      </w:r>
      <w:r w:rsidRPr="004C5700" w:rsidR="007D032F">
        <w:rPr>
          <w:rFonts w:eastAsia="Calibri"/>
        </w:rPr>
        <w:t>T</w:t>
      </w:r>
      <w:r w:rsidRPr="004C5700" w:rsidR="007A7BEA">
        <w:rPr>
          <w:rFonts w:eastAsia="Calibri"/>
        </w:rPr>
        <w:t xml:space="preserve">hese services allow the consumer to configure call blocking and call labeling for </w:t>
      </w:r>
      <w:r w:rsidRPr="004C5700" w:rsidR="008F3A21">
        <w:rPr>
          <w:rFonts w:eastAsia="Calibri"/>
        </w:rPr>
        <w:t xml:space="preserve">their </w:t>
      </w:r>
      <w:r w:rsidRPr="004C5700" w:rsidR="007A7BEA">
        <w:rPr>
          <w:rFonts w:eastAsia="Calibri"/>
        </w:rPr>
        <w:t xml:space="preserve">incoming calls.    </w:t>
      </w:r>
    </w:p>
    <w:p w:rsidR="00FB4357" w:rsidRPr="00FB4357" w:rsidP="00FB4357" w14:paraId="0FAF7E13" w14:textId="6271E197">
      <w:pPr>
        <w:pStyle w:val="ParaNum"/>
      </w:pPr>
      <w:r>
        <w:t>Congress recently passed a landmark anti-robocall law, the Pallone-Thune Telephone Robocall Abuse Criminal Enforcement and Deterrence Act (TRACED Act).</w:t>
      </w:r>
      <w:r>
        <w:rPr>
          <w:rStyle w:val="FootnoteReference"/>
        </w:rPr>
        <w:footnoteReference w:id="48"/>
      </w:r>
      <w:r>
        <w:t xml:space="preserve">  The TRACED Act gives </w:t>
      </w:r>
      <w:r w:rsidR="00344F1C">
        <w:t>the Commission</w:t>
      </w:r>
      <w:r>
        <w:t xml:space="preserve"> additional tools to combat robocalls.  </w:t>
      </w:r>
      <w:bookmarkStart w:id="2" w:name="_Hlk36820698"/>
      <w:r>
        <w:t xml:space="preserve">The Commission has already taken several steps to implement the TRACED Act, including establishing a traceback consortium, requiring voice service providers to implement caller ID authentication technology </w:t>
      </w:r>
      <w:r w:rsidR="00344F1C">
        <w:t>o</w:t>
      </w:r>
      <w:r>
        <w:t>n their networks</w:t>
      </w:r>
      <w:r w:rsidR="008527DC">
        <w:t xml:space="preserve"> by June 30, 2021</w:t>
      </w:r>
      <w:r>
        <w:t>,</w:t>
      </w:r>
      <w:r w:rsidRPr="00ED291E">
        <w:t xml:space="preserve"> </w:t>
      </w:r>
      <w:r>
        <w:t>establishing the Hospital Robocall Protection Group,</w:t>
      </w:r>
      <w:r>
        <w:rPr>
          <w:rStyle w:val="FootnoteReference"/>
        </w:rPr>
        <w:footnoteReference w:id="49"/>
      </w:r>
      <w:r>
        <w:t xml:space="preserve"> initiating a proceeding pertaining to one-ring scam</w:t>
      </w:r>
      <w:r>
        <w:rPr>
          <w:rStyle w:val="FootnoteReference"/>
        </w:rPr>
        <w:footnoteReference w:id="50"/>
      </w:r>
      <w:r>
        <w:t xml:space="preserve"> calls</w:t>
      </w:r>
      <w:r w:rsidR="000912AB">
        <w:t xml:space="preserve">, and </w:t>
      </w:r>
      <w:r w:rsidRPr="000912AB" w:rsidR="000912AB">
        <w:t>implementing stronger enforcement provisions for illegal robocalls with intent and illegal</w:t>
      </w:r>
      <w:r w:rsidR="001927BF">
        <w:t>ly</w:t>
      </w:r>
      <w:r w:rsidRPr="000912AB" w:rsidR="000912AB">
        <w:t xml:space="preserve"> spoofed calls</w:t>
      </w:r>
      <w:r>
        <w:t>.</w:t>
      </w:r>
      <w:bookmarkEnd w:id="2"/>
      <w:r>
        <w:rPr>
          <w:rStyle w:val="FootnoteReference"/>
        </w:rPr>
        <w:footnoteReference w:id="51"/>
      </w:r>
      <w:r w:rsidRPr="00FB4357">
        <w:t xml:space="preserve"> </w:t>
      </w:r>
      <w:r>
        <w:t xml:space="preserve"> </w:t>
      </w:r>
    </w:p>
    <w:p w:rsidR="00987093" w:rsidP="00D8060B" w14:paraId="50253942" w14:textId="7B451D28">
      <w:pPr>
        <w:pStyle w:val="ParaNum"/>
        <w:widowControl/>
      </w:pPr>
      <w:r>
        <w:t>Illegal c</w:t>
      </w:r>
      <w:r w:rsidR="002A7D1F">
        <w:t>aller ID spoofing</w:t>
      </w:r>
      <w:r w:rsidR="002D221E">
        <w:t>,</w:t>
      </w:r>
      <w:r w:rsidRPr="00322E37" w:rsidR="002D221E">
        <w:t xml:space="preserve"> </w:t>
      </w:r>
      <w:r w:rsidRPr="00322E37" w:rsidR="00E541A7">
        <w:t>i.e.</w:t>
      </w:r>
      <w:r w:rsidR="00E541A7">
        <w:t xml:space="preserve">, </w:t>
      </w:r>
      <w:r w:rsidR="002D221E">
        <w:t xml:space="preserve">falsifying the </w:t>
      </w:r>
      <w:r w:rsidR="00C04C6A">
        <w:t>c</w:t>
      </w:r>
      <w:r w:rsidR="002D221E">
        <w:t>aller ID information that appears on the called party’s phone</w:t>
      </w:r>
      <w:r>
        <w:t xml:space="preserve"> with the intent to defraud, cause harm</w:t>
      </w:r>
      <w:r w:rsidR="005F4BF6">
        <w:t>,</w:t>
      </w:r>
      <w:r>
        <w:t xml:space="preserve"> or wrongfully obtain anything of value</w:t>
      </w:r>
      <w:r w:rsidR="002D221E">
        <w:t>,</w:t>
      </w:r>
      <w:r>
        <w:rPr>
          <w:rStyle w:val="FootnoteReference"/>
        </w:rPr>
        <w:footnoteReference w:id="52"/>
      </w:r>
      <w:r w:rsidR="002A7D1F">
        <w:t xml:space="preserve"> </w:t>
      </w:r>
      <w:r>
        <w:t>can</w:t>
      </w:r>
      <w:r w:rsidR="002A7D1F">
        <w:t xml:space="preserve"> often</w:t>
      </w:r>
      <w:r>
        <w:t xml:space="preserve"> be</w:t>
      </w:r>
      <w:r w:rsidR="002A7D1F">
        <w:t xml:space="preserve"> the key to </w:t>
      </w:r>
      <w:r>
        <w:t>a</w:t>
      </w:r>
      <w:r w:rsidR="00466E50">
        <w:t xml:space="preserve"> </w:t>
      </w:r>
      <w:r w:rsidR="002A7D1F">
        <w:t>robocall scam</w:t>
      </w:r>
      <w:r>
        <w:t>’</w:t>
      </w:r>
      <w:r w:rsidR="002A7D1F">
        <w:t>s</w:t>
      </w:r>
      <w:r>
        <w:t xml:space="preserve"> success</w:t>
      </w:r>
      <w:r w:rsidR="002A7D1F">
        <w:t>.</w:t>
      </w:r>
      <w:r>
        <w:rPr>
          <w:rStyle w:val="FootnoteReference"/>
        </w:rPr>
        <w:footnoteReference w:id="53"/>
      </w:r>
      <w:r w:rsidR="002A7D1F">
        <w:t xml:space="preserve">  </w:t>
      </w:r>
      <w:r w:rsidR="00844C12">
        <w:t xml:space="preserve">Congress passed the 2009 Truth in Caller ID Act to “address </w:t>
      </w:r>
      <w:r w:rsidR="00844C12">
        <w:t>the growing problem of caller ID spoofing done for fraudulent or harmful purposes.”</w:t>
      </w:r>
      <w:r>
        <w:rPr>
          <w:rStyle w:val="FootnoteReference"/>
        </w:rPr>
        <w:footnoteReference w:id="54"/>
      </w:r>
      <w:r w:rsidR="00844C12">
        <w:t xml:space="preserve"> </w:t>
      </w:r>
      <w:r w:rsidR="005F4BF6">
        <w:t xml:space="preserve"> </w:t>
      </w:r>
      <w:r w:rsidR="003D5DC6">
        <w:t xml:space="preserve">One tool to combat </w:t>
      </w:r>
      <w:r>
        <w:t xml:space="preserve">illegal caller ID spoofing </w:t>
      </w:r>
      <w:r w:rsidR="003D5DC6">
        <w:t xml:space="preserve">is </w:t>
      </w:r>
      <w:r w:rsidR="00AF35DB">
        <w:t>c</w:t>
      </w:r>
      <w:r w:rsidR="00E3618B">
        <w:t>aller ID authentication</w:t>
      </w:r>
      <w:r w:rsidR="00A07C91">
        <w:t xml:space="preserve">, </w:t>
      </w:r>
      <w:r w:rsidR="003D5DC6">
        <w:t>which</w:t>
      </w:r>
      <w:r w:rsidR="00E3618B">
        <w:t xml:space="preserve"> </w:t>
      </w:r>
      <w:r w:rsidR="008527DC">
        <w:t>allows voice service providers to verify that the caller ID information transmitted with a particular call matches the caller’s number</w:t>
      </w:r>
      <w:r w:rsidR="00333940">
        <w:t>, which in turn helps to determine whether the call should be blocked or labeled</w:t>
      </w:r>
      <w:r w:rsidR="00E3618B">
        <w:t>.</w:t>
      </w:r>
      <w:r>
        <w:rPr>
          <w:rStyle w:val="FootnoteReference"/>
        </w:rPr>
        <w:footnoteReference w:id="55"/>
      </w:r>
      <w:r w:rsidR="00E3618B">
        <w:t xml:space="preserve">  </w:t>
      </w:r>
      <w:r w:rsidR="00E67120">
        <w:t>Section 4 of t</w:t>
      </w:r>
      <w:r w:rsidR="000334EC">
        <w:t xml:space="preserve">he TRACED Act directs the Commission to require </w:t>
      </w:r>
      <w:r w:rsidR="00874D17">
        <w:t>voice service providers</w:t>
      </w:r>
      <w:r w:rsidR="00DD791C">
        <w:t xml:space="preserve"> </w:t>
      </w:r>
      <w:r w:rsidR="000334EC">
        <w:t>to</w:t>
      </w:r>
      <w:r w:rsidR="00DD791C">
        <w:t xml:space="preserve"> “implement the STIR/SHAKEN authentication framework</w:t>
      </w:r>
      <w:r w:rsidR="00D835BC">
        <w:t>”</w:t>
      </w:r>
      <w:r w:rsidR="00DD791C">
        <w:t xml:space="preserve"> in the </w:t>
      </w:r>
      <w:r w:rsidR="000334EC">
        <w:t>I</w:t>
      </w:r>
      <w:r w:rsidR="00DD791C">
        <w:t xml:space="preserve">nternet </w:t>
      </w:r>
      <w:r w:rsidR="000334EC">
        <w:t>P</w:t>
      </w:r>
      <w:r w:rsidR="00DD791C">
        <w:t>rotocol</w:t>
      </w:r>
      <w:r w:rsidR="00F8128F">
        <w:t xml:space="preserve"> (IP)</w:t>
      </w:r>
      <w:r w:rsidR="00D835BC">
        <w:t xml:space="preserve"> portions of their</w:t>
      </w:r>
      <w:r w:rsidR="00DD791C">
        <w:t xml:space="preserve"> networks</w:t>
      </w:r>
      <w:r w:rsidR="00D835BC">
        <w:t>,</w:t>
      </w:r>
      <w:r w:rsidR="000253A8">
        <w:t xml:space="preserve"> and “take reasonable measures to implement an effective call authentication framework</w:t>
      </w:r>
      <w:r w:rsidR="00D835BC">
        <w:t>”</w:t>
      </w:r>
      <w:r w:rsidR="000253A8">
        <w:t xml:space="preserve"> in the non-</w:t>
      </w:r>
      <w:r w:rsidR="000334EC">
        <w:t>IP</w:t>
      </w:r>
      <w:r w:rsidR="00D835BC">
        <w:t xml:space="preserve"> portions of their</w:t>
      </w:r>
      <w:r w:rsidR="000253A8">
        <w:t xml:space="preserve"> networks</w:t>
      </w:r>
      <w:r w:rsidR="00E67120">
        <w:t xml:space="preserve"> no later than June 30, 2021</w:t>
      </w:r>
      <w:r w:rsidR="000253A8">
        <w:t>.</w:t>
      </w:r>
      <w:r>
        <w:rPr>
          <w:rStyle w:val="FootnoteReference"/>
        </w:rPr>
        <w:footnoteReference w:id="56"/>
      </w:r>
      <w:r w:rsidR="000253A8">
        <w:t xml:space="preserve">  </w:t>
      </w:r>
      <w:r w:rsidRPr="00844C12" w:rsidR="008B669B">
        <w:rPr>
          <w:rFonts w:eastAsia="Calibri"/>
        </w:rPr>
        <w:t>STIR/SHAKEN,</w:t>
      </w:r>
      <w:r w:rsidRPr="00844C12" w:rsidR="002102CD">
        <w:rPr>
          <w:rFonts w:eastAsia="Calibri"/>
        </w:rPr>
        <w:t xml:space="preserve"> also </w:t>
      </w:r>
      <w:r w:rsidRPr="00844C12" w:rsidR="0088784F">
        <w:rPr>
          <w:rFonts w:eastAsia="Calibri"/>
        </w:rPr>
        <w:t xml:space="preserve">sometimes </w:t>
      </w:r>
      <w:r w:rsidRPr="00844C12" w:rsidR="002102CD">
        <w:rPr>
          <w:rFonts w:eastAsia="Calibri"/>
        </w:rPr>
        <w:t>referred to as</w:t>
      </w:r>
      <w:r w:rsidRPr="00844C12" w:rsidR="008B669B">
        <w:rPr>
          <w:rFonts w:eastAsia="Calibri"/>
        </w:rPr>
        <w:t xml:space="preserve"> </w:t>
      </w:r>
      <w:r w:rsidRPr="00844C12" w:rsidR="002102CD">
        <w:rPr>
          <w:rFonts w:eastAsia="Calibri"/>
        </w:rPr>
        <w:t xml:space="preserve">SHAKEN/STIR, </w:t>
      </w:r>
      <w:r w:rsidRPr="00844C12" w:rsidR="008B669B">
        <w:rPr>
          <w:rFonts w:eastAsia="Calibri"/>
        </w:rPr>
        <w:t xml:space="preserve">is a </w:t>
      </w:r>
      <w:r w:rsidRPr="00844C12" w:rsidR="00D835BC">
        <w:rPr>
          <w:rFonts w:eastAsia="Calibri"/>
        </w:rPr>
        <w:t xml:space="preserve">framework </w:t>
      </w:r>
      <w:r w:rsidRPr="00844C12" w:rsidR="008B669B">
        <w:rPr>
          <w:rFonts w:eastAsia="Calibri"/>
        </w:rPr>
        <w:t>developed for IP networks by industry</w:t>
      </w:r>
      <w:r w:rsidRPr="00844C12" w:rsidR="000334EC">
        <w:rPr>
          <w:rFonts w:eastAsia="Calibri"/>
        </w:rPr>
        <w:t xml:space="preserve"> technologists</w:t>
      </w:r>
      <w:r w:rsidRPr="00844C12" w:rsidR="008B669B">
        <w:rPr>
          <w:rFonts w:eastAsia="Calibri"/>
        </w:rPr>
        <w:t xml:space="preserve"> to authenticate </w:t>
      </w:r>
      <w:r w:rsidRPr="00844C12" w:rsidR="001B17E7">
        <w:rPr>
          <w:rFonts w:eastAsia="Calibri"/>
        </w:rPr>
        <w:t>c</w:t>
      </w:r>
      <w:r w:rsidRPr="00844C12" w:rsidR="008B669B">
        <w:rPr>
          <w:rFonts w:eastAsia="Calibri"/>
        </w:rPr>
        <w:t>aller ID in order to determine if a call is spoofed.</w:t>
      </w:r>
      <w:r>
        <w:rPr>
          <w:rStyle w:val="FootnoteReference"/>
          <w:rFonts w:eastAsia="Calibri"/>
        </w:rPr>
        <w:footnoteReference w:id="57"/>
      </w:r>
      <w:r w:rsidRPr="00844C12" w:rsidR="008B669B">
        <w:rPr>
          <w:rFonts w:eastAsia="Calibri"/>
        </w:rPr>
        <w:t xml:space="preserve">  </w:t>
      </w:r>
    </w:p>
    <w:p w:rsidR="006C024C" w:rsidRPr="006C024C" w:rsidP="00232E1A" w14:paraId="7E5FA394" w14:textId="134AE78A">
      <w:pPr>
        <w:pStyle w:val="ParaNum"/>
        <w:widowControl/>
        <w:rPr>
          <w:rFonts w:ascii="TimesNewRomanPSMT" w:hAnsi="TimesNewRomanPSMT" w:cs="TimesNewRomanPSMT"/>
          <w:snapToGrid/>
          <w:kern w:val="0"/>
          <w:szCs w:val="22"/>
        </w:rPr>
      </w:pPr>
      <w:r w:rsidRPr="005C51A6">
        <w:rPr>
          <w:rFonts w:eastAsia="Calibri"/>
        </w:rPr>
        <w:t>Once a provider has implemented STIR</w:t>
      </w:r>
      <w:r w:rsidR="002E4741">
        <w:rPr>
          <w:rFonts w:eastAsia="Calibri"/>
        </w:rPr>
        <w:t>/SHAKEN</w:t>
      </w:r>
      <w:r w:rsidRPr="005C51A6">
        <w:rPr>
          <w:rFonts w:eastAsia="Calibri"/>
        </w:rPr>
        <w:t xml:space="preserve"> standards, it </w:t>
      </w:r>
      <w:r w:rsidR="000334EC">
        <w:rPr>
          <w:rFonts w:eastAsia="Calibri"/>
        </w:rPr>
        <w:t>can</w:t>
      </w:r>
      <w:r w:rsidRPr="005C51A6" w:rsidR="000334EC">
        <w:rPr>
          <w:rFonts w:eastAsia="Calibri"/>
        </w:rPr>
        <w:t xml:space="preserve"> </w:t>
      </w:r>
      <w:r w:rsidRPr="005C51A6">
        <w:rPr>
          <w:rFonts w:eastAsia="Calibri"/>
        </w:rPr>
        <w:t xml:space="preserve">attest </w:t>
      </w:r>
      <w:r w:rsidR="00C57123">
        <w:rPr>
          <w:rFonts w:eastAsia="Calibri"/>
        </w:rPr>
        <w:t>to</w:t>
      </w:r>
      <w:r w:rsidRPr="005C51A6">
        <w:rPr>
          <w:rFonts w:eastAsia="Calibri"/>
        </w:rPr>
        <w:t xml:space="preserve"> all IP-based calls </w:t>
      </w:r>
      <w:r w:rsidR="00340567">
        <w:rPr>
          <w:rFonts w:eastAsia="Calibri"/>
        </w:rPr>
        <w:t>that</w:t>
      </w:r>
      <w:r w:rsidR="00A47D0A">
        <w:rPr>
          <w:rFonts w:eastAsia="Calibri"/>
        </w:rPr>
        <w:t xml:space="preserve"> </w:t>
      </w:r>
      <w:r w:rsidRPr="005C51A6">
        <w:rPr>
          <w:rFonts w:eastAsia="Calibri"/>
        </w:rPr>
        <w:t>originat</w:t>
      </w:r>
      <w:r w:rsidR="00A47D0A">
        <w:rPr>
          <w:rFonts w:eastAsia="Calibri"/>
        </w:rPr>
        <w:t>e</w:t>
      </w:r>
      <w:r w:rsidRPr="005C51A6">
        <w:rPr>
          <w:rFonts w:eastAsia="Calibri"/>
        </w:rPr>
        <w:t xml:space="preserve"> on</w:t>
      </w:r>
      <w:r w:rsidR="00A47D0A">
        <w:rPr>
          <w:rFonts w:eastAsia="Calibri"/>
        </w:rPr>
        <w:t xml:space="preserve"> or transit</w:t>
      </w:r>
      <w:r w:rsidRPr="005C51A6">
        <w:rPr>
          <w:rFonts w:eastAsia="Calibri"/>
        </w:rPr>
        <w:t xml:space="preserve"> its network by adding a </w:t>
      </w:r>
      <w:r w:rsidRPr="005C51A6" w:rsidR="00F27066">
        <w:rPr>
          <w:rFonts w:eastAsia="Calibri"/>
        </w:rPr>
        <w:t>Session Initiation Protocol (</w:t>
      </w:r>
      <w:r w:rsidRPr="005C51A6">
        <w:rPr>
          <w:rFonts w:eastAsia="Calibri"/>
        </w:rPr>
        <w:t>SIP</w:t>
      </w:r>
      <w:r w:rsidRPr="005C51A6" w:rsidR="00F27066">
        <w:rPr>
          <w:rFonts w:eastAsia="Calibri"/>
        </w:rPr>
        <w:t>)</w:t>
      </w:r>
      <w:r w:rsidRPr="005C51A6">
        <w:rPr>
          <w:rFonts w:eastAsia="Calibri"/>
        </w:rPr>
        <w:t xml:space="preserve"> header containing specific information which is then transmitted with the call to the terminating provider.</w:t>
      </w:r>
      <w:r>
        <w:rPr>
          <w:rStyle w:val="FootnoteReference"/>
          <w:rFonts w:eastAsia="Calibri"/>
        </w:rPr>
        <w:footnoteReference w:id="58"/>
      </w:r>
      <w:r w:rsidRPr="005C51A6">
        <w:rPr>
          <w:rFonts w:eastAsia="Calibri"/>
        </w:rPr>
        <w:t xml:space="preserve">  </w:t>
      </w:r>
      <w:r w:rsidR="00C0440F">
        <w:rPr>
          <w:rFonts w:eastAsia="Calibri"/>
        </w:rPr>
        <w:t xml:space="preserve">The terminating voice service provider </w:t>
      </w:r>
      <w:r w:rsidR="00A47D0A">
        <w:rPr>
          <w:rFonts w:eastAsia="Calibri"/>
        </w:rPr>
        <w:t>uses this additional information to verify that the caller ID information transmitted with a call matches the caller’s number</w:t>
      </w:r>
      <w:r w:rsidRPr="005C51A6">
        <w:rPr>
          <w:rFonts w:eastAsia="Calibri"/>
        </w:rPr>
        <w:t>.</w:t>
      </w:r>
      <w:r>
        <w:rPr>
          <w:rStyle w:val="FootnoteReference"/>
          <w:rFonts w:eastAsia="Calibri"/>
        </w:rPr>
        <w:footnoteReference w:id="59"/>
      </w:r>
      <w:r w:rsidRPr="005C51A6">
        <w:rPr>
          <w:rFonts w:eastAsia="Calibri"/>
        </w:rPr>
        <w:t xml:space="preserve">  </w:t>
      </w:r>
      <w:r w:rsidRPr="005C51A6" w:rsidR="00224379">
        <w:rPr>
          <w:rFonts w:eastAsia="Calibri"/>
        </w:rPr>
        <w:t>STIR</w:t>
      </w:r>
      <w:r w:rsidR="006A564F">
        <w:rPr>
          <w:rFonts w:eastAsia="Calibri"/>
        </w:rPr>
        <w:t>/SHAKEN</w:t>
      </w:r>
      <w:r w:rsidRPr="005C51A6" w:rsidR="00224379">
        <w:rPr>
          <w:rFonts w:eastAsia="Calibri"/>
        </w:rPr>
        <w:t xml:space="preserve"> </w:t>
      </w:r>
      <w:r w:rsidR="00A47D0A">
        <w:rPr>
          <w:rFonts w:eastAsia="Calibri"/>
        </w:rPr>
        <w:t xml:space="preserve">allows </w:t>
      </w:r>
      <w:r w:rsidRPr="005C51A6" w:rsidR="00224379">
        <w:rPr>
          <w:rFonts w:eastAsia="Calibri"/>
        </w:rPr>
        <w:t>provide</w:t>
      </w:r>
      <w:r w:rsidR="00A47D0A">
        <w:rPr>
          <w:rFonts w:eastAsia="Calibri"/>
        </w:rPr>
        <w:t>r</w:t>
      </w:r>
      <w:r w:rsidRPr="005C51A6" w:rsidR="00224379">
        <w:rPr>
          <w:rFonts w:eastAsia="Calibri"/>
        </w:rPr>
        <w:t xml:space="preserve">s </w:t>
      </w:r>
      <w:r w:rsidR="00A47D0A">
        <w:rPr>
          <w:rFonts w:eastAsia="Calibri"/>
        </w:rPr>
        <w:t xml:space="preserve">to transmit calls with </w:t>
      </w:r>
      <w:r w:rsidR="00224379">
        <w:t xml:space="preserve">three levels of </w:t>
      </w:r>
      <w:r w:rsidR="00A47D0A">
        <w:t>attestation.</w:t>
      </w:r>
      <w:r w:rsidR="008017FC">
        <w:t xml:space="preserve">  Specifically, a voice service provider can indicate that (</w:t>
      </w:r>
      <w:r w:rsidR="008017FC">
        <w:t>i</w:t>
      </w:r>
      <w:r w:rsidR="008017FC">
        <w:t>) it can confirm the identi</w:t>
      </w:r>
      <w:r w:rsidR="000425A1">
        <w:t>t</w:t>
      </w:r>
      <w:r w:rsidR="008017FC">
        <w:t>y of the subscriber making the call, and that the subscriber is using its associated telephone number (</w:t>
      </w:r>
      <w:r w:rsidR="00A47D0A">
        <w:t>“</w:t>
      </w:r>
      <w:r w:rsidR="00224379">
        <w:t>A</w:t>
      </w:r>
      <w:r w:rsidR="00A47D0A">
        <w:t>”</w:t>
      </w:r>
      <w:r w:rsidR="00D835BC">
        <w:t xml:space="preserve"> or </w:t>
      </w:r>
      <w:r w:rsidR="00A47D0A">
        <w:t>“</w:t>
      </w:r>
      <w:r w:rsidR="00224379">
        <w:t>full</w:t>
      </w:r>
      <w:r w:rsidR="00A47D0A">
        <w:t>”</w:t>
      </w:r>
      <w:r w:rsidR="008C2E8A">
        <w:t xml:space="preserve"> attestation</w:t>
      </w:r>
      <w:r w:rsidR="008017FC">
        <w:t>)</w:t>
      </w:r>
      <w:r w:rsidR="00D835BC">
        <w:t xml:space="preserve">; </w:t>
      </w:r>
      <w:r w:rsidR="008017FC">
        <w:t>(ii) it can confirm the identity of the subscriber but not the telephone number (“</w:t>
      </w:r>
      <w:r w:rsidR="00224379">
        <w:t>B</w:t>
      </w:r>
      <w:r w:rsidR="008017FC">
        <w:t>” or</w:t>
      </w:r>
      <w:r w:rsidR="00224379">
        <w:t xml:space="preserve"> </w:t>
      </w:r>
      <w:r w:rsidR="008017FC">
        <w:t>“</w:t>
      </w:r>
      <w:r w:rsidR="00224379">
        <w:t>partial</w:t>
      </w:r>
      <w:r w:rsidR="008017FC">
        <w:t>”</w:t>
      </w:r>
      <w:r w:rsidR="008C2E8A">
        <w:t xml:space="preserve"> attestation</w:t>
      </w:r>
      <w:r w:rsidR="000425A1">
        <w:t>)</w:t>
      </w:r>
      <w:r w:rsidR="00D835BC">
        <w:t>;</w:t>
      </w:r>
      <w:r w:rsidR="00224379">
        <w:t xml:space="preserve"> </w:t>
      </w:r>
      <w:r w:rsidR="008017FC">
        <w:t>or merely that (iii) it is the point of entry to the IP network for a call that originated elsewhere, such as a call that originated abroad or on a domestic network that is not STIR/SHAKEN-enabled (“</w:t>
      </w:r>
      <w:r w:rsidR="00D835BC">
        <w:t>C</w:t>
      </w:r>
      <w:r w:rsidR="008017FC">
        <w:t>” or “</w:t>
      </w:r>
      <w:r w:rsidR="00224379">
        <w:t>gateway</w:t>
      </w:r>
      <w:r w:rsidR="008017FC">
        <w:t>”</w:t>
      </w:r>
      <w:r w:rsidR="00224379">
        <w:t xml:space="preserve"> a</w:t>
      </w:r>
      <w:r w:rsidR="008C2E8A">
        <w:t>ttestation</w:t>
      </w:r>
      <w:r w:rsidR="008017FC">
        <w:t>)</w:t>
      </w:r>
      <w:r w:rsidR="00224379">
        <w:t>.</w:t>
      </w:r>
      <w:r>
        <w:rPr>
          <w:rStyle w:val="FootnoteReference"/>
        </w:rPr>
        <w:footnoteReference w:id="60"/>
      </w:r>
      <w:r w:rsidR="00224379">
        <w:t xml:space="preserve">  </w:t>
      </w:r>
      <w:r w:rsidR="00A645DB">
        <w:t>Many l</w:t>
      </w:r>
      <w:r w:rsidR="004F745D">
        <w:t xml:space="preserve">arge </w:t>
      </w:r>
      <w:r w:rsidR="00423744">
        <w:t>voice service providers</w:t>
      </w:r>
      <w:r w:rsidR="0011272E">
        <w:t xml:space="preserve"> </w:t>
      </w:r>
      <w:r w:rsidRPr="004F745D" w:rsidR="004F745D">
        <w:t xml:space="preserve">have </w:t>
      </w:r>
      <w:r w:rsidR="004F745D">
        <w:t xml:space="preserve">started implementing </w:t>
      </w:r>
      <w:r w:rsidR="00542A30">
        <w:t>STIR/SHAKEN</w:t>
      </w:r>
      <w:r w:rsidR="00AB7848">
        <w:t>.</w:t>
      </w:r>
      <w:r>
        <w:rPr>
          <w:rStyle w:val="FootnoteReference"/>
        </w:rPr>
        <w:footnoteReference w:id="61"/>
      </w:r>
    </w:p>
    <w:p w:rsidR="00862D92" w:rsidRPr="00862D92" w:rsidP="006C024C" w14:paraId="473668DD" w14:textId="4CD92D8C">
      <w:pPr>
        <w:pStyle w:val="ParaNum"/>
        <w:rPr>
          <w:rFonts w:ascii="TimesNewRomanPSMT" w:hAnsi="TimesNewRomanPSMT" w:cs="TimesNewRomanPSMT"/>
          <w:snapToGrid/>
          <w:kern w:val="0"/>
          <w:szCs w:val="22"/>
        </w:rPr>
      </w:pPr>
      <w:r>
        <w:rPr>
          <w:rFonts w:eastAsia="Calibri"/>
        </w:rPr>
        <w:t>S</w:t>
      </w:r>
      <w:r w:rsidR="0011159F">
        <w:t xml:space="preserve">ince </w:t>
      </w:r>
      <w:r w:rsidR="005B70AF">
        <w:t>the</w:t>
      </w:r>
      <w:r w:rsidR="0011159F">
        <w:t xml:space="preserve"> </w:t>
      </w:r>
      <w:r w:rsidR="005B70AF">
        <w:t xml:space="preserve">Commission’s </w:t>
      </w:r>
      <w:r w:rsidR="0011159F">
        <w:t>Notice of Inquiry, which sought comment on how to expedite caller ID authentication development and implementation</w:t>
      </w:r>
      <w:r>
        <w:t>,</w:t>
      </w:r>
      <w:r>
        <w:rPr>
          <w:rStyle w:val="FootnoteReference"/>
        </w:rPr>
        <w:footnoteReference w:id="62"/>
      </w:r>
      <w:r w:rsidRPr="001376F0" w:rsidR="0011159F">
        <w:t xml:space="preserve"> </w:t>
      </w:r>
      <w:r>
        <w:t xml:space="preserve">the Commission has taken steps to promote caller ID authentication.  </w:t>
      </w:r>
      <w:r w:rsidRPr="006C024C" w:rsidR="0011159F">
        <w:rPr>
          <w:iCs/>
        </w:rPr>
        <w:t>The North American Numbering Council (NANC), in a May 2018 report</w:t>
      </w:r>
      <w:r w:rsidRPr="006C024C" w:rsidR="00930390">
        <w:rPr>
          <w:iCs/>
        </w:rPr>
        <w:t xml:space="preserve"> prepared in response to a request by the Commission’s Wireline Competition Bureau</w:t>
      </w:r>
      <w:r w:rsidRPr="006C024C" w:rsidR="0011159F">
        <w:rPr>
          <w:iCs/>
        </w:rPr>
        <w:t xml:space="preserve">, recommended that representatives from various industry stakeholders comprise a board overseeing the Governance </w:t>
      </w:r>
      <w:r w:rsidRPr="006C024C" w:rsidR="0011159F">
        <w:rPr>
          <w:iCs/>
        </w:rPr>
        <w:t>Authority,</w:t>
      </w:r>
      <w:r>
        <w:rPr>
          <w:vertAlign w:val="superscript"/>
        </w:rPr>
        <w:footnoteReference w:id="63"/>
      </w:r>
      <w:r w:rsidRPr="006C024C" w:rsidR="0011159F">
        <w:rPr>
          <w:iCs/>
        </w:rPr>
        <w:t xml:space="preserve"> and that “individual companies capable of signing and validating </w:t>
      </w:r>
      <w:r w:rsidRPr="006C024C" w:rsidR="002E345D">
        <w:rPr>
          <w:iCs/>
        </w:rPr>
        <w:t>[</w:t>
      </w:r>
      <w:r w:rsidRPr="006C024C" w:rsidR="0011159F">
        <w:rPr>
          <w:iCs/>
        </w:rPr>
        <w:t>Voice over Internet Protocol</w:t>
      </w:r>
      <w:r w:rsidRPr="006C024C" w:rsidR="002E345D">
        <w:rPr>
          <w:iCs/>
        </w:rPr>
        <w:t>]</w:t>
      </w:r>
      <w:r w:rsidRPr="006C024C" w:rsidR="0011159F">
        <w:rPr>
          <w:iCs/>
        </w:rPr>
        <w:t xml:space="preserve"> calls using SHAKEN</w:t>
      </w:r>
      <w:r w:rsidRPr="006C024C" w:rsidR="002E345D">
        <w:rPr>
          <w:iCs/>
        </w:rPr>
        <w:t>/STIR</w:t>
      </w:r>
      <w:r w:rsidRPr="006C024C" w:rsidR="0011159F">
        <w:rPr>
          <w:iCs/>
        </w:rPr>
        <w:t xml:space="preserve"> should implement the standard within a period of approximately one year after completion of the NANC </w:t>
      </w:r>
      <w:r w:rsidRPr="006C024C" w:rsidR="002E345D">
        <w:rPr>
          <w:iCs/>
        </w:rPr>
        <w:t>[</w:t>
      </w:r>
      <w:r w:rsidRPr="006C024C" w:rsidR="0011159F">
        <w:rPr>
          <w:iCs/>
        </w:rPr>
        <w:t>Call Authentication Trust Anchor</w:t>
      </w:r>
      <w:r w:rsidRPr="006C024C" w:rsidR="002E345D">
        <w:rPr>
          <w:iCs/>
        </w:rPr>
        <w:t>]</w:t>
      </w:r>
      <w:r w:rsidRPr="006C024C" w:rsidR="0011159F">
        <w:rPr>
          <w:iCs/>
        </w:rPr>
        <w:t xml:space="preserve"> report.”</w:t>
      </w:r>
      <w:r>
        <w:rPr>
          <w:vertAlign w:val="superscript"/>
        </w:rPr>
        <w:footnoteReference w:id="64"/>
      </w:r>
      <w:r w:rsidRPr="006C024C" w:rsidR="0011159F">
        <w:rPr>
          <w:iCs/>
        </w:rPr>
        <w:t xml:space="preserve">    </w:t>
      </w:r>
    </w:p>
    <w:p w:rsidR="009818BF" w:rsidRPr="006C024C" w:rsidP="00E950AF" w14:paraId="16A5AE53" w14:textId="42B543F4">
      <w:pPr>
        <w:pStyle w:val="ParaNum"/>
        <w:rPr>
          <w:rFonts w:ascii="TimesNewRomanPSMT" w:hAnsi="TimesNewRomanPSMT" w:cs="TimesNewRomanPSMT"/>
          <w:snapToGrid/>
          <w:kern w:val="0"/>
          <w:szCs w:val="22"/>
        </w:rPr>
      </w:pPr>
      <w:r>
        <w:t xml:space="preserve">Further, </w:t>
      </w:r>
      <w:r w:rsidR="00E4355E">
        <w:t>starting in November 2018</w:t>
      </w:r>
      <w:r w:rsidR="00862D92">
        <w:t>,</w:t>
      </w:r>
      <w:r w:rsidR="00E4355E">
        <w:t xml:space="preserve"> </w:t>
      </w:r>
      <w:r w:rsidR="005F4BF6">
        <w:t xml:space="preserve">the Commission </w:t>
      </w:r>
      <w:r>
        <w:t xml:space="preserve">called on major voice service providers to implement a robust caller ID authentication framework </w:t>
      </w:r>
      <w:r w:rsidR="002A3852">
        <w:t xml:space="preserve">by </w:t>
      </w:r>
      <w:r>
        <w:t>the end of 2019.</w:t>
      </w:r>
      <w:r>
        <w:rPr>
          <w:rStyle w:val="FootnoteReference"/>
        </w:rPr>
        <w:footnoteReference w:id="65"/>
      </w:r>
      <w:r w:rsidRPr="001376F0">
        <w:t xml:space="preserve"> </w:t>
      </w:r>
      <w:r w:rsidRPr="001376F0">
        <w:t xml:space="preserve"> </w:t>
      </w:r>
      <w:r w:rsidR="00E4355E">
        <w:t>In Jun</w:t>
      </w:r>
      <w:r w:rsidR="00D12BDA">
        <w:t>e</w:t>
      </w:r>
      <w:r w:rsidR="00E4355E">
        <w:t xml:space="preserve"> 2019</w:t>
      </w:r>
      <w:r>
        <w:t>, the Commission proposed to mandate STIR/SHAKEN if major voice service providers failed to implement the standard by the end of that year.</w:t>
      </w:r>
      <w:r>
        <w:rPr>
          <w:rStyle w:val="FootnoteReference"/>
        </w:rPr>
        <w:footnoteReference w:id="66"/>
      </w:r>
      <w:r>
        <w:t xml:space="preserve">  </w:t>
      </w:r>
      <w:r w:rsidR="00077B02">
        <w:t>In December 2019, Congress passed the TRACED Act</w:t>
      </w:r>
      <w:r w:rsidRPr="006C024C" w:rsidR="00077B02">
        <w:rPr>
          <w:rFonts w:ascii="TimesNewRomanPSMT" w:hAnsi="TimesNewRomanPSMT" w:cs="TimesNewRomanPSMT"/>
          <w:snapToGrid/>
          <w:kern w:val="0"/>
          <w:szCs w:val="22"/>
        </w:rPr>
        <w:t xml:space="preserve">.  </w:t>
      </w:r>
      <w:r w:rsidRPr="006C024C">
        <w:rPr>
          <w:szCs w:val="22"/>
        </w:rPr>
        <w:t>In March 2020, the Commission adopted a Report and Order and Further Notice of Proposed Rulemaking that requires all originating and terminating voice service providers to implement the STIR/SHAKEN framework in the IP portions of their networks by June 30, 2021.</w:t>
      </w:r>
      <w:r>
        <w:rPr>
          <w:rStyle w:val="FootnoteReference"/>
          <w:szCs w:val="22"/>
        </w:rPr>
        <w:footnoteReference w:id="67"/>
      </w:r>
      <w:r w:rsidRPr="006C024C">
        <w:rPr>
          <w:szCs w:val="22"/>
        </w:rPr>
        <w:t xml:space="preserve">  The Commission also offered proposals and sought comment on further efforts to promote caller ID authentication and implement section 4 of the TRACED Act, and on implementing section 6(a) of the TRACED Act, which concerns access to numbering resources.</w:t>
      </w:r>
      <w:r>
        <w:rPr>
          <w:rStyle w:val="FootnoteReference"/>
          <w:szCs w:val="22"/>
        </w:rPr>
        <w:footnoteReference w:id="68"/>
      </w:r>
    </w:p>
    <w:p w:rsidR="006225C4" w:rsidP="00FA618D" w14:paraId="1D89BB55" w14:textId="77777777">
      <w:pPr>
        <w:pStyle w:val="Heading1"/>
      </w:pPr>
      <w:r>
        <w:t>call blocking</w:t>
      </w:r>
    </w:p>
    <w:p w:rsidR="00DD3C2A" w:rsidRPr="00DD3C2A" w:rsidP="008E0FE6" w14:paraId="3B61FE52" w14:textId="761E23F7">
      <w:pPr>
        <w:pStyle w:val="ParaNum"/>
      </w:pPr>
      <w:r>
        <w:t>Following the Commission’s rulemaking actions to protect consumers from illegal and unwanted robocalls, v</w:t>
      </w:r>
      <w:r w:rsidR="0014539A">
        <w:t xml:space="preserve">oice service providers and </w:t>
      </w:r>
      <w:r w:rsidR="007B2A7B">
        <w:t>third-</w:t>
      </w:r>
      <w:r w:rsidR="0014539A">
        <w:t>party analytics companies are offering their customers a variety of options for call blocking and labeling</w:t>
      </w:r>
      <w:r w:rsidR="0035574D">
        <w:t>.</w:t>
      </w:r>
      <w:r w:rsidR="00B426C6">
        <w:t xml:space="preserve"> </w:t>
      </w:r>
      <w:r w:rsidR="0014539A">
        <w:t xml:space="preserve"> </w:t>
      </w:r>
      <w:r>
        <w:t>While the specific programs differ from provider to provider, the Commission’s actions have resulted in greater choice and control for consumers.</w:t>
      </w:r>
    </w:p>
    <w:p w:rsidR="002C375A" w:rsidP="002C375A" w14:paraId="3EBB2626" w14:textId="354C5DD0">
      <w:pPr>
        <w:pStyle w:val="Heading2"/>
      </w:pPr>
      <w:r>
        <w:t xml:space="preserve">Availability </w:t>
      </w:r>
      <w:r w:rsidR="00CA4C9B">
        <w:t>of Call Blocking Solutions</w:t>
      </w:r>
      <w:r w:rsidRPr="00A97AC9" w:rsidR="00A97AC9">
        <w:t xml:space="preserve"> </w:t>
      </w:r>
      <w:r w:rsidR="00A97AC9">
        <w:t>to Consumers</w:t>
      </w:r>
    </w:p>
    <w:p w:rsidR="0026150C" w:rsidP="00404E73" w14:paraId="2CB35E37" w14:textId="4DB7C556">
      <w:pPr>
        <w:pStyle w:val="Heading3"/>
      </w:pPr>
      <w:r>
        <w:t>V</w:t>
      </w:r>
      <w:r w:rsidR="00F475A6">
        <w:t>oice service providers</w:t>
      </w:r>
      <w:r w:rsidR="0011357A">
        <w:t>’</w:t>
      </w:r>
      <w:r w:rsidR="00A20620">
        <w:t xml:space="preserve"> </w:t>
      </w:r>
      <w:r w:rsidR="00777D5A">
        <w:t>blocking services</w:t>
      </w:r>
    </w:p>
    <w:p w:rsidR="004B47C1" w:rsidRPr="00F15003" w:rsidP="004B47C1" w14:paraId="3A613447" w14:textId="50B05EFB">
      <w:pPr>
        <w:pStyle w:val="ParaNum"/>
      </w:pPr>
      <w:r w:rsidRPr="00D36070">
        <w:rPr>
          <w:rFonts w:eastAsia="Calibri"/>
        </w:rPr>
        <w:t xml:space="preserve">In addition to default blocking, </w:t>
      </w:r>
      <w:r>
        <w:rPr>
          <w:rFonts w:eastAsia="Calibri"/>
        </w:rPr>
        <w:t xml:space="preserve">many </w:t>
      </w:r>
      <w:r w:rsidRPr="00D36070">
        <w:rPr>
          <w:rFonts w:eastAsia="Calibri"/>
        </w:rPr>
        <w:t>voice service providers</w:t>
      </w:r>
      <w:r>
        <w:rPr>
          <w:rFonts w:eastAsia="Calibri"/>
        </w:rPr>
        <w:t>, including all the larger voice service providers listed in Appendix B,</w:t>
      </w:r>
      <w:r w:rsidRPr="00D36070">
        <w:rPr>
          <w:rFonts w:eastAsia="Calibri"/>
        </w:rPr>
        <w:t xml:space="preserve"> offer consumers various call blocking tools from third-part</w:t>
      </w:r>
      <w:r>
        <w:rPr>
          <w:rFonts w:eastAsia="Calibri"/>
        </w:rPr>
        <w:t>y analytics companies, e.g.,</w:t>
      </w:r>
      <w:r w:rsidRPr="00D36070">
        <w:rPr>
          <w:rFonts w:eastAsia="Calibri"/>
        </w:rPr>
        <w:t xml:space="preserve"> AT&amp;T’s Call Protect, Verizon’s Call Filter, T-Mobile’s Scam ID and Scam Block, and Sprint’s</w:t>
      </w:r>
      <w:r>
        <w:rPr>
          <w:rStyle w:val="FootnoteReference"/>
          <w:rFonts w:eastAsia="Calibri"/>
        </w:rPr>
        <w:footnoteReference w:id="69"/>
      </w:r>
      <w:r w:rsidRPr="00D36070">
        <w:rPr>
          <w:rFonts w:eastAsia="Calibri"/>
        </w:rPr>
        <w:t xml:space="preserve"> Call Screener</w:t>
      </w:r>
      <w:r>
        <w:rPr>
          <w:rFonts w:eastAsia="Calibri"/>
        </w:rPr>
        <w:t>, all for wireless customers</w:t>
      </w:r>
      <w:r w:rsidRPr="00D36070">
        <w:rPr>
          <w:rFonts w:eastAsia="Calibri"/>
        </w:rPr>
        <w:t>.</w:t>
      </w:r>
      <w:r>
        <w:rPr>
          <w:rStyle w:val="FootnoteReference"/>
          <w:rFonts w:eastAsia="Calibri"/>
        </w:rPr>
        <w:footnoteReference w:id="70"/>
      </w:r>
      <w:r w:rsidRPr="00D36070">
        <w:rPr>
          <w:rFonts w:eastAsia="Calibri"/>
        </w:rPr>
        <w:t xml:space="preserve">  </w:t>
      </w:r>
      <w:r>
        <w:t>AT&amp;T partners with Hiya for anti-</w:t>
      </w:r>
      <w:r>
        <w:t>robocall Call Protect service.</w:t>
      </w:r>
      <w:r>
        <w:rPr>
          <w:rStyle w:val="FootnoteReference"/>
        </w:rPr>
        <w:footnoteReference w:id="71"/>
      </w:r>
      <w:r>
        <w:t xml:space="preserve">  T-Mobile partners with First Orion.</w:t>
      </w:r>
      <w:r>
        <w:rPr>
          <w:rStyle w:val="FootnoteReference"/>
        </w:rPr>
        <w:footnoteReference w:id="72"/>
      </w:r>
      <w:r>
        <w:t xml:space="preserve">  Sprint, U.S. Cellular, Verizon, and other voice service providers partner with TNS to provide anti-robocall tools.</w:t>
      </w:r>
      <w:r>
        <w:rPr>
          <w:rStyle w:val="FootnoteReference"/>
        </w:rPr>
        <w:footnoteReference w:id="73"/>
      </w:r>
      <w:r>
        <w:t xml:space="preserve">  </w:t>
      </w:r>
      <w:r w:rsidRPr="00D36070">
        <w:rPr>
          <w:rFonts w:eastAsia="Calibri"/>
        </w:rPr>
        <w:t>CenturyLink, Cox, and Comcast offer their customers a third-party call</w:t>
      </w:r>
      <w:r>
        <w:rPr>
          <w:rFonts w:eastAsia="Calibri"/>
        </w:rPr>
        <w:t>-</w:t>
      </w:r>
      <w:r w:rsidRPr="00D36070">
        <w:rPr>
          <w:rFonts w:eastAsia="Calibri"/>
        </w:rPr>
        <w:t xml:space="preserve">blocking program from </w:t>
      </w:r>
      <w:r>
        <w:rPr>
          <w:rFonts w:eastAsia="Calibri"/>
        </w:rPr>
        <w:t xml:space="preserve">the third-party analytics company </w:t>
      </w:r>
      <w:r w:rsidRPr="00D36070">
        <w:rPr>
          <w:rFonts w:eastAsia="Calibri"/>
        </w:rPr>
        <w:t>Nomorobo.</w:t>
      </w:r>
      <w:r>
        <w:rPr>
          <w:rStyle w:val="FootnoteReference"/>
          <w:rFonts w:eastAsia="Calibri"/>
        </w:rPr>
        <w:footnoteReference w:id="74"/>
      </w:r>
      <w:r w:rsidRPr="00D36070">
        <w:rPr>
          <w:rFonts w:eastAsia="Calibri"/>
        </w:rPr>
        <w:t xml:space="preserve">  </w:t>
      </w:r>
      <w:r>
        <w:rPr>
          <w:rFonts w:eastAsia="Calibri"/>
        </w:rPr>
        <w:t>Consumers can also download apps from third-party analytics companies to label or block calls, so they have blocking options that go beyond what their own voice service provider offers.</w:t>
      </w:r>
    </w:p>
    <w:p w:rsidR="004B47C1" w:rsidP="000B364C" w14:paraId="3642C3E0" w14:textId="48568340">
      <w:pPr>
        <w:pStyle w:val="ParaNum"/>
      </w:pPr>
      <w:r>
        <w:rPr>
          <w:rFonts w:eastAsia="Calibri"/>
        </w:rPr>
        <w:t>The table in Appendix B summarizes the call blocking services voice service providers and third-party analytics companies currently offer.  The voice service providers included are AT&amp;T, Verizon, CenturyLink, Frontier, T-Mobile, Sprint, Comcast, Cox, and Charter.</w:t>
      </w:r>
      <w:r>
        <w:rPr>
          <w:rStyle w:val="FootnoteReference"/>
          <w:rFonts w:eastAsia="Calibri"/>
        </w:rPr>
        <w:footnoteReference w:id="75"/>
      </w:r>
      <w:r>
        <w:rPr>
          <w:rFonts w:eastAsia="Calibri"/>
        </w:rPr>
        <w:t xml:space="preserve">  All of these voice service providers offer free blocking services and have partnerships with third-party analytics companies.  We have also included estimates in Appendix B for the number of blocked calls, if this information was provided.</w:t>
      </w:r>
      <w:r>
        <w:rPr>
          <w:rStyle w:val="FootnoteReference"/>
          <w:rFonts w:eastAsia="Calibri"/>
        </w:rPr>
        <w:footnoteReference w:id="76"/>
      </w:r>
      <w:r>
        <w:rPr>
          <w:rFonts w:eastAsia="Calibri"/>
        </w:rPr>
        <w:t xml:space="preserve">  Consumers can configure their blocking options with call blocking tools offered by their voice service provider or third-party analytics companies to block more or fewer calls.  There is no across-the-board definition of an illegal or unwanted call; </w:t>
      </w:r>
      <w:r w:rsidRPr="00CC792B">
        <w:rPr>
          <w:rFonts w:eastAsia="Calibri"/>
        </w:rPr>
        <w:t xml:space="preserve">the Commission has allowed the blocking of illegal or unwanted calls without adopting a narrow definition of </w:t>
      </w:r>
      <w:r>
        <w:rPr>
          <w:rFonts w:eastAsia="Calibri"/>
        </w:rPr>
        <w:t xml:space="preserve">such calls </w:t>
      </w:r>
      <w:r w:rsidRPr="00CC792B">
        <w:rPr>
          <w:rFonts w:eastAsia="Calibri"/>
        </w:rPr>
        <w:t>and has left granular decision</w:t>
      </w:r>
      <w:r>
        <w:rPr>
          <w:rFonts w:eastAsia="Calibri"/>
        </w:rPr>
        <w:t xml:space="preserve"> </w:t>
      </w:r>
      <w:r w:rsidRPr="00CC792B">
        <w:rPr>
          <w:rFonts w:eastAsia="Calibri"/>
        </w:rPr>
        <w:t xml:space="preserve">making about </w:t>
      </w:r>
      <w:r>
        <w:rPr>
          <w:rFonts w:eastAsia="Calibri"/>
        </w:rPr>
        <w:t xml:space="preserve">blocking </w:t>
      </w:r>
      <w:r w:rsidRPr="00CC792B">
        <w:rPr>
          <w:rFonts w:eastAsia="Calibri"/>
        </w:rPr>
        <w:t xml:space="preserve">up to the </w:t>
      </w:r>
      <w:r w:rsidR="000B364C">
        <w:rPr>
          <w:rFonts w:eastAsia="Calibri"/>
        </w:rPr>
        <w:t xml:space="preserve">voice service </w:t>
      </w:r>
      <w:r w:rsidRPr="00CC792B">
        <w:rPr>
          <w:rFonts w:eastAsia="Calibri"/>
        </w:rPr>
        <w:t>providers as long as they employ reasonable analytics.</w:t>
      </w:r>
      <w:r>
        <w:rPr>
          <w:rStyle w:val="FootnoteReference"/>
          <w:rFonts w:eastAsia="Calibri"/>
        </w:rPr>
        <w:footnoteReference w:id="77"/>
      </w:r>
      <w:r>
        <w:rPr>
          <w:rFonts w:eastAsia="Calibri"/>
        </w:rPr>
        <w:t xml:space="preserve">  </w:t>
      </w:r>
    </w:p>
    <w:p w:rsidR="00B715BA" w:rsidRPr="00B715BA" w:rsidP="00D8060B" w14:paraId="783238B9" w14:textId="1EEE47BC">
      <w:pPr>
        <w:pStyle w:val="ParaNum"/>
        <w:widowControl/>
      </w:pPr>
      <w:r>
        <w:t xml:space="preserve">Voice service providers </w:t>
      </w:r>
      <w:r w:rsidR="00033DA6">
        <w:t xml:space="preserve">and </w:t>
      </w:r>
      <w:r w:rsidR="00A1271D">
        <w:t>third-party analytics compan</w:t>
      </w:r>
      <w:r w:rsidR="0032209C">
        <w:t>i</w:t>
      </w:r>
      <w:r w:rsidR="00A1271D">
        <w:t>es</w:t>
      </w:r>
      <w:r w:rsidR="00033DA6">
        <w:t xml:space="preserve"> </w:t>
      </w:r>
      <w:r>
        <w:t xml:space="preserve">filed comments describing their blocking </w:t>
      </w:r>
      <w:r w:rsidR="00DE27F6">
        <w:t xml:space="preserve">and labeling </w:t>
      </w:r>
      <w:r>
        <w:t>services.</w:t>
      </w:r>
      <w:r w:rsidR="003860EF">
        <w:t xml:space="preserve">  </w:t>
      </w:r>
      <w:r w:rsidR="002B5752">
        <w:t xml:space="preserve">Here, </w:t>
      </w:r>
      <w:r w:rsidR="003860EF">
        <w:t>we summarize the information described in their comments</w:t>
      </w:r>
      <w:r w:rsidR="00072A85">
        <w:t xml:space="preserve"> and letters</w:t>
      </w:r>
      <w:r w:rsidR="003860EF">
        <w:t>.</w:t>
      </w:r>
      <w:r w:rsidR="00F80DE5">
        <w:t xml:space="preserve">   </w:t>
      </w:r>
    </w:p>
    <w:p w:rsidR="00F8384D" w:rsidP="00F8384D" w14:paraId="39B6FBC1" w14:textId="62C410FB">
      <w:pPr>
        <w:pStyle w:val="ParaNum"/>
      </w:pPr>
      <w:r w:rsidRPr="00A64E1D">
        <w:rPr>
          <w:i/>
          <w:iCs/>
        </w:rPr>
        <w:t>AT&amp;T</w:t>
      </w:r>
      <w:r>
        <w:t xml:space="preserve">.  </w:t>
      </w:r>
      <w:r w:rsidR="00D53A53">
        <w:t>AT&amp;T offers call blocking options for wireless and wireline customers.</w:t>
      </w:r>
      <w:r>
        <w:rPr>
          <w:rStyle w:val="FootnoteReference"/>
        </w:rPr>
        <w:footnoteReference w:id="78"/>
      </w:r>
      <w:r w:rsidR="0055520D">
        <w:t xml:space="preserve">  </w:t>
      </w:r>
      <w:r>
        <w:t xml:space="preserve">AT&amp;T has a network-based provider-initiated </w:t>
      </w:r>
      <w:r w:rsidR="00CB34D7">
        <w:t xml:space="preserve">default </w:t>
      </w:r>
      <w:r>
        <w:t>call blocking program, run by AT&amp;T’s global fraud team.</w:t>
      </w:r>
      <w:r>
        <w:rPr>
          <w:rStyle w:val="FootnoteReference"/>
        </w:rPr>
        <w:footnoteReference w:id="79"/>
      </w:r>
      <w:r>
        <w:t xml:space="preserve">  </w:t>
      </w:r>
      <w:r w:rsidR="00BC6F9A">
        <w:t>This provider-initiated program for wireline and wireless customers uses network intelligence and fraud investigators to target suspected illegal high-volume callers.</w:t>
      </w:r>
      <w:r>
        <w:rPr>
          <w:rStyle w:val="FootnoteReference"/>
        </w:rPr>
        <w:footnoteReference w:id="80"/>
      </w:r>
      <w:r w:rsidR="00BC6F9A">
        <w:t xml:space="preserve">  </w:t>
      </w:r>
      <w:r>
        <w:t xml:space="preserve">This </w:t>
      </w:r>
      <w:r w:rsidR="00BC6F9A">
        <w:t xml:space="preserve">program </w:t>
      </w:r>
      <w:r>
        <w:t>allows AT&amp;T to identify illegal robocalls</w:t>
      </w:r>
      <w:r w:rsidR="00BC6F9A">
        <w:t xml:space="preserve"> and create a robocall report that is continuously updated by AT&amp;T</w:t>
      </w:r>
      <w:r>
        <w:t>.</w:t>
      </w:r>
      <w:r>
        <w:rPr>
          <w:rStyle w:val="FootnoteReference"/>
        </w:rPr>
        <w:footnoteReference w:id="81"/>
      </w:r>
      <w:r>
        <w:t xml:space="preserve">  </w:t>
      </w:r>
      <w:r w:rsidR="00C914D2">
        <w:t xml:space="preserve">AT&amp;T investigates each number before it </w:t>
      </w:r>
      <w:r>
        <w:t>block</w:t>
      </w:r>
      <w:r w:rsidR="00C914D2">
        <w:t>s</w:t>
      </w:r>
      <w:r>
        <w:t xml:space="preserve"> calls.</w:t>
      </w:r>
      <w:r>
        <w:rPr>
          <w:rStyle w:val="FootnoteReference"/>
        </w:rPr>
        <w:footnoteReference w:id="82"/>
      </w:r>
      <w:r>
        <w:t xml:space="preserve">  </w:t>
      </w:r>
      <w:r w:rsidR="00A97AC9">
        <w:t xml:space="preserve">Using analytics, </w:t>
      </w:r>
      <w:r w:rsidR="00670F95">
        <w:t xml:space="preserve">AT&amp;T blocks calls originating from unassigned or invalid numbers, </w:t>
      </w:r>
      <w:r w:rsidR="00BC32AF">
        <w:t xml:space="preserve">and </w:t>
      </w:r>
      <w:r w:rsidR="00670F95">
        <w:t>inbound-only lines, and</w:t>
      </w:r>
      <w:r w:rsidR="00BC32AF">
        <w:t xml:space="preserve"> blocks</w:t>
      </w:r>
      <w:r w:rsidR="00670F95">
        <w:t xml:space="preserve"> high-volume, short-duration calls from suspect telephone numbers.</w:t>
      </w:r>
      <w:r>
        <w:rPr>
          <w:rStyle w:val="FootnoteReference"/>
        </w:rPr>
        <w:footnoteReference w:id="83"/>
      </w:r>
      <w:r w:rsidR="00670F95">
        <w:t xml:space="preserve">  </w:t>
      </w:r>
      <w:r w:rsidR="00134428">
        <w:t>AT&amp;T has blocked almost six billion such calls since 2016.</w:t>
      </w:r>
      <w:r>
        <w:rPr>
          <w:rStyle w:val="FootnoteReference"/>
        </w:rPr>
        <w:footnoteReference w:id="84"/>
      </w:r>
      <w:r w:rsidR="00134428">
        <w:t xml:space="preserve">  AT&amp;T assigns DNO markers to calls with spoofed numbers.</w:t>
      </w:r>
      <w:r>
        <w:rPr>
          <w:rStyle w:val="FootnoteReference"/>
        </w:rPr>
        <w:footnoteReference w:id="85"/>
      </w:r>
      <w:r w:rsidR="00134428">
        <w:t xml:space="preserve">  </w:t>
      </w:r>
      <w:r>
        <w:t xml:space="preserve">When a blocked line calls </w:t>
      </w:r>
      <w:r w:rsidR="00A06097">
        <w:t>a</w:t>
      </w:r>
      <w:r>
        <w:t xml:space="preserve"> Mobility</w:t>
      </w:r>
      <w:r w:rsidR="003F798E">
        <w:t>,</w:t>
      </w:r>
      <w:r>
        <w:t xml:space="preserve"> U-verse, Prepaid, or Cricket customer, the calling party will hear an intercept announcement, which includes a toll-free number to call</w:t>
      </w:r>
      <w:r w:rsidR="004C55BD">
        <w:t xml:space="preserve"> if they believe they were blocked in error</w:t>
      </w:r>
      <w:r>
        <w:t>.</w:t>
      </w:r>
      <w:r>
        <w:rPr>
          <w:rStyle w:val="FootnoteReference"/>
        </w:rPr>
        <w:footnoteReference w:id="86"/>
      </w:r>
    </w:p>
    <w:p w:rsidR="007D4A0C" w:rsidP="00D53A53" w14:paraId="3BE50058" w14:textId="1433D09E">
      <w:pPr>
        <w:pStyle w:val="ParaNum"/>
      </w:pPr>
      <w:r>
        <w:t xml:space="preserve">In addition to the </w:t>
      </w:r>
      <w:r w:rsidR="001C668C">
        <w:t xml:space="preserve">default </w:t>
      </w:r>
      <w:r>
        <w:t>network</w:t>
      </w:r>
      <w:r w:rsidR="001C668C">
        <w:t>-</w:t>
      </w:r>
      <w:r>
        <w:t xml:space="preserve">based blocking, </w:t>
      </w:r>
      <w:r w:rsidR="0055520D">
        <w:t xml:space="preserve">AT&amp;T offers </w:t>
      </w:r>
      <w:r w:rsidR="00405925">
        <w:t>a call blocking service market</w:t>
      </w:r>
      <w:r w:rsidR="00BD5601">
        <w:t>ed</w:t>
      </w:r>
      <w:r w:rsidR="00405925">
        <w:t xml:space="preserve"> as “</w:t>
      </w:r>
      <w:r w:rsidR="0055520D">
        <w:t>Call Protect</w:t>
      </w:r>
      <w:r w:rsidR="00BD5601">
        <w:t>,</w:t>
      </w:r>
      <w:r w:rsidR="00405925">
        <w:t>”</w:t>
      </w:r>
      <w:r w:rsidR="00672521">
        <w:t xml:space="preserve"> through third-party </w:t>
      </w:r>
      <w:r w:rsidR="00893D81">
        <w:t xml:space="preserve">analytics company </w:t>
      </w:r>
      <w:r w:rsidR="00672521">
        <w:t>Hiya</w:t>
      </w:r>
      <w:r w:rsidR="003F798E">
        <w:t xml:space="preserve">, </w:t>
      </w:r>
      <w:r w:rsidR="0055520D">
        <w:t xml:space="preserve">for </w:t>
      </w:r>
      <w:r w:rsidR="00A92C50">
        <w:t xml:space="preserve">post-paid </w:t>
      </w:r>
      <w:r w:rsidR="0055520D">
        <w:t xml:space="preserve">wireless </w:t>
      </w:r>
      <w:r w:rsidR="00A92C50">
        <w:t>accounts</w:t>
      </w:r>
      <w:r w:rsidR="0001275D">
        <w:t>,</w:t>
      </w:r>
      <w:r w:rsidR="0055520D">
        <w:t xml:space="preserve"> and has blocked or labeled nearly 1.3 billion suspected fraud calls and over </w:t>
      </w:r>
      <w:r w:rsidR="00A74AA5">
        <w:t>three</w:t>
      </w:r>
      <w:r w:rsidR="0055520D">
        <w:t xml:space="preserve"> billion other calls since launching the </w:t>
      </w:r>
      <w:r w:rsidR="00EF66BC">
        <w:t xml:space="preserve">blocking </w:t>
      </w:r>
      <w:r w:rsidR="0055520D">
        <w:t>service in 2016.</w:t>
      </w:r>
      <w:r>
        <w:rPr>
          <w:rStyle w:val="FootnoteReference"/>
        </w:rPr>
        <w:footnoteReference w:id="87"/>
      </w:r>
      <w:r w:rsidR="00464E0D">
        <w:t xml:space="preserve">  In 2019, AT&amp;T began offering Call Protect on an opt-out basis.</w:t>
      </w:r>
      <w:r>
        <w:rPr>
          <w:rStyle w:val="FootnoteReference"/>
        </w:rPr>
        <w:footnoteReference w:id="88"/>
      </w:r>
      <w:r w:rsidR="00464E0D">
        <w:t xml:space="preserve">  </w:t>
      </w:r>
      <w:r w:rsidR="00A92C50">
        <w:t>Call Protect automatically blocks suspected fraud calls and labels suspect calls.</w:t>
      </w:r>
      <w:r>
        <w:rPr>
          <w:rStyle w:val="FootnoteReference"/>
        </w:rPr>
        <w:footnoteReference w:id="89"/>
      </w:r>
      <w:r w:rsidR="00C236EF">
        <w:t xml:space="preserve">  </w:t>
      </w:r>
      <w:r w:rsidR="00405925">
        <w:t xml:space="preserve">The base-level </w:t>
      </w:r>
      <w:r>
        <w:t>Call Protect is free</w:t>
      </w:r>
      <w:r w:rsidR="00405925">
        <w:t xml:space="preserve">, however </w:t>
      </w:r>
      <w:r>
        <w:t>AT&amp;T also offers Call Protect Plus, for $3.99 per month.</w:t>
      </w:r>
      <w:r>
        <w:rPr>
          <w:rStyle w:val="FootnoteReference"/>
        </w:rPr>
        <w:footnoteReference w:id="90"/>
      </w:r>
      <w:r>
        <w:t xml:space="preserve">  </w:t>
      </w:r>
      <w:r w:rsidR="00405925">
        <w:t xml:space="preserve">The paid-tier </w:t>
      </w:r>
      <w:r>
        <w:t xml:space="preserve">service has enhanced </w:t>
      </w:r>
      <w:r w:rsidR="00EF66BC">
        <w:t>c</w:t>
      </w:r>
      <w:r>
        <w:t>aller ID, reverse number look up, and custom call blocking.</w:t>
      </w:r>
      <w:r>
        <w:rPr>
          <w:rStyle w:val="FootnoteReference"/>
        </w:rPr>
        <w:footnoteReference w:id="91"/>
      </w:r>
      <w:r w:rsidR="00467C7F">
        <w:t xml:space="preserve">  AT&amp;T recently added new features </w:t>
      </w:r>
      <w:r w:rsidR="00717A1F">
        <w:t xml:space="preserve">to Call Protect </w:t>
      </w:r>
      <w:r w:rsidR="00EF66BC">
        <w:t xml:space="preserve">for all customers </w:t>
      </w:r>
      <w:r w:rsidR="00467C7F">
        <w:t>that can be added on an opt-in basis such as automatically blocking calls identified as spam risk</w:t>
      </w:r>
      <w:r w:rsidR="00717A1F">
        <w:t xml:space="preserve"> and </w:t>
      </w:r>
      <w:r w:rsidR="003E52D0">
        <w:t xml:space="preserve">sending </w:t>
      </w:r>
      <w:r w:rsidR="00467C7F">
        <w:t xml:space="preserve">calls not </w:t>
      </w:r>
      <w:r w:rsidR="00F50DFB">
        <w:t>i</w:t>
      </w:r>
      <w:r w:rsidR="00467C7F">
        <w:t>n a user’s address book to voicemail.</w:t>
      </w:r>
      <w:r>
        <w:rPr>
          <w:rStyle w:val="FootnoteReference"/>
        </w:rPr>
        <w:footnoteReference w:id="92"/>
      </w:r>
      <w:r w:rsidRPr="005D5725" w:rsidR="005D5725">
        <w:t xml:space="preserve"> </w:t>
      </w:r>
      <w:r w:rsidR="00670F95">
        <w:t xml:space="preserve"> </w:t>
      </w:r>
      <w:r w:rsidR="00717A1F">
        <w:t xml:space="preserve">Fewer than 100,000 customers have opted in to the direct-to-voicemail feature, and a significant number </w:t>
      </w:r>
      <w:r w:rsidR="00F50DFB">
        <w:t>later</w:t>
      </w:r>
      <w:r w:rsidR="00717A1F">
        <w:t xml:space="preserve"> deactivated it.</w:t>
      </w:r>
      <w:r>
        <w:rPr>
          <w:rStyle w:val="FootnoteReference"/>
        </w:rPr>
        <w:footnoteReference w:id="93"/>
      </w:r>
      <w:r w:rsidR="00AB493D">
        <w:t xml:space="preserve"> </w:t>
      </w:r>
      <w:r w:rsidR="00717A1F">
        <w:t xml:space="preserve"> Fewer than</w:t>
      </w:r>
      <w:r w:rsidR="00B41FAA">
        <w:t xml:space="preserve"> 1%</w:t>
      </w:r>
      <w:r w:rsidR="00717A1F">
        <w:t xml:space="preserve"> opted out of Call Protect altogether.</w:t>
      </w:r>
      <w:r>
        <w:rPr>
          <w:rStyle w:val="FootnoteReference"/>
        </w:rPr>
        <w:footnoteReference w:id="94"/>
      </w:r>
      <w:r w:rsidR="00717A1F">
        <w:t xml:space="preserve">  </w:t>
      </w:r>
      <w:r w:rsidR="00DB3893">
        <w:t>AT&amp;T also allows customers to report the phone number of unwanted calls.</w:t>
      </w:r>
      <w:r>
        <w:rPr>
          <w:rStyle w:val="FootnoteReference"/>
        </w:rPr>
        <w:footnoteReference w:id="95"/>
      </w:r>
      <w:r w:rsidR="00DB3893">
        <w:t xml:space="preserve"> </w:t>
      </w:r>
      <w:r w:rsidR="00717A1F">
        <w:t xml:space="preserve"> Calling parties can provide feedback at </w:t>
      </w:r>
      <w:hyperlink r:id="rId5" w:history="1">
        <w:r w:rsidRPr="008C2E64" w:rsidR="00717A1F">
          <w:rPr>
            <w:rStyle w:val="Hyperlink"/>
          </w:rPr>
          <w:t>http://www.att.com/reviewmycalllabel</w:t>
        </w:r>
      </w:hyperlink>
      <w:r w:rsidR="00717A1F">
        <w:t xml:space="preserve">, which links to </w:t>
      </w:r>
      <w:r w:rsidR="00717A1F">
        <w:t>Hiya’s</w:t>
      </w:r>
      <w:r w:rsidR="00717A1F">
        <w:t xml:space="preserve"> portal.</w:t>
      </w:r>
      <w:r>
        <w:rPr>
          <w:rStyle w:val="FootnoteReference"/>
        </w:rPr>
        <w:footnoteReference w:id="96"/>
      </w:r>
      <w:r w:rsidR="00670F95">
        <w:t xml:space="preserve">  </w:t>
      </w:r>
    </w:p>
    <w:p w:rsidR="003B0388" w:rsidP="006C20DC" w14:paraId="5B4AF2A7" w14:textId="66050420">
      <w:pPr>
        <w:pStyle w:val="ParaNum"/>
      </w:pPr>
      <w:r>
        <w:t xml:space="preserve">AT&amp;T’s </w:t>
      </w:r>
      <w:r w:rsidR="007D4A0C">
        <w:t>VoIP customers can opt</w:t>
      </w:r>
      <w:r w:rsidR="004D6F9C">
        <w:t xml:space="preserve"> </w:t>
      </w:r>
      <w:r w:rsidR="007D4A0C">
        <w:t>in to Call Protect, at no charge</w:t>
      </w:r>
      <w:r w:rsidR="00467C7F">
        <w:t xml:space="preserve">, and </w:t>
      </w:r>
      <w:r w:rsidR="001F64B4">
        <w:t xml:space="preserve">it </w:t>
      </w:r>
      <w:r w:rsidR="00467C7F">
        <w:t xml:space="preserve">automatically blocks calls from known scammers and sends an alert if </w:t>
      </w:r>
      <w:r w:rsidR="001F64B4">
        <w:t xml:space="preserve">a </w:t>
      </w:r>
      <w:r w:rsidR="006C20DC">
        <w:t xml:space="preserve">call is from a </w:t>
      </w:r>
      <w:r w:rsidR="00467C7F">
        <w:t>suspicious</w:t>
      </w:r>
      <w:r w:rsidR="001F64B4">
        <w:t xml:space="preserve"> caller</w:t>
      </w:r>
      <w:r w:rsidR="00467C7F">
        <w:t>.</w:t>
      </w:r>
      <w:r>
        <w:rPr>
          <w:rStyle w:val="FootnoteReference"/>
        </w:rPr>
        <w:footnoteReference w:id="97"/>
      </w:r>
      <w:r w:rsidR="00467C7F">
        <w:t xml:space="preserve">  AT&amp;T has blocked over 46 million incoming calls and provided 36 million spam warnings.</w:t>
      </w:r>
      <w:r>
        <w:rPr>
          <w:rStyle w:val="FootnoteReference"/>
        </w:rPr>
        <w:footnoteReference w:id="98"/>
      </w:r>
      <w:r w:rsidR="00D271B2">
        <w:t xml:space="preserve">  </w:t>
      </w:r>
      <w:r w:rsidR="00467C7F">
        <w:t>AT&amp;T also sells a</w:t>
      </w:r>
      <w:r w:rsidR="00A64E1D">
        <w:t xml:space="preserve"> wireline</w:t>
      </w:r>
      <w:r w:rsidR="00467C7F">
        <w:t xml:space="preserve"> phone with call blocking capabilities, that works on all wireline networks.</w:t>
      </w:r>
      <w:r>
        <w:rPr>
          <w:rStyle w:val="FootnoteReference"/>
        </w:rPr>
        <w:footnoteReference w:id="99"/>
      </w:r>
      <w:r w:rsidR="00467C7F">
        <w:t xml:space="preserve">  This</w:t>
      </w:r>
      <w:r w:rsidR="00F829FF">
        <w:t xml:space="preserve"> tele</w:t>
      </w:r>
      <w:r w:rsidR="00467C7F">
        <w:t>phone automatically blocks robocalls from ringing and allows customers to blacklist</w:t>
      </w:r>
      <w:r w:rsidR="00F11544">
        <w:t>, i.e., list those names and numbers they want blocked,</w:t>
      </w:r>
      <w:r w:rsidR="00467C7F">
        <w:t xml:space="preserve"> up to 1,000 names and numbers.</w:t>
      </w:r>
      <w:r>
        <w:rPr>
          <w:rStyle w:val="FootnoteReference"/>
        </w:rPr>
        <w:footnoteReference w:id="100"/>
      </w:r>
      <w:r w:rsidR="00467C7F">
        <w:t xml:space="preserve">  Such </w:t>
      </w:r>
      <w:r w:rsidR="00F829FF">
        <w:t>blocked callers</w:t>
      </w:r>
      <w:r w:rsidR="00467C7F">
        <w:t xml:space="preserve"> receive an intercept message and must press a key or leave their name before the call can go through.</w:t>
      </w:r>
      <w:r>
        <w:rPr>
          <w:rStyle w:val="FootnoteReference"/>
        </w:rPr>
        <w:footnoteReference w:id="101"/>
      </w:r>
      <w:r w:rsidR="00FD60C4">
        <w:t xml:space="preserve">  </w:t>
      </w:r>
      <w:r>
        <w:t>Customers have purchased approximately one million AT&amp;T Smart Call Blocker phones.</w:t>
      </w:r>
      <w:r>
        <w:rPr>
          <w:rStyle w:val="FootnoteReference"/>
        </w:rPr>
        <w:footnoteReference w:id="102"/>
      </w:r>
    </w:p>
    <w:p w:rsidR="00806C99" w:rsidP="00135BAF" w14:paraId="5AFCCD59" w14:textId="3FC84268">
      <w:pPr>
        <w:pStyle w:val="ParaNum"/>
      </w:pPr>
      <w:r>
        <w:rPr>
          <w:i/>
          <w:iCs/>
        </w:rPr>
        <w:t>Bandwidth.</w:t>
      </w:r>
      <w:r>
        <w:t xml:space="preserve">  Bandwidth</w:t>
      </w:r>
      <w:r w:rsidR="005504DC">
        <w:t xml:space="preserve">, </w:t>
      </w:r>
      <w:r>
        <w:t xml:space="preserve">predominately </w:t>
      </w:r>
      <w:r w:rsidR="005504DC">
        <w:t xml:space="preserve">a wholesale </w:t>
      </w:r>
      <w:r>
        <w:t>service provider to IP-based communications service providers</w:t>
      </w:r>
      <w:r w:rsidR="005504DC">
        <w:t xml:space="preserve">, </w:t>
      </w:r>
      <w:r>
        <w:t xml:space="preserve">does not offer blocking tools directly to </w:t>
      </w:r>
      <w:r w:rsidR="005504DC">
        <w:t xml:space="preserve">end user </w:t>
      </w:r>
      <w:r>
        <w:t>consumers.</w:t>
      </w:r>
      <w:r>
        <w:rPr>
          <w:rStyle w:val="FootnoteReference"/>
        </w:rPr>
        <w:footnoteReference w:id="103"/>
      </w:r>
      <w:r>
        <w:t xml:space="preserve">  Bandwidth can, however, block voice traffic that originates from invalid numbers and has a spam messaging filter.</w:t>
      </w:r>
      <w:r>
        <w:rPr>
          <w:rStyle w:val="FootnoteReference"/>
        </w:rPr>
        <w:footnoteReference w:id="104"/>
      </w:r>
      <w:r>
        <w:t xml:space="preserve">  Bandwidth has an on-board screening process to prevent potential robocalling companies from becoming Bandwidth customers.</w:t>
      </w:r>
      <w:r>
        <w:rPr>
          <w:rStyle w:val="FootnoteReference"/>
        </w:rPr>
        <w:footnoteReference w:id="105"/>
      </w:r>
      <w:r>
        <w:t xml:space="preserve">  Bandwidth regularly analyzes network traffic for unlawful robocall campaigns and blocks calls when appropriate.</w:t>
      </w:r>
      <w:r>
        <w:rPr>
          <w:rStyle w:val="FootnoteReference"/>
        </w:rPr>
        <w:footnoteReference w:id="106"/>
      </w:r>
      <w:r>
        <w:t xml:space="preserve">  </w:t>
      </w:r>
      <w:r w:rsidR="00B779CE">
        <w:t>Bandwidth can detect unlawful robocall campaigns and works to stop such activities.</w:t>
      </w:r>
      <w:r>
        <w:rPr>
          <w:rStyle w:val="FootnoteReference"/>
        </w:rPr>
        <w:footnoteReference w:id="107"/>
      </w:r>
      <w:r w:rsidR="00B779CE">
        <w:t xml:space="preserve"> </w:t>
      </w:r>
      <w:r w:rsidR="001D09AD">
        <w:t xml:space="preserve"> </w:t>
      </w:r>
      <w:r>
        <w:t>Bandwidth states that the risks for overly-broad blocking</w:t>
      </w:r>
      <w:r w:rsidR="00135BAF">
        <w:t>, i.e., false positives,</w:t>
      </w:r>
      <w:r>
        <w:t xml:space="preserve"> are significant.</w:t>
      </w:r>
      <w:r>
        <w:rPr>
          <w:rStyle w:val="FootnoteReference"/>
        </w:rPr>
        <w:footnoteReference w:id="108"/>
      </w:r>
    </w:p>
    <w:p w:rsidR="00A43645" w:rsidP="001C65D8" w14:paraId="0E59FE33" w14:textId="56E5E254">
      <w:pPr>
        <w:pStyle w:val="ParaNum"/>
        <w:widowControl/>
      </w:pPr>
      <w:r>
        <w:rPr>
          <w:i/>
          <w:iCs/>
        </w:rPr>
        <w:t xml:space="preserve">CenturyLink. </w:t>
      </w:r>
      <w:r>
        <w:t xml:space="preserve">At the network level, by default, CenturyLink blocks fraud calls, DNO calls, call back numbers used in scams, and </w:t>
      </w:r>
      <w:r w:rsidR="006E1983">
        <w:t xml:space="preserve">certain </w:t>
      </w:r>
      <w:r>
        <w:t>numbers associated with robocall scams.</w:t>
      </w:r>
      <w:r>
        <w:rPr>
          <w:rStyle w:val="FootnoteReference"/>
        </w:rPr>
        <w:footnoteReference w:id="109"/>
      </w:r>
      <w:r>
        <w:t xml:space="preserve">  CenturyLink offers </w:t>
      </w:r>
      <w:r w:rsidR="00B779CE">
        <w:t xml:space="preserve">third-party blocking service </w:t>
      </w:r>
      <w:r>
        <w:t>Nomorobo for all consumer VoIP customers.</w:t>
      </w:r>
      <w:r>
        <w:rPr>
          <w:rStyle w:val="FootnoteReference"/>
        </w:rPr>
        <w:footnoteReference w:id="110"/>
      </w:r>
      <w:r>
        <w:t xml:space="preserve">  For TDM customers, CenturyLink offers various screening tools.</w:t>
      </w:r>
      <w:r>
        <w:rPr>
          <w:rStyle w:val="FootnoteReference"/>
        </w:rPr>
        <w:footnoteReference w:id="111"/>
      </w:r>
      <w:r>
        <w:t xml:space="preserve">  CenturyLink also offers an expanded caller ID service, including </w:t>
      </w:r>
      <w:r w:rsidR="00B779CE">
        <w:t>“</w:t>
      </w:r>
      <w:r>
        <w:t>Caller ID with Privacy+</w:t>
      </w:r>
      <w:r w:rsidR="00B779CE">
        <w:t>”</w:t>
      </w:r>
      <w:r>
        <w:t xml:space="preserve">, that blocks calls without caller ID unless the caller provides a name; </w:t>
      </w:r>
      <w:r w:rsidR="00B779CE">
        <w:t>“</w:t>
      </w:r>
      <w:r>
        <w:t xml:space="preserve">Anonymous </w:t>
      </w:r>
      <w:r w:rsidR="006E1983">
        <w:t xml:space="preserve">Call </w:t>
      </w:r>
      <w:r>
        <w:t>Rejection</w:t>
      </w:r>
      <w:r w:rsidR="00B779CE">
        <w:t>”</w:t>
      </w:r>
      <w:r>
        <w:t xml:space="preserve"> that blocks calls from private or anonymous numbers; and </w:t>
      </w:r>
      <w:r w:rsidR="00B779CE">
        <w:t>“</w:t>
      </w:r>
      <w:r>
        <w:t>Call Rejection</w:t>
      </w:r>
      <w:r w:rsidR="00B779CE">
        <w:t>”</w:t>
      </w:r>
      <w:r>
        <w:t xml:space="preserve"> </w:t>
      </w:r>
      <w:r>
        <w:t xml:space="preserve">and </w:t>
      </w:r>
      <w:r w:rsidR="00B779CE">
        <w:t>“</w:t>
      </w:r>
      <w:r>
        <w:t>Enhanced Call Rejection</w:t>
      </w:r>
      <w:r w:rsidR="00B779CE">
        <w:t>”</w:t>
      </w:r>
      <w:r>
        <w:t xml:space="preserve"> that block calls from specific numbers.</w:t>
      </w:r>
      <w:r>
        <w:rPr>
          <w:rStyle w:val="FootnoteReference"/>
        </w:rPr>
        <w:footnoteReference w:id="112"/>
      </w:r>
      <w:r>
        <w:t xml:space="preserve">  </w:t>
      </w:r>
      <w:r w:rsidR="00B779CE">
        <w:t>“</w:t>
      </w:r>
      <w:r>
        <w:t>Do Not Disturb</w:t>
      </w:r>
      <w:r w:rsidR="00B779CE">
        <w:t>”</w:t>
      </w:r>
      <w:r>
        <w:t xml:space="preserve"> and </w:t>
      </w:r>
      <w:r w:rsidR="00B779CE">
        <w:t>“</w:t>
      </w:r>
      <w:r>
        <w:t>Call Curfew</w:t>
      </w:r>
      <w:r w:rsidR="00B779CE">
        <w:t>”</w:t>
      </w:r>
      <w:r>
        <w:t xml:space="preserve"> block incoming calls during specified hours.  These end-user blocking tools are opt-in.</w:t>
      </w:r>
      <w:r>
        <w:rPr>
          <w:rStyle w:val="FootnoteReference"/>
        </w:rPr>
        <w:footnoteReference w:id="113"/>
      </w:r>
    </w:p>
    <w:p w:rsidR="004A3687" w:rsidP="00D00F8A" w14:paraId="4085E9B6" w14:textId="16CC6945">
      <w:pPr>
        <w:pStyle w:val="ParaNum"/>
        <w:widowControl/>
      </w:pPr>
      <w:r w:rsidRPr="00B313BB">
        <w:rPr>
          <w:i/>
          <w:iCs/>
        </w:rPr>
        <w:t>Charter</w:t>
      </w:r>
      <w:r>
        <w:t xml:space="preserve">.  </w:t>
      </w:r>
      <w:r w:rsidR="002755A9">
        <w:t>Charter states that all of its call</w:t>
      </w:r>
      <w:r w:rsidR="006322E0">
        <w:t>-</w:t>
      </w:r>
      <w:r w:rsidR="002755A9">
        <w:t>blocking services are free features.</w:t>
      </w:r>
      <w:r>
        <w:rPr>
          <w:rStyle w:val="FootnoteReference"/>
        </w:rPr>
        <w:footnoteReference w:id="114"/>
      </w:r>
      <w:r w:rsidRPr="00C504AC" w:rsidR="002755A9">
        <w:t xml:space="preserve"> </w:t>
      </w:r>
      <w:r w:rsidR="006322E0">
        <w:t xml:space="preserve"> </w:t>
      </w:r>
      <w:r>
        <w:t>Charter</w:t>
      </w:r>
      <w:r w:rsidR="002755A9">
        <w:t xml:space="preserve">’s customers can sign up for </w:t>
      </w:r>
      <w:r>
        <w:t xml:space="preserve">Nomorobo, at no charge; approximately </w:t>
      </w:r>
      <w:r w:rsidR="008E1224">
        <w:t>9</w:t>
      </w:r>
      <w:r w:rsidR="00B8754E">
        <w:t>%</w:t>
      </w:r>
      <w:r>
        <w:t xml:space="preserve"> of Charter’s residential subscribers have activated this service.</w:t>
      </w:r>
      <w:r>
        <w:rPr>
          <w:rStyle w:val="FootnoteReference"/>
        </w:rPr>
        <w:footnoteReference w:id="115"/>
      </w:r>
      <w:r>
        <w:t xml:space="preserve">  Charter also offers customers</w:t>
      </w:r>
      <w:r w:rsidR="002755A9">
        <w:t>, through its website,</w:t>
      </w:r>
      <w:r>
        <w:t xml:space="preserve"> the ability to accept selected callers, block unwanted callers, and block anonymous calls.</w:t>
      </w:r>
      <w:r>
        <w:rPr>
          <w:rStyle w:val="FootnoteReference"/>
        </w:rPr>
        <w:footnoteReference w:id="116"/>
      </w:r>
      <w:r>
        <w:t xml:space="preserve">  </w:t>
      </w:r>
      <w:r w:rsidR="00E93076">
        <w:t xml:space="preserve">By the end of 2020, </w:t>
      </w:r>
      <w:r>
        <w:t xml:space="preserve">Charter </w:t>
      </w:r>
      <w:r w:rsidR="00E93076">
        <w:t xml:space="preserve">plans to allow its </w:t>
      </w:r>
      <w:r>
        <w:t xml:space="preserve">customers </w:t>
      </w:r>
      <w:r w:rsidR="00E93076">
        <w:t xml:space="preserve">to </w:t>
      </w:r>
      <w:r>
        <w:t>opt in to white</w:t>
      </w:r>
      <w:r w:rsidR="00624B20">
        <w:t xml:space="preserve"> </w:t>
      </w:r>
      <w:r>
        <w:t>list call blocking.</w:t>
      </w:r>
      <w:r>
        <w:rPr>
          <w:rStyle w:val="FootnoteReference"/>
        </w:rPr>
        <w:footnoteReference w:id="117"/>
      </w:r>
      <w:r>
        <w:t xml:space="preserve">  Charter </w:t>
      </w:r>
      <w:r w:rsidR="00E93076">
        <w:t xml:space="preserve">also </w:t>
      </w:r>
      <w:r>
        <w:t>plans to alert its customers via caller ID that a call is suspicious.</w:t>
      </w:r>
      <w:r>
        <w:rPr>
          <w:rStyle w:val="FootnoteReference"/>
        </w:rPr>
        <w:footnoteReference w:id="118"/>
      </w:r>
      <w:r>
        <w:t xml:space="preserve">  Charter also intends to implement additional network-level blocking capabilities for invalid, unassigned, and DNO telephone numbers.</w:t>
      </w:r>
      <w:r>
        <w:rPr>
          <w:rStyle w:val="FootnoteReference"/>
        </w:rPr>
        <w:footnoteReference w:id="119"/>
      </w:r>
      <w:r>
        <w:t xml:space="preserve">  With respect to its wireless service, Charter’s customers can block calls</w:t>
      </w:r>
      <w:r w:rsidR="002755A9">
        <w:t xml:space="preserve"> </w:t>
      </w:r>
      <w:r>
        <w:t>using tools available through the mobile phone’s operating system.</w:t>
      </w:r>
      <w:r>
        <w:rPr>
          <w:rStyle w:val="FootnoteReference"/>
        </w:rPr>
        <w:footnoteReference w:id="120"/>
      </w:r>
      <w:r>
        <w:t xml:space="preserve">  Charter is currently in discussions with third-party </w:t>
      </w:r>
      <w:r w:rsidR="00910D7D">
        <w:t>analytics companies</w:t>
      </w:r>
      <w:r>
        <w:t xml:space="preserve"> regarding additional blocking solutions.</w:t>
      </w:r>
      <w:r>
        <w:rPr>
          <w:rStyle w:val="FootnoteReference"/>
        </w:rPr>
        <w:footnoteReference w:id="121"/>
      </w:r>
      <w:r>
        <w:t xml:space="preserve">  Charter is starting an initial seed data collection for the Reassigned Number Database.</w:t>
      </w:r>
      <w:r>
        <w:rPr>
          <w:rStyle w:val="FootnoteReference"/>
        </w:rPr>
        <w:footnoteReference w:id="122"/>
      </w:r>
      <w:r>
        <w:t xml:space="preserve">  Once this database is launched, callers will be able to verify whether a number has been reassigned before calling that number.</w:t>
      </w:r>
      <w:r>
        <w:rPr>
          <w:rStyle w:val="FootnoteReference"/>
        </w:rPr>
        <w:footnoteReference w:id="123"/>
      </w:r>
    </w:p>
    <w:p w:rsidR="00DE601E" w:rsidP="00872B25" w14:paraId="1821CA56" w14:textId="442FCF39">
      <w:pPr>
        <w:pStyle w:val="ParaNum"/>
      </w:pPr>
      <w:r w:rsidRPr="00C47211">
        <w:rPr>
          <w:i/>
          <w:iCs/>
        </w:rPr>
        <w:t>Comcast.</w:t>
      </w:r>
      <w:r>
        <w:t xml:space="preserve">  </w:t>
      </w:r>
      <w:r w:rsidR="000B0FD3">
        <w:t>A</w:t>
      </w:r>
      <w:r>
        <w:t>t the network level</w:t>
      </w:r>
      <w:r w:rsidR="000B0FD3">
        <w:t>, Comcast</w:t>
      </w:r>
      <w:r>
        <w:t xml:space="preserve"> employ</w:t>
      </w:r>
      <w:r w:rsidR="000B0FD3">
        <w:t>s</w:t>
      </w:r>
      <w:r>
        <w:t xml:space="preserve"> robocall mitigation techniques and, without charge, block</w:t>
      </w:r>
      <w:r w:rsidR="000B0FD3">
        <w:t>s</w:t>
      </w:r>
      <w:r>
        <w:t xml:space="preserve"> calls from the DNO list and from invalid or unallocated numbers.</w:t>
      </w:r>
      <w:r>
        <w:rPr>
          <w:rStyle w:val="FootnoteReference"/>
        </w:rPr>
        <w:footnoteReference w:id="124"/>
      </w:r>
      <w:r>
        <w:t xml:space="preserve">  </w:t>
      </w:r>
      <w:r w:rsidR="000B0FD3">
        <w:t xml:space="preserve">Comcast blocked, at the </w:t>
      </w:r>
      <w:r>
        <w:t>network-level</w:t>
      </w:r>
      <w:r w:rsidR="00FD0638">
        <w:t>,</w:t>
      </w:r>
      <w:r>
        <w:t xml:space="preserve"> over 158 million robocall attempts in December 2019.</w:t>
      </w:r>
      <w:r>
        <w:rPr>
          <w:rStyle w:val="FootnoteReference"/>
        </w:rPr>
        <w:footnoteReference w:id="125"/>
      </w:r>
      <w:r>
        <w:t xml:space="preserve">  Comcast offers free </w:t>
      </w:r>
      <w:r w:rsidR="00D868F8">
        <w:t>“</w:t>
      </w:r>
      <w:r>
        <w:t>Anonymous Call Rejection</w:t>
      </w:r>
      <w:r w:rsidR="00D868F8">
        <w:t>”</w:t>
      </w:r>
      <w:r>
        <w:t xml:space="preserve"> as an opt-in feature</w:t>
      </w:r>
      <w:r w:rsidR="007300CE">
        <w:t>,</w:t>
      </w:r>
      <w:r>
        <w:t xml:space="preserve"> bu</w:t>
      </w:r>
      <w:r w:rsidRPr="002755A9">
        <w:t xml:space="preserve">t </w:t>
      </w:r>
      <w:r w:rsidRPr="0078281B">
        <w:t xml:space="preserve">plans on offering this to all Xfinity Voice subscribers as an opt-out feature </w:t>
      </w:r>
      <w:r w:rsidR="002755A9">
        <w:t>in the future</w:t>
      </w:r>
      <w:r w:rsidRPr="002755A9">
        <w:t>.</w:t>
      </w:r>
      <w:r>
        <w:rPr>
          <w:rStyle w:val="FootnoteReference"/>
        </w:rPr>
        <w:footnoteReference w:id="126"/>
      </w:r>
      <w:r w:rsidRPr="002755A9">
        <w:t xml:space="preserve">  Anonymous Call Rejection blocked nearly 37 million calls in December 2019.</w:t>
      </w:r>
      <w:r>
        <w:rPr>
          <w:rStyle w:val="FootnoteReference"/>
        </w:rPr>
        <w:footnoteReference w:id="127"/>
      </w:r>
      <w:r w:rsidRPr="002755A9">
        <w:t xml:space="preserve">  Comcast offers Selective</w:t>
      </w:r>
      <w:r>
        <w:t xml:space="preserve"> Call Rejection or Call Screening, on an opt-in basis and without charge, allowing customers to block a list of up to 25 phone numbers.  Comcast estimates </w:t>
      </w:r>
      <w:r>
        <w:t>that over five million calls were blocked using this tool in December 2019.</w:t>
      </w:r>
      <w:r>
        <w:rPr>
          <w:rStyle w:val="FootnoteReference"/>
        </w:rPr>
        <w:footnoteReference w:id="128"/>
      </w:r>
      <w:r>
        <w:t xml:space="preserve">  Comcast offers Nomorobo to residential voice customers on an opt-in basis, without charge.</w:t>
      </w:r>
      <w:r>
        <w:rPr>
          <w:rStyle w:val="FootnoteReference"/>
        </w:rPr>
        <w:footnoteReference w:id="129"/>
      </w:r>
      <w:r>
        <w:t xml:space="preserve">  This service blocks approximately 25 to 30 calls per month, per subscriber.</w:t>
      </w:r>
      <w:r>
        <w:rPr>
          <w:rStyle w:val="FootnoteReference"/>
        </w:rPr>
        <w:footnoteReference w:id="130"/>
      </w:r>
      <w:r w:rsidRPr="004B46C5">
        <w:t xml:space="preserve"> </w:t>
      </w:r>
      <w:r>
        <w:t xml:space="preserve"> Comcast estimates that in December 2019 it blocked approximately 210 million call attempts</w:t>
      </w:r>
      <w:r w:rsidR="00644615">
        <w:t xml:space="preserve"> across all of these blocking methods</w:t>
      </w:r>
      <w:r>
        <w:t>.</w:t>
      </w:r>
      <w:r>
        <w:rPr>
          <w:rStyle w:val="FootnoteReference"/>
        </w:rPr>
        <w:footnoteReference w:id="131"/>
      </w:r>
      <w:r>
        <w:t xml:space="preserve">  </w:t>
      </w:r>
      <w:r w:rsidR="004B21A4">
        <w:t xml:space="preserve">In addition to the above described services offered to Comcast VoIP customers, </w:t>
      </w:r>
      <w:r w:rsidR="00872B25">
        <w:t>Comcast also offers a wireless service, Xfinity Mobile, to its Internet customers</w:t>
      </w:r>
      <w:r w:rsidR="004B21A4">
        <w:t xml:space="preserve"> and the </w:t>
      </w:r>
      <w:r>
        <w:t>Comcast’s Xfinity Mobile customers can download, without charge, the Hiya app to block fraudulent and unwanted calls.</w:t>
      </w:r>
      <w:r>
        <w:rPr>
          <w:rStyle w:val="FootnoteReference"/>
        </w:rPr>
        <w:footnoteReference w:id="132"/>
      </w:r>
      <w:r>
        <w:t xml:space="preserve">  </w:t>
      </w:r>
    </w:p>
    <w:p w:rsidR="00DE601E" w:rsidP="00DF346C" w14:paraId="748E74BF" w14:textId="110C260B">
      <w:pPr>
        <w:pStyle w:val="ParaNum"/>
      </w:pPr>
      <w:r w:rsidRPr="00E05E09">
        <w:rPr>
          <w:i/>
          <w:iCs/>
        </w:rPr>
        <w:t>Cox</w:t>
      </w:r>
      <w:r>
        <w:t xml:space="preserve">.  Cox provides network-based blocking, or </w:t>
      </w:r>
      <w:r w:rsidR="00E632F8">
        <w:t>“</w:t>
      </w:r>
      <w:r>
        <w:t>Edge Blocking,</w:t>
      </w:r>
      <w:r w:rsidR="00E632F8">
        <w:t>”</w:t>
      </w:r>
      <w:r>
        <w:t xml:space="preserve"> to block DNO, invalid, and unallocated telephone numbers.</w:t>
      </w:r>
      <w:r>
        <w:rPr>
          <w:rStyle w:val="FootnoteReference"/>
        </w:rPr>
        <w:footnoteReference w:id="133"/>
      </w:r>
      <w:r>
        <w:t xml:space="preserve">  Edge Blocking includes blocking inbound calls that purportedly originate from 10-digit numbers that are not valid North American Numbering Plan (NANP) numbers and that contain NXX codes that have not been allocated.</w:t>
      </w:r>
      <w:r>
        <w:rPr>
          <w:rStyle w:val="FootnoteReference"/>
        </w:rPr>
        <w:footnoteReference w:id="134"/>
      </w:r>
      <w:r w:rsidRPr="00063761">
        <w:t xml:space="preserve"> </w:t>
      </w:r>
      <w:r>
        <w:t xml:space="preserve"> Cox offers </w:t>
      </w:r>
      <w:r w:rsidR="00D868F8">
        <w:t>“</w:t>
      </w:r>
      <w:r>
        <w:t>Anonymous Call Rejection</w:t>
      </w:r>
      <w:r w:rsidR="00D868F8">
        <w:t>”</w:t>
      </w:r>
      <w:r>
        <w:t>, which allow customers to reject calls from callers with blocked caller ID, and Selective Call Rejection, which allows customers to create a list of calls to be blocked.</w:t>
      </w:r>
      <w:r>
        <w:rPr>
          <w:rStyle w:val="FootnoteReference"/>
        </w:rPr>
        <w:footnoteReference w:id="135"/>
      </w:r>
      <w:r>
        <w:t xml:space="preserve">  Both of these tools are standard features offered with Cox’s voice service.</w:t>
      </w:r>
      <w:r>
        <w:rPr>
          <w:rStyle w:val="FootnoteReference"/>
        </w:rPr>
        <w:footnoteReference w:id="136"/>
      </w:r>
      <w:r>
        <w:t xml:space="preserve">  Both of these features provide calling parties an intercept message when their calls are blocked.</w:t>
      </w:r>
      <w:r>
        <w:rPr>
          <w:rStyle w:val="FootnoteReference"/>
        </w:rPr>
        <w:footnoteReference w:id="137"/>
      </w:r>
      <w:r>
        <w:t xml:space="preserve"> </w:t>
      </w:r>
      <w:bookmarkStart w:id="4" w:name="_Hlk34057490"/>
      <w:r w:rsidR="00C0618B">
        <w:t xml:space="preserve"> This b</w:t>
      </w:r>
      <w:r>
        <w:t>locking</w:t>
      </w:r>
      <w:r w:rsidR="00C0618B">
        <w:t xml:space="preserve"> </w:t>
      </w:r>
      <w:r>
        <w:t xml:space="preserve">service is </w:t>
      </w:r>
      <w:r w:rsidR="007474EC">
        <w:t xml:space="preserve">provided </w:t>
      </w:r>
      <w:r>
        <w:t>through Nomorobo and automatically identifies and blocks unwanted and illegal calls and sends an intercept message to the calling party when calls are blocked.</w:t>
      </w:r>
      <w:r>
        <w:rPr>
          <w:rStyle w:val="FootnoteReference"/>
        </w:rPr>
        <w:footnoteReference w:id="138"/>
      </w:r>
      <w:r>
        <w:t xml:space="preserve">  </w:t>
      </w:r>
      <w:bookmarkEnd w:id="4"/>
      <w:r>
        <w:t xml:space="preserve">Cox blocks </w:t>
      </w:r>
      <w:r w:rsidR="00B54990">
        <w:t>approximately 15</w:t>
      </w:r>
      <w:r w:rsidR="00C91FBE">
        <w:t>%</w:t>
      </w:r>
      <w:r>
        <w:t xml:space="preserve"> of incoming call attempts to residential customers through </w:t>
      </w:r>
      <w:r w:rsidR="00D868F8">
        <w:t xml:space="preserve">a combination of </w:t>
      </w:r>
      <w:r>
        <w:t>Edge Blocking, Anonymous Call Rejection, Nomorobo, and Selective Call Rejection.</w:t>
      </w:r>
      <w:r>
        <w:rPr>
          <w:rStyle w:val="FootnoteReference"/>
        </w:rPr>
        <w:footnoteReference w:id="139"/>
      </w:r>
      <w:r>
        <w:t xml:space="preserve">  Edge Blocking accounts for 65% of the call attempts blocked and Anonymous Call Rejection accounts for 29% of the blocked calls.</w:t>
      </w:r>
      <w:r>
        <w:rPr>
          <w:rStyle w:val="FootnoteReference"/>
        </w:rPr>
        <w:footnoteReference w:id="140"/>
      </w:r>
      <w:r>
        <w:t xml:space="preserve">    </w:t>
      </w:r>
    </w:p>
    <w:p w:rsidR="001A23FC" w:rsidP="008E6E73" w14:paraId="649558C6" w14:textId="62F89EA3">
      <w:pPr>
        <w:pStyle w:val="ParaNum"/>
        <w:widowControl/>
      </w:pPr>
      <w:r>
        <w:rPr>
          <w:i/>
          <w:iCs/>
        </w:rPr>
        <w:t>Frontier.</w:t>
      </w:r>
      <w:r>
        <w:t xml:space="preserve">  At the network level, Frontier blocks numbers on the DNO list by default.</w:t>
      </w:r>
      <w:r>
        <w:rPr>
          <w:rStyle w:val="FootnoteReference"/>
        </w:rPr>
        <w:footnoteReference w:id="141"/>
      </w:r>
      <w:r>
        <w:t xml:space="preserve">  Frontier offers anonymous call rejection, selective call rejection, and selective call acceptance, without </w:t>
      </w:r>
      <w:r>
        <w:t>charge.</w:t>
      </w:r>
      <w:r>
        <w:rPr>
          <w:rStyle w:val="FootnoteReference"/>
        </w:rPr>
        <w:footnoteReference w:id="142"/>
      </w:r>
      <w:r>
        <w:t xml:space="preserve">  Frontier offers an advanced caller ID alert to screen likely robocalls with Neustar Robocall Mitigation technology.</w:t>
      </w:r>
      <w:r>
        <w:rPr>
          <w:rStyle w:val="FootnoteReference"/>
        </w:rPr>
        <w:footnoteReference w:id="143"/>
      </w:r>
      <w:r>
        <w:t xml:space="preserve">  Frontier </w:t>
      </w:r>
      <w:r w:rsidR="00060417">
        <w:t xml:space="preserve">customers are able to make use of </w:t>
      </w:r>
      <w:r>
        <w:t>Nomorobo</w:t>
      </w:r>
      <w:r w:rsidR="00060417">
        <w:t>’s</w:t>
      </w:r>
      <w:r w:rsidR="00060417">
        <w:t xml:space="preserve"> free </w:t>
      </w:r>
      <w:r>
        <w:t>VoIP</w:t>
      </w:r>
      <w:r w:rsidR="00B742B1">
        <w:t xml:space="preserve"> </w:t>
      </w:r>
      <w:r w:rsidR="00060417">
        <w:t>product</w:t>
      </w:r>
      <w:r>
        <w:t>.</w:t>
      </w:r>
      <w:r>
        <w:rPr>
          <w:rStyle w:val="FootnoteReference"/>
        </w:rPr>
        <w:footnoteReference w:id="144"/>
      </w:r>
      <w:r>
        <w:t xml:space="preserve">  </w:t>
      </w:r>
    </w:p>
    <w:p w:rsidR="00C25695" w:rsidP="00C25695" w14:paraId="248B1FC7" w14:textId="48DF6247">
      <w:pPr>
        <w:pStyle w:val="ParaNum"/>
      </w:pPr>
      <w:r w:rsidRPr="000D7836">
        <w:rPr>
          <w:i/>
          <w:iCs/>
        </w:rPr>
        <w:t>Sprint.</w:t>
      </w:r>
      <w:r>
        <w:t xml:space="preserve">  Sprint currently blocks calls identified by the DNO program</w:t>
      </w:r>
      <w:r w:rsidR="007474EC">
        <w:t>,</w:t>
      </w:r>
      <w:r>
        <w:t xml:space="preserve"> </w:t>
      </w:r>
      <w:r w:rsidR="007474EC">
        <w:t xml:space="preserve">invalid, </w:t>
      </w:r>
      <w:r>
        <w:t>and unallocated numbers</w:t>
      </w:r>
      <w:r w:rsidR="00BD21D2">
        <w:t xml:space="preserve"> at the network level</w:t>
      </w:r>
      <w:r>
        <w:t>.</w:t>
      </w:r>
      <w:r>
        <w:rPr>
          <w:rStyle w:val="FootnoteReference"/>
        </w:rPr>
        <w:footnoteReference w:id="145"/>
      </w:r>
      <w:r>
        <w:t xml:space="preserve">  </w:t>
      </w:r>
      <w:r w:rsidR="0018146E">
        <w:t xml:space="preserve">At the device level, </w:t>
      </w:r>
      <w:r>
        <w:t>Sprint offers free call blocking with TNS’s Call Screener, installed on Android devices and available for download on iOS devices.</w:t>
      </w:r>
      <w:r>
        <w:rPr>
          <w:rStyle w:val="FootnoteReference"/>
        </w:rPr>
        <w:footnoteReference w:id="146"/>
      </w:r>
      <w:r>
        <w:t xml:space="preserve">  </w:t>
      </w:r>
      <w:r w:rsidR="00115919">
        <w:t>Call Screener Basic, a free version, allows customers to identify and block calls determined to be high risk by TNS.</w:t>
      </w:r>
      <w:r>
        <w:rPr>
          <w:rStyle w:val="FootnoteReference"/>
        </w:rPr>
        <w:footnoteReference w:id="147"/>
      </w:r>
      <w:r w:rsidR="0035394D">
        <w:t xml:space="preserve">  </w:t>
      </w:r>
      <w:r>
        <w:t>Blocked calls are sent directly to voicemail.</w:t>
      </w:r>
      <w:r>
        <w:rPr>
          <w:rStyle w:val="FootnoteReference"/>
        </w:rPr>
        <w:footnoteReference w:id="148"/>
      </w:r>
      <w:r>
        <w:t xml:space="preserve">  The premium</w:t>
      </w:r>
      <w:r w:rsidR="0035394D">
        <w:t xml:space="preserve"> version of</w:t>
      </w:r>
      <w:r w:rsidR="00BD21D2">
        <w:t xml:space="preserve"> </w:t>
      </w:r>
      <w:r>
        <w:t>Call Screener</w:t>
      </w:r>
      <w:r w:rsidR="0035394D">
        <w:t>, Call Screener</w:t>
      </w:r>
      <w:r>
        <w:t xml:space="preserve"> Plus</w:t>
      </w:r>
      <w:r w:rsidR="0035394D">
        <w:t>,</w:t>
      </w:r>
      <w:r>
        <w:t xml:space="preserve"> offers additional displays and option</w:t>
      </w:r>
      <w:r w:rsidR="0018146E">
        <w:t>s</w:t>
      </w:r>
      <w:r w:rsidR="0035394D">
        <w:t xml:space="preserve"> for $2.99 per month</w:t>
      </w:r>
      <w:r>
        <w:t>.</w:t>
      </w:r>
      <w:r>
        <w:rPr>
          <w:rStyle w:val="FootnoteReference"/>
        </w:rPr>
        <w:footnoteReference w:id="149"/>
      </w:r>
      <w:r>
        <w:t xml:space="preserve">  Callers that believe their calls are inaccurately blocked or labeled can provide feedback to TNS through their robocall feedback website.</w:t>
      </w:r>
      <w:r>
        <w:rPr>
          <w:rStyle w:val="FootnoteReference"/>
        </w:rPr>
        <w:footnoteReference w:id="150"/>
      </w:r>
      <w:r>
        <w:t xml:space="preserve">  Sprint does not offer white list blocking, but notes that it is available on iPhones and some Android devices.</w:t>
      </w:r>
      <w:r>
        <w:rPr>
          <w:rStyle w:val="FootnoteReference"/>
        </w:rPr>
        <w:footnoteReference w:id="151"/>
      </w:r>
      <w:r>
        <w:t xml:space="preserve">  Sprint also allows account holders to block select calls.</w:t>
      </w:r>
      <w:r>
        <w:rPr>
          <w:rStyle w:val="FootnoteReference"/>
        </w:rPr>
        <w:footnoteReference w:id="152"/>
      </w:r>
    </w:p>
    <w:p w:rsidR="00C25695" w:rsidP="00D8060B" w14:paraId="0D2D7917" w14:textId="0FA043FA">
      <w:pPr>
        <w:pStyle w:val="ParaNum"/>
        <w:widowControl/>
      </w:pPr>
      <w:r>
        <w:rPr>
          <w:i/>
          <w:iCs/>
        </w:rPr>
        <w:t>TDS Telecom.</w:t>
      </w:r>
      <w:r>
        <w:t xml:space="preserve">  TDS Telecom supports the availability of third-party anti-robocall tools and has been working to</w:t>
      </w:r>
      <w:r w:rsidR="00DF346C">
        <w:t xml:space="preserve"> implement </w:t>
      </w:r>
      <w:r>
        <w:t>network-level tools to identify and, if necessary, block calls in the TDM and IP aspects of their network.</w:t>
      </w:r>
      <w:r>
        <w:rPr>
          <w:rStyle w:val="FootnoteReference"/>
        </w:rPr>
        <w:footnoteReference w:id="153"/>
      </w:r>
      <w:r>
        <w:t xml:space="preserve">  TDS Telecom </w:t>
      </w:r>
      <w:r w:rsidR="00DF346C">
        <w:t xml:space="preserve">will likely </w:t>
      </w:r>
      <w:r>
        <w:t>implement call labeling and blocking on an opt-out basis.</w:t>
      </w:r>
      <w:r>
        <w:rPr>
          <w:rStyle w:val="FootnoteReference"/>
        </w:rPr>
        <w:footnoteReference w:id="154"/>
      </w:r>
    </w:p>
    <w:p w:rsidR="001A23FC" w:rsidP="001A23FC" w14:paraId="507B845D" w14:textId="409FEBAD">
      <w:pPr>
        <w:pStyle w:val="ParaNum"/>
      </w:pPr>
      <w:r w:rsidRPr="000D7836">
        <w:rPr>
          <w:i/>
          <w:iCs/>
        </w:rPr>
        <w:t>T-Mobile</w:t>
      </w:r>
      <w:r>
        <w:t>.  T-Mobile first offered</w:t>
      </w:r>
      <w:r w:rsidR="0018146E">
        <w:t xml:space="preserve"> network-based</w:t>
      </w:r>
      <w:r>
        <w:t xml:space="preserve"> </w:t>
      </w:r>
      <w:r w:rsidR="00BD21D2">
        <w:t>“</w:t>
      </w:r>
      <w:r>
        <w:t>Scam ID</w:t>
      </w:r>
      <w:r w:rsidR="00BD21D2">
        <w:t>”</w:t>
      </w:r>
      <w:r>
        <w:t xml:space="preserve"> and </w:t>
      </w:r>
      <w:r w:rsidR="00BD21D2">
        <w:t>“</w:t>
      </w:r>
      <w:r>
        <w:t>Scam Block</w:t>
      </w:r>
      <w:r w:rsidR="00BD21D2">
        <w:t>”</w:t>
      </w:r>
      <w:r>
        <w:t xml:space="preserve"> robocall labeling and blocking in March 2017.</w:t>
      </w:r>
      <w:r>
        <w:rPr>
          <w:rStyle w:val="FootnoteReference"/>
        </w:rPr>
        <w:footnoteReference w:id="155"/>
      </w:r>
      <w:r>
        <w:t xml:space="preserve">  Every post-paid customer has Scam ID (labeling); Scam Block (blocking) is opt-in.</w:t>
      </w:r>
      <w:r>
        <w:rPr>
          <w:rStyle w:val="FootnoteReference"/>
        </w:rPr>
        <w:footnoteReference w:id="156"/>
      </w:r>
      <w:r>
        <w:t xml:space="preserve">  T-Mobile has identified over 21 billion scam calls and blocked over five billion of </w:t>
      </w:r>
      <w:r>
        <w:t>those calls.</w:t>
      </w:r>
      <w:r>
        <w:rPr>
          <w:rStyle w:val="FootnoteReference"/>
        </w:rPr>
        <w:footnoteReference w:id="157"/>
      </w:r>
      <w:r>
        <w:t xml:space="preserve">  These network-based tools use artificial intelligence, machine learning, and call behavior as part of the reasonable analytics to detect and label likely scams.</w:t>
      </w:r>
      <w:r>
        <w:rPr>
          <w:rStyle w:val="FootnoteReference"/>
        </w:rPr>
        <w:footnoteReference w:id="158"/>
      </w:r>
      <w:r>
        <w:t xml:space="preserve">  T-Mobile also offers a premium call control and caller ID service, </w:t>
      </w:r>
      <w:r w:rsidR="00BD21D2">
        <w:t>“</w:t>
      </w:r>
      <w:r>
        <w:t>Name ID</w:t>
      </w:r>
      <w:r w:rsidR="00BD21D2">
        <w:t>”</w:t>
      </w:r>
      <w:r>
        <w:t>, which allows a customer to block individual numbers and perform a reverse look up.</w:t>
      </w:r>
      <w:r>
        <w:rPr>
          <w:rStyle w:val="FootnoteReference"/>
        </w:rPr>
        <w:footnoteReference w:id="159"/>
      </w:r>
      <w:r>
        <w:t xml:space="preserve">  </w:t>
      </w:r>
    </w:p>
    <w:p w:rsidR="00A43645" w:rsidP="008826E9" w14:paraId="3D26A378" w14:textId="7D56B708">
      <w:pPr>
        <w:pStyle w:val="ParaNum"/>
      </w:pPr>
      <w:r>
        <w:rPr>
          <w:i/>
          <w:iCs/>
        </w:rPr>
        <w:t>U.S. Cellular.</w:t>
      </w:r>
      <w:r>
        <w:t xml:space="preserve">  U.S. Cellular offers the TNS Call Guardian application for Android and iOS devices.</w:t>
      </w:r>
      <w:r>
        <w:rPr>
          <w:rStyle w:val="FootnoteReference"/>
        </w:rPr>
        <w:footnoteReference w:id="160"/>
      </w:r>
      <w:r>
        <w:t xml:space="preserve">  </w:t>
      </w:r>
      <w:r w:rsidR="00F27C42">
        <w:t>U.S. Cellular does not know how many subscribers are using Call Guardian.</w:t>
      </w:r>
      <w:r>
        <w:rPr>
          <w:rStyle w:val="FootnoteReference"/>
        </w:rPr>
        <w:footnoteReference w:id="161"/>
      </w:r>
      <w:r w:rsidR="00B5191F">
        <w:t xml:space="preserve">  </w:t>
      </w:r>
      <w:r>
        <w:t>U.S. Cellular also offers network-based call labeling for VoLTE subscribers, using STIR/SHAKEN information as input to its call analytics data base.</w:t>
      </w:r>
      <w:r>
        <w:rPr>
          <w:rStyle w:val="FootnoteReference"/>
        </w:rPr>
        <w:footnoteReference w:id="162"/>
      </w:r>
      <w:r>
        <w:t xml:space="preserve">  The p</w:t>
      </w:r>
      <w:r w:rsidR="00F27C42">
        <w:t>aid</w:t>
      </w:r>
      <w:r>
        <w:t xml:space="preserve"> version of Call Guardian can block individual numbers or all calls identified as high risk and/or medium risk.</w:t>
      </w:r>
      <w:r>
        <w:rPr>
          <w:rStyle w:val="FootnoteReference"/>
        </w:rPr>
        <w:footnoteReference w:id="163"/>
      </w:r>
      <w:r>
        <w:t xml:space="preserve">  According the U.S. Cellular, only 0.2% of blocked incoming calls are false positive.</w:t>
      </w:r>
      <w:r w:rsidRPr="004F4F3A">
        <w:rPr>
          <w:rStyle w:val="FootnoteReference"/>
        </w:rPr>
        <w:t xml:space="preserve"> </w:t>
      </w:r>
      <w:r>
        <w:rPr>
          <w:rStyle w:val="FootnoteReference"/>
        </w:rPr>
        <w:footnoteReference w:id="164"/>
      </w:r>
    </w:p>
    <w:p w:rsidR="00391E1F" w:rsidP="008E6E73" w14:paraId="654BE3D5" w14:textId="153D7394">
      <w:pPr>
        <w:pStyle w:val="ParaNum"/>
        <w:widowControl/>
      </w:pPr>
      <w:r w:rsidRPr="00E05E09">
        <w:rPr>
          <w:i/>
          <w:iCs/>
        </w:rPr>
        <w:t>Verizon</w:t>
      </w:r>
      <w:r>
        <w:t xml:space="preserve">.  </w:t>
      </w:r>
      <w:r w:rsidR="00677359">
        <w:t>Verizon</w:t>
      </w:r>
      <w:r w:rsidR="0053786D">
        <w:t xml:space="preserve">, through its </w:t>
      </w:r>
      <w:r w:rsidR="00677359">
        <w:t>network</w:t>
      </w:r>
      <w:r w:rsidR="00DB2EEC">
        <w:t>-</w:t>
      </w:r>
      <w:r w:rsidR="00204E9E">
        <w:t xml:space="preserve">level </w:t>
      </w:r>
      <w:r w:rsidR="00DB2EEC">
        <w:t xml:space="preserve">default </w:t>
      </w:r>
      <w:r w:rsidR="00677359">
        <w:t>blocking</w:t>
      </w:r>
      <w:r w:rsidR="0053786D">
        <w:t>,</w:t>
      </w:r>
      <w:r w:rsidR="00677359">
        <w:t xml:space="preserve"> has blocked millions of calls where the calling party’s number is invalid</w:t>
      </w:r>
      <w:r w:rsidR="0053786D">
        <w:t xml:space="preserve"> or </w:t>
      </w:r>
      <w:r w:rsidR="00677359">
        <w:t>unassigned, or where the block was authorized by the called party.</w:t>
      </w:r>
      <w:r>
        <w:rPr>
          <w:rStyle w:val="FootnoteReference"/>
        </w:rPr>
        <w:footnoteReference w:id="165"/>
      </w:r>
      <w:r w:rsidR="00677359">
        <w:t xml:space="preserve">  </w:t>
      </w:r>
      <w:r w:rsidR="00D46951">
        <w:t xml:space="preserve">Verizon sends Release Code 603 (“denied”) for </w:t>
      </w:r>
      <w:r w:rsidR="00204E9E">
        <w:t xml:space="preserve">all </w:t>
      </w:r>
      <w:r w:rsidR="00D46951">
        <w:t>calls blocked in the network.</w:t>
      </w:r>
      <w:r>
        <w:rPr>
          <w:rStyle w:val="FootnoteReference"/>
        </w:rPr>
        <w:footnoteReference w:id="166"/>
      </w:r>
      <w:r w:rsidR="00D46951">
        <w:t xml:space="preserve">  </w:t>
      </w:r>
      <w:r w:rsidR="00EB3D3D">
        <w:t xml:space="preserve">At the device level, tens of millions of </w:t>
      </w:r>
      <w:r w:rsidR="00E74E52">
        <w:t>Verizon</w:t>
      </w:r>
      <w:r w:rsidR="00EB3D3D">
        <w:t xml:space="preserve"> Wireless customers use the free </w:t>
      </w:r>
      <w:r w:rsidR="00BD21D2">
        <w:t>“</w:t>
      </w:r>
      <w:r w:rsidR="00871C40">
        <w:t>Call Filter</w:t>
      </w:r>
      <w:r w:rsidR="00BD21D2">
        <w:t>”</w:t>
      </w:r>
      <w:r w:rsidR="00871C40">
        <w:t xml:space="preserve"> </w:t>
      </w:r>
      <w:r w:rsidR="00592260">
        <w:t xml:space="preserve">blocking </w:t>
      </w:r>
      <w:r w:rsidR="00871C40">
        <w:t>tool</w:t>
      </w:r>
      <w:r w:rsidR="00DB2EEC">
        <w:t xml:space="preserve">, </w:t>
      </w:r>
      <w:r w:rsidR="00EB3D3D">
        <w:t xml:space="preserve">provided by Verizon </w:t>
      </w:r>
      <w:r w:rsidR="00DB2EEC">
        <w:t xml:space="preserve">through third-party </w:t>
      </w:r>
      <w:r w:rsidR="001242EC">
        <w:t xml:space="preserve">analytics company </w:t>
      </w:r>
      <w:r w:rsidR="00DB2EEC">
        <w:t>TNS</w:t>
      </w:r>
      <w:r w:rsidR="00592260">
        <w:t>.</w:t>
      </w:r>
      <w:r>
        <w:rPr>
          <w:rStyle w:val="FootnoteReference"/>
        </w:rPr>
        <w:footnoteReference w:id="167"/>
      </w:r>
      <w:r w:rsidR="00D41219">
        <w:t xml:space="preserve">  </w:t>
      </w:r>
      <w:r w:rsidR="00FF7ABB">
        <w:t xml:space="preserve">The Call Filter app offers customers options to adjust what types of calls </w:t>
      </w:r>
      <w:r w:rsidR="0053786D">
        <w:t xml:space="preserve">will </w:t>
      </w:r>
      <w:r w:rsidR="00FF7ABB">
        <w:t>be blocked and to</w:t>
      </w:r>
      <w:r w:rsidR="00A53969">
        <w:t xml:space="preserve"> </w:t>
      </w:r>
      <w:r w:rsidR="00FF7ABB">
        <w:t xml:space="preserve">opt out of the </w:t>
      </w:r>
      <w:r w:rsidR="00A53969">
        <w:t>service</w:t>
      </w:r>
      <w:r w:rsidR="00FF7ABB">
        <w:t>.</w:t>
      </w:r>
      <w:r>
        <w:rPr>
          <w:rStyle w:val="FootnoteReference"/>
        </w:rPr>
        <w:footnoteReference w:id="168"/>
      </w:r>
      <w:r w:rsidR="00FF7ABB">
        <w:t xml:space="preserve">  Customers can configure </w:t>
      </w:r>
      <w:r w:rsidR="00F54109">
        <w:t xml:space="preserve">the app </w:t>
      </w:r>
      <w:r w:rsidR="00FF7ABB">
        <w:t>to meet their preferences</w:t>
      </w:r>
      <w:r w:rsidR="00A32C6E">
        <w:t>.</w:t>
      </w:r>
      <w:r>
        <w:rPr>
          <w:rStyle w:val="FootnoteReference"/>
        </w:rPr>
        <w:footnoteReference w:id="169"/>
      </w:r>
      <w:r w:rsidR="00A32C6E">
        <w:t xml:space="preserve"> </w:t>
      </w:r>
      <w:r w:rsidR="0053786D">
        <w:t xml:space="preserve"> </w:t>
      </w:r>
      <w:r w:rsidR="00A32C6E">
        <w:t>T</w:t>
      </w:r>
      <w:r w:rsidR="00FF7ABB">
        <w:t xml:space="preserve">he </w:t>
      </w:r>
      <w:r w:rsidR="00F54109">
        <w:t xml:space="preserve">app’s </w:t>
      </w:r>
      <w:r w:rsidR="00FF7ABB">
        <w:t xml:space="preserve">default setting blocks high risk </w:t>
      </w:r>
      <w:r w:rsidR="0053786D">
        <w:t>(</w:t>
      </w:r>
      <w:r w:rsidR="00FF7ABB">
        <w:t>potential fraud</w:t>
      </w:r>
      <w:r w:rsidR="0053786D">
        <w:t>)</w:t>
      </w:r>
      <w:r w:rsidR="00FF7ABB">
        <w:t xml:space="preserve"> calls, but </w:t>
      </w:r>
      <w:r w:rsidR="00A32C6E">
        <w:t>customers</w:t>
      </w:r>
      <w:r w:rsidR="00FF7ABB">
        <w:t xml:space="preserve"> can also </w:t>
      </w:r>
      <w:r w:rsidR="00F54109">
        <w:t xml:space="preserve">adjust what types of calls are blocked, such as </w:t>
      </w:r>
      <w:r w:rsidR="00FF7ABB">
        <w:t xml:space="preserve">medium risk </w:t>
      </w:r>
      <w:r>
        <w:t xml:space="preserve">(potential spam) </w:t>
      </w:r>
      <w:r w:rsidR="00FF7ABB">
        <w:t xml:space="preserve">and/or lower risk </w:t>
      </w:r>
      <w:r>
        <w:t xml:space="preserve">(possible nuisance) </w:t>
      </w:r>
      <w:r w:rsidR="00FF7ABB">
        <w:t>calls</w:t>
      </w:r>
      <w:r w:rsidR="0053786D">
        <w:t>, as well as</w:t>
      </w:r>
      <w:r w:rsidR="00FF7ABB">
        <w:t xml:space="preserve"> all international calls</w:t>
      </w:r>
      <w:r w:rsidR="00165BC8">
        <w:t>, to protect against the one-ring scam</w:t>
      </w:r>
      <w:r w:rsidR="00FF7ABB">
        <w:t>.</w:t>
      </w:r>
      <w:r>
        <w:rPr>
          <w:rStyle w:val="FootnoteReference"/>
        </w:rPr>
        <w:footnoteReference w:id="170"/>
      </w:r>
      <w:r w:rsidR="00165BC8">
        <w:t xml:space="preserve">  </w:t>
      </w:r>
      <w:r w:rsidR="0053786D">
        <w:t>W</w:t>
      </w:r>
      <w:r w:rsidR="00F21450">
        <w:t>ireless Call Filter customers can use the contact</w:t>
      </w:r>
      <w:r w:rsidR="0053786D">
        <w:t>s</w:t>
      </w:r>
      <w:r w:rsidR="00F21450">
        <w:t xml:space="preserve"> list on their smart phones as a white list to prevent those contacts from being blocked.</w:t>
      </w:r>
      <w:r>
        <w:rPr>
          <w:rStyle w:val="FootnoteReference"/>
        </w:rPr>
        <w:footnoteReference w:id="171"/>
      </w:r>
      <w:r w:rsidR="00F21450">
        <w:t xml:space="preserve">  </w:t>
      </w:r>
      <w:r w:rsidR="0053786D">
        <w:t xml:space="preserve">Verizon sends all </w:t>
      </w:r>
      <w:r w:rsidR="00EF71F0">
        <w:t xml:space="preserve">calls blocked by the Call Filter app </w:t>
      </w:r>
      <w:r w:rsidR="00204E9E">
        <w:t xml:space="preserve">directly </w:t>
      </w:r>
      <w:r w:rsidR="00EF71F0">
        <w:t xml:space="preserve">to </w:t>
      </w:r>
      <w:r w:rsidR="00E45811">
        <w:t xml:space="preserve">the </w:t>
      </w:r>
      <w:r w:rsidR="0087505A">
        <w:t xml:space="preserve">Verizon </w:t>
      </w:r>
      <w:r w:rsidR="00E45811">
        <w:t xml:space="preserve">customer’s </w:t>
      </w:r>
      <w:r w:rsidR="00EF71F0">
        <w:t>voicemail.</w:t>
      </w:r>
      <w:r>
        <w:rPr>
          <w:rStyle w:val="FootnoteReference"/>
        </w:rPr>
        <w:footnoteReference w:id="172"/>
      </w:r>
      <w:r w:rsidR="00C8340B">
        <w:t xml:space="preserve">  Verizon seeks feedback about false positives from customers and calling parties on its website.</w:t>
      </w:r>
      <w:r>
        <w:rPr>
          <w:rStyle w:val="FootnoteReference"/>
        </w:rPr>
        <w:footnoteReference w:id="173"/>
      </w:r>
      <w:r w:rsidR="00D46951">
        <w:t xml:space="preserve">  </w:t>
      </w:r>
    </w:p>
    <w:p w:rsidR="00053872" w:rsidP="00086D98" w14:paraId="6F3686B9" w14:textId="1EAC2857">
      <w:pPr>
        <w:pStyle w:val="ParaNum"/>
      </w:pPr>
      <w:r>
        <w:t xml:space="preserve">In addition to the network-level blocking described above, </w:t>
      </w:r>
      <w:r w:rsidR="00BD21D2">
        <w:t>Verizon’s wireline voice customers with caller ID are offered “</w:t>
      </w:r>
      <w:r w:rsidR="00391E1F">
        <w:t>Spam Alert</w:t>
      </w:r>
      <w:r w:rsidR="00094003">
        <w:t>s</w:t>
      </w:r>
      <w:r w:rsidR="00BD21D2">
        <w:t>”</w:t>
      </w:r>
      <w:r w:rsidR="00391E1F">
        <w:t xml:space="preserve"> </w:t>
      </w:r>
      <w:r w:rsidR="004517D8">
        <w:t xml:space="preserve">labeling service </w:t>
      </w:r>
      <w:r w:rsidR="00391E1F">
        <w:t>at no charge</w:t>
      </w:r>
      <w:r w:rsidR="00C509F9">
        <w:t>.</w:t>
      </w:r>
      <w:r>
        <w:rPr>
          <w:rStyle w:val="FootnoteReference"/>
        </w:rPr>
        <w:footnoteReference w:id="174"/>
      </w:r>
      <w:r w:rsidR="00C509F9">
        <w:t xml:space="preserve">  It</w:t>
      </w:r>
      <w:r w:rsidR="00391E1F">
        <w:t xml:space="preserve"> displays </w:t>
      </w:r>
      <w:r w:rsidR="00C509F9">
        <w:t>“</w:t>
      </w:r>
      <w:r w:rsidR="00391E1F">
        <w:t>SPAM?</w:t>
      </w:r>
      <w:r w:rsidR="00C509F9">
        <w:t>”</w:t>
      </w:r>
      <w:r w:rsidR="00391E1F">
        <w:t xml:space="preserve"> before a caller’s name if the calling number matches certain criteria designed to identify likely spam.</w:t>
      </w:r>
      <w:r>
        <w:rPr>
          <w:rStyle w:val="FootnoteReference"/>
        </w:rPr>
        <w:footnoteReference w:id="175"/>
      </w:r>
      <w:r w:rsidR="00391E1F">
        <w:t xml:space="preserve">  </w:t>
      </w:r>
      <w:r w:rsidR="00AF1C71">
        <w:t xml:space="preserve">Verizon </w:t>
      </w:r>
      <w:r w:rsidR="00F21450">
        <w:t>Fios customers can use the “Do Not Disturb” feature at no extra charge to block all incoming calls except for those that the customer exempts from the</w:t>
      </w:r>
      <w:r w:rsidR="00450B24">
        <w:t xml:space="preserve"> customer’s</w:t>
      </w:r>
      <w:r w:rsidR="00F21450">
        <w:t xml:space="preserve"> list</w:t>
      </w:r>
      <w:r w:rsidR="00450B24">
        <w:t xml:space="preserve"> of contacts</w:t>
      </w:r>
      <w:r w:rsidR="00F21450">
        <w:t>.</w:t>
      </w:r>
      <w:r>
        <w:rPr>
          <w:rStyle w:val="FootnoteReference"/>
        </w:rPr>
        <w:footnoteReference w:id="176"/>
      </w:r>
      <w:r w:rsidR="00F21450">
        <w:t xml:space="preserve">  </w:t>
      </w:r>
      <w:r w:rsidR="003A140E">
        <w:t xml:space="preserve">Most of </w:t>
      </w:r>
      <w:r w:rsidR="00677359">
        <w:t>Verizon’</w:t>
      </w:r>
      <w:r w:rsidR="00400EAE">
        <w:t>s</w:t>
      </w:r>
      <w:r w:rsidR="00677359">
        <w:t xml:space="preserve"> customers can also sign up for </w:t>
      </w:r>
      <w:r w:rsidR="00677359">
        <w:t>Nomorobo’s</w:t>
      </w:r>
      <w:r w:rsidR="00677359">
        <w:t xml:space="preserve"> free blocking service.</w:t>
      </w:r>
      <w:r>
        <w:rPr>
          <w:rStyle w:val="FootnoteReference"/>
        </w:rPr>
        <w:footnoteReference w:id="177"/>
      </w:r>
      <w:r w:rsidR="00677359">
        <w:t xml:space="preserve">  </w:t>
      </w:r>
      <w:r w:rsidR="00896620">
        <w:t xml:space="preserve">Verizon </w:t>
      </w:r>
      <w:r w:rsidR="00CC6B6F">
        <w:t xml:space="preserve">estimates that it </w:t>
      </w:r>
      <w:r w:rsidR="00896620">
        <w:t>has blocked hundreds of millions of calls.</w:t>
      </w:r>
      <w:r>
        <w:rPr>
          <w:rStyle w:val="FootnoteReference"/>
        </w:rPr>
        <w:footnoteReference w:id="178"/>
      </w:r>
      <w:r w:rsidR="00BA4491">
        <w:t xml:space="preserve">  </w:t>
      </w:r>
    </w:p>
    <w:p w:rsidR="00033DA6" w:rsidP="000B1E42" w14:paraId="03AD1E96" w14:textId="2E5CC9E0">
      <w:pPr>
        <w:pStyle w:val="ParaNum"/>
        <w:widowControl/>
      </w:pPr>
      <w:r>
        <w:t xml:space="preserve">At the network level, </w:t>
      </w:r>
      <w:r w:rsidR="00BA4491">
        <w:t>Verizon block</w:t>
      </w:r>
      <w:r w:rsidR="004517D8">
        <w:t>s</w:t>
      </w:r>
      <w:r w:rsidR="00BA4491">
        <w:t xml:space="preserve"> </w:t>
      </w:r>
      <w:r w:rsidR="00D315CC">
        <w:t xml:space="preserve">DNO numbers, i.e., </w:t>
      </w:r>
      <w:r w:rsidR="00BA4491">
        <w:t>calls from over 1,600 numbers that federal agencies do not use for outbound calls and that fraudsters spoof in order to impersonate those agencies.</w:t>
      </w:r>
      <w:r>
        <w:rPr>
          <w:rStyle w:val="FootnoteReference"/>
        </w:rPr>
        <w:footnoteReference w:id="179"/>
      </w:r>
      <w:r w:rsidR="00A90A3E">
        <w:t xml:space="preserve">  Verizon worked with the Social Security Administration on a DNO program that blocked more than 10 million calls in three months.</w:t>
      </w:r>
      <w:r>
        <w:rPr>
          <w:rStyle w:val="FootnoteReference"/>
        </w:rPr>
        <w:footnoteReference w:id="180"/>
      </w:r>
      <w:r w:rsidR="00BA4491">
        <w:t xml:space="preserve">  </w:t>
      </w:r>
      <w:r w:rsidR="003B163A">
        <w:t>Verizon also invites calling parties and consumers to identify calls that were incorrectly identified.</w:t>
      </w:r>
      <w:r>
        <w:rPr>
          <w:rStyle w:val="FootnoteReference"/>
        </w:rPr>
        <w:footnoteReference w:id="181"/>
      </w:r>
      <w:r w:rsidR="001C38FE">
        <w:t xml:space="preserve">  Calling parties can also tell Verizon about their calling campaigns so that Verizon’s third</w:t>
      </w:r>
      <w:r w:rsidR="00E244D3">
        <w:t>-</w:t>
      </w:r>
      <w:r w:rsidR="001C38FE">
        <w:t>party vendor can take that information into account</w:t>
      </w:r>
      <w:r w:rsidR="00EF591C">
        <w:t xml:space="preserve"> when analyzing calls</w:t>
      </w:r>
      <w:r w:rsidR="001C38FE">
        <w:t>.</w:t>
      </w:r>
      <w:r>
        <w:rPr>
          <w:rStyle w:val="FootnoteReference"/>
        </w:rPr>
        <w:footnoteReference w:id="182"/>
      </w:r>
      <w:r w:rsidR="000D4F5B">
        <w:t xml:space="preserve">  Verizon has a honeypot program</w:t>
      </w:r>
      <w:r w:rsidR="002E673E">
        <w:t>, i.e., decoy</w:t>
      </w:r>
      <w:r w:rsidR="005265EB">
        <w:t xml:space="preserve"> phone numbers</w:t>
      </w:r>
      <w:r w:rsidR="002E673E">
        <w:t xml:space="preserve"> to attract </w:t>
      </w:r>
      <w:r w:rsidR="002E673E">
        <w:t>robocallers</w:t>
      </w:r>
      <w:r w:rsidR="002E673E">
        <w:t>,</w:t>
      </w:r>
      <w:r w:rsidR="000D4F5B">
        <w:t xml:space="preserve"> to collect data on robocalls</w:t>
      </w:r>
      <w:r w:rsidR="00C509F9">
        <w:t>; it uses the information to</w:t>
      </w:r>
      <w:r w:rsidR="000D4F5B">
        <w:t xml:space="preserve"> help identify and categorize mass calling campaigns.</w:t>
      </w:r>
      <w:r>
        <w:rPr>
          <w:rStyle w:val="FootnoteReference"/>
        </w:rPr>
        <w:footnoteReference w:id="183"/>
      </w:r>
    </w:p>
    <w:p w:rsidR="00F742E4" w:rsidP="00D8060B" w14:paraId="237B1804" w14:textId="48597685">
      <w:pPr>
        <w:pStyle w:val="ParaNum"/>
        <w:widowControl/>
      </w:pPr>
      <w:r w:rsidRPr="00F742E4">
        <w:rPr>
          <w:i/>
          <w:iCs/>
        </w:rPr>
        <w:t>Vonage</w:t>
      </w:r>
      <w:r>
        <w:t>.  Vonage offers residential customers</w:t>
      </w:r>
      <w:r w:rsidR="00D3254C">
        <w:t xml:space="preserve"> two opt-in blocking tools,</w:t>
      </w:r>
      <w:r>
        <w:t xml:space="preserve"> </w:t>
      </w:r>
      <w:r w:rsidR="00A60493">
        <w:t>“</w:t>
      </w:r>
      <w:r>
        <w:t>Anonymous Call Block</w:t>
      </w:r>
      <w:r w:rsidR="00A60493">
        <w:t>”</w:t>
      </w:r>
      <w:r>
        <w:t xml:space="preserve"> and </w:t>
      </w:r>
      <w:r w:rsidR="00A60493">
        <w:t>“</w:t>
      </w:r>
      <w:r>
        <w:t>Selective Call Block</w:t>
      </w:r>
      <w:r w:rsidR="00A60493">
        <w:t>”</w:t>
      </w:r>
      <w:r>
        <w:t xml:space="preserve">, </w:t>
      </w:r>
      <w:r w:rsidR="00391866">
        <w:t>at no charge</w:t>
      </w:r>
      <w:r>
        <w:t>.</w:t>
      </w:r>
      <w:r>
        <w:rPr>
          <w:rStyle w:val="FootnoteReference"/>
        </w:rPr>
        <w:footnoteReference w:id="184"/>
      </w:r>
      <w:r>
        <w:t xml:space="preserve">  </w:t>
      </w:r>
      <w:r w:rsidR="00391866">
        <w:t>Approximately 2</w:t>
      </w:r>
      <w:r w:rsidR="00D3254C">
        <w:t>0%</w:t>
      </w:r>
      <w:r w:rsidR="00391866">
        <w:t xml:space="preserve"> of Vonage customers have enabled these features.</w:t>
      </w:r>
      <w:r>
        <w:rPr>
          <w:rStyle w:val="FootnoteReference"/>
        </w:rPr>
        <w:footnoteReference w:id="185"/>
      </w:r>
      <w:r w:rsidR="00391866">
        <w:t xml:space="preserve">  </w:t>
      </w:r>
      <w:r>
        <w:t xml:space="preserve">Anonymous Call Block informs callers with blocked </w:t>
      </w:r>
      <w:r w:rsidR="00CD1AAE">
        <w:t>c</w:t>
      </w:r>
      <w:r>
        <w:t xml:space="preserve">aller ID that the call cannot be completed until they unblock the </w:t>
      </w:r>
      <w:r w:rsidR="00CD1AAE">
        <w:t>c</w:t>
      </w:r>
      <w:r>
        <w:t>aller ID.</w:t>
      </w:r>
      <w:r>
        <w:rPr>
          <w:rStyle w:val="FootnoteReference"/>
        </w:rPr>
        <w:footnoteReference w:id="186"/>
      </w:r>
      <w:r w:rsidR="00391866">
        <w:t xml:space="preserve">  </w:t>
      </w:r>
      <w:r w:rsidR="00A60493">
        <w:t>“</w:t>
      </w:r>
      <w:r w:rsidR="00391866">
        <w:t>Selective Call Block</w:t>
      </w:r>
      <w:r w:rsidR="00A60493">
        <w:t>”</w:t>
      </w:r>
      <w:r w:rsidR="00391866">
        <w:t xml:space="preserve"> allows customers to block up to 50 numbers</w:t>
      </w:r>
      <w:r w:rsidR="00DA313A">
        <w:t xml:space="preserve">; </w:t>
      </w:r>
      <w:r w:rsidR="00391866">
        <w:t>the caller will receive a message that the called party is unavailable.</w:t>
      </w:r>
      <w:r>
        <w:rPr>
          <w:rStyle w:val="FootnoteReference"/>
        </w:rPr>
        <w:footnoteReference w:id="187"/>
      </w:r>
      <w:r w:rsidR="00391866">
        <w:t xml:space="preserve">  Vonage offers business customers Call Blocking, which blocks particular numbers or area codes and anonymous numbers, and Spam Shield</w:t>
      </w:r>
      <w:r w:rsidR="00A936A4">
        <w:t xml:space="preserve">, which labels calls that match a number associated with telemarketing, </w:t>
      </w:r>
      <w:r w:rsidR="00A936A4">
        <w:t xml:space="preserve">robocalls, and scams, as </w:t>
      </w:r>
      <w:r w:rsidR="00DA313A">
        <w:t>“</w:t>
      </w:r>
      <w:r w:rsidR="00A936A4">
        <w:t>Suspected Spam.</w:t>
      </w:r>
      <w:r w:rsidR="00DA313A">
        <w:t>”</w:t>
      </w:r>
      <w:r>
        <w:rPr>
          <w:rStyle w:val="FootnoteReference"/>
        </w:rPr>
        <w:footnoteReference w:id="188"/>
      </w:r>
      <w:r w:rsidR="00A936A4">
        <w:t xml:space="preserve">  Vonage is planning on offering a call labeling service, Neustar Robocall Mitigation, which will label a high risk call as </w:t>
      </w:r>
      <w:r w:rsidR="00DA313A">
        <w:t>“</w:t>
      </w:r>
      <w:r w:rsidR="00A936A4">
        <w:t>Spam?</w:t>
      </w:r>
      <w:r w:rsidR="00DA313A">
        <w:t>”</w:t>
      </w:r>
      <w:r w:rsidR="00A936A4">
        <w:t xml:space="preserve"> in the telephone display.</w:t>
      </w:r>
      <w:r>
        <w:rPr>
          <w:rStyle w:val="FootnoteReference"/>
        </w:rPr>
        <w:footnoteReference w:id="189"/>
      </w:r>
      <w:r w:rsidR="00A936A4">
        <w:t xml:space="preserve">  This service will also allow customers to white</w:t>
      </w:r>
      <w:r w:rsidR="004C4ACA">
        <w:t xml:space="preserve"> </w:t>
      </w:r>
      <w:r w:rsidR="00A936A4">
        <w:t>list numbers.</w:t>
      </w:r>
      <w:r>
        <w:rPr>
          <w:rStyle w:val="FootnoteReference"/>
        </w:rPr>
        <w:footnoteReference w:id="190"/>
      </w:r>
    </w:p>
    <w:p w:rsidR="00F475A6" w:rsidP="00F475A6" w14:paraId="76AF4A64" w14:textId="43695276">
      <w:pPr>
        <w:pStyle w:val="Heading3"/>
      </w:pPr>
      <w:r>
        <w:t>Third-party a</w:t>
      </w:r>
      <w:r w:rsidR="003423AF">
        <w:t>nalytics companies’</w:t>
      </w:r>
      <w:r w:rsidR="00DF13D8">
        <w:t xml:space="preserve"> b</w:t>
      </w:r>
      <w:r>
        <w:t xml:space="preserve">locking services </w:t>
      </w:r>
    </w:p>
    <w:p w:rsidR="005D5CCC" w:rsidP="005D5CCC" w14:paraId="3DC5D218" w14:textId="6037778F">
      <w:pPr>
        <w:pStyle w:val="ParaNum"/>
      </w:pPr>
      <w:r>
        <w:t xml:space="preserve">Several third-party analytics companies that provide blocking services </w:t>
      </w:r>
      <w:r w:rsidR="00CF6081">
        <w:t xml:space="preserve">submitted </w:t>
      </w:r>
      <w:r w:rsidR="0004190E">
        <w:t>information about their services</w:t>
      </w:r>
      <w:r w:rsidR="002B5752">
        <w:t>, including</w:t>
      </w:r>
      <w:r w:rsidR="0004190E">
        <w:t xml:space="preserve"> </w:t>
      </w:r>
      <w:r>
        <w:t xml:space="preserve">estimates </w:t>
      </w:r>
      <w:r w:rsidR="002B5752">
        <w:t xml:space="preserve">of </w:t>
      </w:r>
      <w:r>
        <w:t xml:space="preserve">the number of robocalls </w:t>
      </w:r>
      <w:r w:rsidR="0042306E">
        <w:t xml:space="preserve">or unwanted calls </w:t>
      </w:r>
      <w:r>
        <w:t xml:space="preserve">that they have blocked.  Although these companies use different definitions of </w:t>
      </w:r>
      <w:r w:rsidR="009A1983">
        <w:t>“</w:t>
      </w:r>
      <w:r>
        <w:t>robocall</w:t>
      </w:r>
      <w:r w:rsidR="009A1983">
        <w:t>”</w:t>
      </w:r>
      <w:r>
        <w:t xml:space="preserve"> and provide their service</w:t>
      </w:r>
      <w:r w:rsidR="002B5752">
        <w:t>s</w:t>
      </w:r>
      <w:r>
        <w:t xml:space="preserve"> for different platforms, their data provides useful information </w:t>
      </w:r>
      <w:r w:rsidR="007246BE">
        <w:t xml:space="preserve">on </w:t>
      </w:r>
      <w:r w:rsidR="00E42ACE">
        <w:t>call blocking</w:t>
      </w:r>
      <w:r>
        <w:t xml:space="preserve">.  </w:t>
      </w:r>
      <w:r w:rsidR="00421221">
        <w:t>A</w:t>
      </w:r>
      <w:r w:rsidR="00910867">
        <w:t xml:space="preserve">nalytics companies </w:t>
      </w:r>
      <w:r w:rsidR="00421221">
        <w:t xml:space="preserve">may both </w:t>
      </w:r>
      <w:r w:rsidR="00910867">
        <w:t>partner with voice service providers</w:t>
      </w:r>
      <w:r w:rsidR="00421221">
        <w:t xml:space="preserve"> and</w:t>
      </w:r>
      <w:r w:rsidR="00910867">
        <w:t xml:space="preserve"> offer their services </w:t>
      </w:r>
      <w:r w:rsidR="00A60493">
        <w:t xml:space="preserve">directly </w:t>
      </w:r>
      <w:r w:rsidR="00910867">
        <w:t>to the general public.</w:t>
      </w:r>
    </w:p>
    <w:p w:rsidR="008A4CC4" w:rsidP="00312F40" w14:paraId="6919AE9E" w14:textId="02B8BB4D">
      <w:pPr>
        <w:pStyle w:val="ParaNum"/>
      </w:pPr>
      <w:r>
        <w:rPr>
          <w:i/>
          <w:iCs/>
        </w:rPr>
        <w:t xml:space="preserve">Call Control.  </w:t>
      </w:r>
      <w:r w:rsidR="00C45BF4">
        <w:t>Third-party a</w:t>
      </w:r>
      <w:r w:rsidRPr="00296830" w:rsidR="003075AF">
        <w:t>nalytics</w:t>
      </w:r>
      <w:r w:rsidRPr="0078281B" w:rsidR="003075AF">
        <w:t xml:space="preserve"> company </w:t>
      </w:r>
      <w:r w:rsidR="005D5CCC">
        <w:t xml:space="preserve">Call Control estimates that over half the calls made in the United States are unwanted by subscribers and </w:t>
      </w:r>
      <w:r w:rsidR="00421221">
        <w:t xml:space="preserve">states that </w:t>
      </w:r>
      <w:r w:rsidR="005D5CCC">
        <w:t xml:space="preserve">consumers are conditioned not to answer their phones unless they recognize the </w:t>
      </w:r>
      <w:r w:rsidR="00CF0D27">
        <w:t>c</w:t>
      </w:r>
      <w:r w:rsidR="005D5CCC">
        <w:t>aller ID of the calling party.</w:t>
      </w:r>
      <w:r>
        <w:rPr>
          <w:vertAlign w:val="superscript"/>
        </w:rPr>
        <w:footnoteReference w:id="191"/>
      </w:r>
      <w:r w:rsidR="005D5CCC">
        <w:t xml:space="preserve">  Call Control estimates that it has blocked over one billion calls.</w:t>
      </w:r>
      <w:r>
        <w:rPr>
          <w:vertAlign w:val="superscript"/>
        </w:rPr>
        <w:footnoteReference w:id="192"/>
      </w:r>
      <w:r w:rsidR="005D5CCC">
        <w:t xml:space="preserve">  </w:t>
      </w:r>
      <w:r w:rsidR="000C08E7">
        <w:t>Call Control</w:t>
      </w:r>
      <w:r w:rsidR="005437CD">
        <w:t xml:space="preserve"> </w:t>
      </w:r>
      <w:r w:rsidR="005D5CCC">
        <w:t>contend</w:t>
      </w:r>
      <w:r w:rsidR="000C08E7">
        <w:t>s</w:t>
      </w:r>
      <w:r w:rsidR="005D5CCC">
        <w:t xml:space="preserve"> that American consumers receive </w:t>
      </w:r>
      <w:r w:rsidR="00B54990">
        <w:t xml:space="preserve">approximately </w:t>
      </w:r>
      <w:r w:rsidR="005D5CCC">
        <w:t>2,</w:t>
      </w:r>
      <w:r w:rsidR="00B54990">
        <w:t xml:space="preserve">000 </w:t>
      </w:r>
      <w:r w:rsidR="005D5CCC">
        <w:t>robocalls per second</w:t>
      </w:r>
      <w:r w:rsidR="00421221">
        <w:t>,</w:t>
      </w:r>
      <w:r w:rsidR="005D5CCC">
        <w:t xml:space="preserve"> and </w:t>
      </w:r>
      <w:r w:rsidR="00296830">
        <w:t xml:space="preserve">have </w:t>
      </w:r>
      <w:r w:rsidR="00421221">
        <w:t>report</w:t>
      </w:r>
      <w:r w:rsidR="003075AF">
        <w:t>ed</w:t>
      </w:r>
      <w:r w:rsidR="00421221">
        <w:t xml:space="preserve"> </w:t>
      </w:r>
      <w:r w:rsidR="005D5CCC">
        <w:t>5.2 billion robocalls in January 2019.</w:t>
      </w:r>
      <w:r>
        <w:rPr>
          <w:vertAlign w:val="superscript"/>
        </w:rPr>
        <w:footnoteReference w:id="193"/>
      </w:r>
      <w:r w:rsidRPr="008A4CC4">
        <w:t xml:space="preserve"> </w:t>
      </w:r>
      <w:r w:rsidR="00E845AA">
        <w:t xml:space="preserve"> </w:t>
      </w:r>
      <w:r>
        <w:t>Call Control offers</w:t>
      </w:r>
      <w:r w:rsidR="003075AF">
        <w:t xml:space="preserve"> </w:t>
      </w:r>
      <w:r>
        <w:t>software to block robocalls</w:t>
      </w:r>
      <w:r w:rsidR="00421221">
        <w:t>.  A</w:t>
      </w:r>
      <w:r>
        <w:t>t the device level</w:t>
      </w:r>
      <w:r w:rsidR="00421221">
        <w:t>,</w:t>
      </w:r>
      <w:r>
        <w:t xml:space="preserve"> the company </w:t>
      </w:r>
      <w:r w:rsidR="003075AF">
        <w:t xml:space="preserve">developed </w:t>
      </w:r>
      <w:r>
        <w:t>smartphone applications for Android and iOS</w:t>
      </w:r>
      <w:r w:rsidR="00421221">
        <w:t>,</w:t>
      </w:r>
      <w:r>
        <w:t xml:space="preserve"> </w:t>
      </w:r>
      <w:r w:rsidR="009B69BA">
        <w:t>as well as</w:t>
      </w:r>
      <w:r>
        <w:t xml:space="preserve"> </w:t>
      </w:r>
      <w:r w:rsidR="003075AF">
        <w:t xml:space="preserve">a </w:t>
      </w:r>
      <w:r w:rsidR="00902A5F">
        <w:t>service</w:t>
      </w:r>
      <w:r>
        <w:t xml:space="preserve"> for landlines that feature</w:t>
      </w:r>
      <w:r w:rsidR="009B69BA">
        <w:t>s</w:t>
      </w:r>
      <w:r>
        <w:t xml:space="preserve"> a block list that is dynamically updated through the internet.</w:t>
      </w:r>
      <w:r>
        <w:rPr>
          <w:rStyle w:val="FootnoteReference"/>
        </w:rPr>
        <w:footnoteReference w:id="194"/>
      </w:r>
      <w:r>
        <w:t xml:space="preserve">  </w:t>
      </w:r>
      <w:r w:rsidRPr="00296830" w:rsidR="00296830">
        <w:t xml:space="preserve">Call Control </w:t>
      </w:r>
      <w:r w:rsidR="00296830">
        <w:t xml:space="preserve">can also </w:t>
      </w:r>
      <w:r w:rsidRPr="00296830" w:rsidR="00296830">
        <w:t xml:space="preserve">integrate into </w:t>
      </w:r>
      <w:r w:rsidR="00296830">
        <w:t xml:space="preserve">a business </w:t>
      </w:r>
      <w:r w:rsidRPr="00296830" w:rsidR="00296830">
        <w:t>phone system</w:t>
      </w:r>
      <w:r w:rsidR="00296830">
        <w:t>, and w</w:t>
      </w:r>
      <w:r w:rsidRPr="00296830" w:rsidR="00296830">
        <w:t>hen a call is made into the</w:t>
      </w:r>
      <w:r w:rsidR="00296830">
        <w:t xml:space="preserve"> </w:t>
      </w:r>
      <w:r w:rsidR="000D4AE2">
        <w:t xml:space="preserve">customer’s </w:t>
      </w:r>
      <w:r w:rsidR="00296830">
        <w:t>network</w:t>
      </w:r>
      <w:r w:rsidRPr="00296830" w:rsidR="00296830">
        <w:t xml:space="preserve">, </w:t>
      </w:r>
      <w:r w:rsidR="000D4AE2">
        <w:t xml:space="preserve">it can </w:t>
      </w:r>
      <w:r w:rsidRPr="00296830" w:rsidR="00296830">
        <w:t xml:space="preserve">check the incoming caller against a set of rules and </w:t>
      </w:r>
      <w:r w:rsidR="000D4AE2">
        <w:t xml:space="preserve">its </w:t>
      </w:r>
      <w:r w:rsidRPr="00296830" w:rsidR="00296830">
        <w:t>database to make call handling and routing decisions.</w:t>
      </w:r>
      <w:r>
        <w:rPr>
          <w:rStyle w:val="FootnoteReference"/>
        </w:rPr>
        <w:footnoteReference w:id="195"/>
      </w:r>
      <w:r w:rsidRPr="00296830" w:rsidR="00296830">
        <w:t xml:space="preserve"> </w:t>
      </w:r>
      <w:r w:rsidR="000D4AE2">
        <w:t xml:space="preserve"> For </w:t>
      </w:r>
      <w:r w:rsidRPr="00296830" w:rsidR="00296830">
        <w:t xml:space="preserve">example, when an unwanted call is made to </w:t>
      </w:r>
      <w:r w:rsidR="000D4AE2">
        <w:t xml:space="preserve">the business, Call Control can </w:t>
      </w:r>
      <w:r w:rsidRPr="00296830" w:rsidR="00296830">
        <w:t>hang up or send it to a voicemail system for review</w:t>
      </w:r>
      <w:r w:rsidR="000D4AE2">
        <w:t>.</w:t>
      </w:r>
      <w:r>
        <w:rPr>
          <w:rStyle w:val="FootnoteReference"/>
        </w:rPr>
        <w:footnoteReference w:id="196"/>
      </w:r>
    </w:p>
    <w:p w:rsidR="00B201B7" w:rsidP="00D8060B" w14:paraId="300C4494" w14:textId="1A41D59C">
      <w:pPr>
        <w:pStyle w:val="ParaNum"/>
        <w:widowControl/>
      </w:pPr>
      <w:r>
        <w:rPr>
          <w:i/>
          <w:iCs/>
        </w:rPr>
        <w:t xml:space="preserve">First Orion.  </w:t>
      </w:r>
      <w:r>
        <w:t xml:space="preserve">First Orion offers a variety of call blocking and call labeling tools.  The most widely used, and free to consumers, are Scam ID and Scam Block, </w:t>
      </w:r>
      <w:r w:rsidR="003075AF">
        <w:t xml:space="preserve">currently </w:t>
      </w:r>
      <w:r>
        <w:t>deployed with T-Mobile.</w:t>
      </w:r>
      <w:r>
        <w:rPr>
          <w:rStyle w:val="FootnoteReference"/>
        </w:rPr>
        <w:footnoteReference w:id="197"/>
      </w:r>
      <w:r>
        <w:t xml:space="preserve">  First Orion also </w:t>
      </w:r>
      <w:r w:rsidR="003075AF">
        <w:t xml:space="preserve">currently </w:t>
      </w:r>
      <w:r>
        <w:t>offers blocking and labeling services to Tracfone and Boost Mobile.</w:t>
      </w:r>
      <w:r>
        <w:rPr>
          <w:rStyle w:val="FootnoteReference"/>
        </w:rPr>
        <w:footnoteReference w:id="198"/>
      </w:r>
      <w:r>
        <w:t xml:space="preserve">  There are nearly 65 million Scam ID subscribers and approximately seven million have opted into Scam Block.</w:t>
      </w:r>
      <w:r>
        <w:rPr>
          <w:rStyle w:val="FootnoteReference"/>
        </w:rPr>
        <w:footnoteReference w:id="199"/>
      </w:r>
      <w:r>
        <w:t xml:space="preserve">  Name ID is subscription-based and offers services such as </w:t>
      </w:r>
      <w:r w:rsidR="00B13724">
        <w:t>c</w:t>
      </w:r>
      <w:r>
        <w:t>aller ID with the calling party’s name, Personal Number Blocking, Category Blocking and Disposition, and Phone Number Look-up.</w:t>
      </w:r>
      <w:r>
        <w:rPr>
          <w:rStyle w:val="FootnoteReference"/>
        </w:rPr>
        <w:footnoteReference w:id="200"/>
      </w:r>
      <w:r>
        <w:t xml:space="preserve">  In addition, First Orion offers these opt-in applications directly to consumers.</w:t>
      </w:r>
      <w:r>
        <w:rPr>
          <w:rStyle w:val="FootnoteReference"/>
        </w:rPr>
        <w:footnoteReference w:id="201"/>
      </w:r>
      <w:r>
        <w:t xml:space="preserve">  The applications offer </w:t>
      </w:r>
      <w:r>
        <w:t>varying degrees of call labeling, call blocking, caller ID, and number look-up.</w:t>
      </w:r>
      <w:r>
        <w:rPr>
          <w:rStyle w:val="FootnoteReference"/>
        </w:rPr>
        <w:footnoteReference w:id="202"/>
      </w:r>
      <w:r>
        <w:t xml:space="preserve">  First Orion has technology that identifies invalid numbers to support scam detection.</w:t>
      </w:r>
      <w:r>
        <w:rPr>
          <w:rStyle w:val="FootnoteReference"/>
        </w:rPr>
        <w:footnoteReference w:id="203"/>
      </w:r>
      <w:r>
        <w:t xml:space="preserve">  First Orion also offers calling parties tools that they use to inform called parties, on a verified basis, who is calling them.</w:t>
      </w:r>
      <w:r>
        <w:rPr>
          <w:rStyle w:val="FootnoteReference"/>
        </w:rPr>
        <w:footnoteReference w:id="204"/>
      </w:r>
      <w:r>
        <w:t xml:space="preserve">  The Call Management opt-in tool has invalid and DNO numbers that are identified and blocked; numbers that are either labeled “scam likely” or blocked; and other calls such as telemarketing that can be sent directly to voicemail or answered.</w:t>
      </w:r>
      <w:r>
        <w:rPr>
          <w:rStyle w:val="FootnoteReference"/>
        </w:rPr>
        <w:footnoteReference w:id="205"/>
      </w:r>
      <w:r>
        <w:t xml:space="preserve">  The T-Mobile First Orion Scam ID service has identified over 22 billion scam calls since 2017; 25-30% of overall traffic is identified as a scam call, which is over 225 million calls per week.</w:t>
      </w:r>
      <w:r>
        <w:rPr>
          <w:rStyle w:val="FootnoteReference"/>
        </w:rPr>
        <w:footnoteReference w:id="206"/>
      </w:r>
      <w:r>
        <w:t xml:space="preserve">  First Orion does not send the calling party an intercept message when calls are blocked.</w:t>
      </w:r>
      <w:r>
        <w:rPr>
          <w:rStyle w:val="FootnoteReference"/>
        </w:rPr>
        <w:footnoteReference w:id="207"/>
      </w:r>
      <w:r>
        <w:t xml:space="preserve">  First Orion supports calltransparency.com, which allows callers to register their outbound numbers and can help prevent erroneous labeling or blocking.</w:t>
      </w:r>
      <w:r>
        <w:rPr>
          <w:rStyle w:val="FootnoteReference"/>
        </w:rPr>
        <w:footnoteReference w:id="208"/>
      </w:r>
      <w:r>
        <w:t xml:space="preserve">  In addition, callers and consumers can raise issues of erroneous blocking or labeling on the First Orion or T-Mobile websites.</w:t>
      </w:r>
      <w:r>
        <w:rPr>
          <w:rStyle w:val="FootnoteReference"/>
        </w:rPr>
        <w:footnoteReference w:id="209"/>
      </w:r>
    </w:p>
    <w:p w:rsidR="005444D1" w:rsidP="005444D1" w14:paraId="52F4737E" w14:textId="663A6F24">
      <w:pPr>
        <w:pStyle w:val="ParaNum"/>
      </w:pPr>
      <w:r>
        <w:rPr>
          <w:i/>
          <w:iCs/>
        </w:rPr>
        <w:t xml:space="preserve">Hiya.  </w:t>
      </w:r>
      <w:r>
        <w:t>Hiya offers call blocking for mobile phones.</w:t>
      </w:r>
      <w:r>
        <w:rPr>
          <w:rStyle w:val="FootnoteReference"/>
        </w:rPr>
        <w:footnoteReference w:id="210"/>
      </w:r>
      <w:r>
        <w:t xml:space="preserve">  Hiya </w:t>
      </w:r>
      <w:r w:rsidR="003075AF">
        <w:t xml:space="preserve">currently </w:t>
      </w:r>
      <w:r>
        <w:t>provides fraud and spam detection services through AT&amp;T’s Call Protect, Samsung</w:t>
      </w:r>
      <w:r w:rsidR="003641BD">
        <w:t>’s</w:t>
      </w:r>
      <w:r>
        <w:t xml:space="preserve"> Smart Call, and </w:t>
      </w:r>
      <w:r>
        <w:t>Hiya’s</w:t>
      </w:r>
      <w:r>
        <w:t xml:space="preserve"> own app.</w:t>
      </w:r>
      <w:r>
        <w:rPr>
          <w:rStyle w:val="FootnoteReference"/>
        </w:rPr>
        <w:footnoteReference w:id="211"/>
      </w:r>
      <w:r>
        <w:t xml:space="preserve">  Hiya estimates that 54.6 billion unwanted robocalls were made to mobile phones in the United States in 2019, with consumers receiving on average 14 spam calls per month.</w:t>
      </w:r>
      <w:r>
        <w:rPr>
          <w:rStyle w:val="FootnoteReference"/>
        </w:rPr>
        <w:footnoteReference w:id="212"/>
      </w:r>
      <w:r>
        <w:t xml:space="preserve">  Hiya calculates this number based on extrapolating the total number of unwanted robocalls from Hiya users as compared to the entirety of mobile phone subscribers in the United States.</w:t>
      </w:r>
      <w:r>
        <w:rPr>
          <w:rStyle w:val="FootnoteReference"/>
        </w:rPr>
        <w:footnoteReference w:id="213"/>
      </w:r>
      <w:r>
        <w:t xml:space="preserve">  Hiya estimates that in 2019 it protected more than 100 million consumers from fraud and nuisance calls and analyzed more than 145 billion calls worldwide.</w:t>
      </w:r>
      <w:r>
        <w:rPr>
          <w:rStyle w:val="FootnoteReference"/>
        </w:rPr>
        <w:footnoteReference w:id="214"/>
      </w:r>
      <w:r>
        <w:t xml:space="preserve">  Hiya alerted users to more than five billion spam calls and helped block nearly 800 million such calls.</w:t>
      </w:r>
      <w:r>
        <w:rPr>
          <w:rStyle w:val="FootnoteReference"/>
        </w:rPr>
        <w:footnoteReference w:id="215"/>
      </w:r>
      <w:r>
        <w:t xml:space="preserve">  Since 2016, Hiya has blocked or labeled nearly 1.3 billion suspected fraud calls and over three billion other suspect calls for AT&amp;T’s Call Protect service.</w:t>
      </w:r>
      <w:r>
        <w:rPr>
          <w:rStyle w:val="FootnoteReference"/>
        </w:rPr>
        <w:footnoteReference w:id="216"/>
      </w:r>
      <w:r>
        <w:t xml:space="preserve">  </w:t>
      </w:r>
      <w:r>
        <w:t>Hiya’s</w:t>
      </w:r>
      <w:r>
        <w:t xml:space="preserve"> false positive rate for Call </w:t>
      </w:r>
      <w:r>
        <w:t>Protect is a fraction of one percent, based on reports by users.</w:t>
      </w:r>
      <w:r>
        <w:rPr>
          <w:rStyle w:val="FootnoteReference"/>
        </w:rPr>
        <w:footnoteReference w:id="217"/>
      </w:r>
      <w:r>
        <w:t xml:space="preserve">  Hiya, through AT&amp;T, has offered </w:t>
      </w:r>
      <w:r w:rsidR="00150A09">
        <w:t xml:space="preserve">its service </w:t>
      </w:r>
      <w:r>
        <w:t xml:space="preserve">on an opt-out basis </w:t>
      </w:r>
      <w:r w:rsidR="009B69BA">
        <w:t>after</w:t>
      </w:r>
      <w:r>
        <w:t xml:space="preserve"> June 2019, blocking invalid and DNO numbers, and calls identified as fraud through analytical intelligence.</w:t>
      </w:r>
      <w:r>
        <w:rPr>
          <w:rStyle w:val="FootnoteReference"/>
        </w:rPr>
        <w:footnoteReference w:id="218"/>
      </w:r>
    </w:p>
    <w:p w:rsidR="00975EB2" w:rsidP="005444D1" w14:paraId="42FA3EE6" w14:textId="03F62329">
      <w:pPr>
        <w:pStyle w:val="ParaNum"/>
      </w:pPr>
      <w:r>
        <w:rPr>
          <w:i/>
          <w:iCs/>
        </w:rPr>
        <w:t xml:space="preserve">Innovative Systems.  </w:t>
      </w:r>
      <w:r w:rsidR="00C43B77">
        <w:t>Third-party a</w:t>
      </w:r>
      <w:r w:rsidRPr="00C43B77" w:rsidR="003075AF">
        <w:t>nalytics</w:t>
      </w:r>
      <w:r w:rsidRPr="0078281B" w:rsidR="003075AF">
        <w:t xml:space="preserve"> company </w:t>
      </w:r>
      <w:r>
        <w:t xml:space="preserve">Innovative Systems offers a call blocking tool for landline voice service providers called </w:t>
      </w:r>
      <w:r w:rsidR="003075AF">
        <w:t>“</w:t>
      </w:r>
      <w:r>
        <w:t>Terminating Call Manager</w:t>
      </w:r>
      <w:r w:rsidR="006C5D9A">
        <w:t>.</w:t>
      </w:r>
      <w:r w:rsidR="003075AF">
        <w:t>”</w:t>
      </w:r>
      <w:r w:rsidR="006C5D9A">
        <w:t xml:space="preserve">  </w:t>
      </w:r>
      <w:r w:rsidR="003075AF">
        <w:t xml:space="preserve">The service is </w:t>
      </w:r>
      <w:r>
        <w:t xml:space="preserve">currently available </w:t>
      </w:r>
      <w:r w:rsidR="002142DF">
        <w:t xml:space="preserve">on </w:t>
      </w:r>
      <w:r>
        <w:t xml:space="preserve">207 rural landline voice service </w:t>
      </w:r>
      <w:r w:rsidR="002142DF">
        <w:t>provider’s networks</w:t>
      </w:r>
      <w:r>
        <w:t>, and can be offered on an opt-in or opt-out basis.</w:t>
      </w:r>
      <w:r>
        <w:rPr>
          <w:rStyle w:val="FootnoteReference"/>
        </w:rPr>
        <w:footnoteReference w:id="219"/>
      </w:r>
      <w:r>
        <w:t xml:space="preserve">  At the network level, calls that appear to be spoofed are blocked; at the device level, calls are compared to a known caller list and a blocked caller list.</w:t>
      </w:r>
      <w:r>
        <w:rPr>
          <w:rStyle w:val="FootnoteReference"/>
        </w:rPr>
        <w:footnoteReference w:id="220"/>
      </w:r>
      <w:r>
        <w:t xml:space="preserve">  Callers will receive a Challenge Announcement indicating that the called party does not accept telemarketer calls, or a Call Blocking Announcement.</w:t>
      </w:r>
      <w:r>
        <w:rPr>
          <w:rStyle w:val="FootnoteReference"/>
        </w:rPr>
        <w:footnoteReference w:id="221"/>
      </w:r>
      <w:r>
        <w:t xml:space="preserve">  Innovative Systems also updates the list of numbers to be blocked weekly, from a list of nuisance callers from the Commission’s Consumer Complaints database.</w:t>
      </w:r>
      <w:r>
        <w:rPr>
          <w:rStyle w:val="FootnoteReference"/>
        </w:rPr>
        <w:footnoteReference w:id="222"/>
      </w:r>
      <w:r>
        <w:t xml:space="preserve">  Innovative Systems states that this service should have a very low probability of false positives, because the Challenge Announcement allows callers to complete the call.</w:t>
      </w:r>
      <w:r>
        <w:rPr>
          <w:rStyle w:val="FootnoteReference"/>
        </w:rPr>
        <w:footnoteReference w:id="223"/>
      </w:r>
    </w:p>
    <w:p w:rsidR="00A131E8" w:rsidP="00D8060B" w14:paraId="5BFA574D" w14:textId="25D65022">
      <w:pPr>
        <w:pStyle w:val="ParaNum"/>
        <w:widowControl/>
      </w:pPr>
      <w:r>
        <w:rPr>
          <w:i/>
          <w:iCs/>
        </w:rPr>
        <w:t xml:space="preserve">Neustar.  </w:t>
      </w:r>
      <w:r>
        <w:t>Neustar offers Robocall Mitigation, a tool that applies analytics to compute a per-call score and enables wireline and wireless voice service providers to choose how or whether to deliver the call.</w:t>
      </w:r>
      <w:r>
        <w:rPr>
          <w:rStyle w:val="FootnoteReference"/>
        </w:rPr>
        <w:footnoteReference w:id="224"/>
      </w:r>
      <w:r>
        <w:t xml:space="preserve">  Neustar considers telephone number characteristics (e.g., invalid, unallocated, unassigned), call patterns, call volumes, and seasonality to detect unusual or unexpected call patterns.</w:t>
      </w:r>
      <w:r>
        <w:rPr>
          <w:rStyle w:val="FootnoteReference"/>
        </w:rPr>
        <w:footnoteReference w:id="225"/>
      </w:r>
      <w:r>
        <w:t xml:space="preserve">  A voice service provider can use reasonable analytics to provide information to consumers so that they can decide whether to take the call.</w:t>
      </w:r>
      <w:r>
        <w:rPr>
          <w:rStyle w:val="FootnoteReference"/>
        </w:rPr>
        <w:footnoteReference w:id="226"/>
      </w:r>
      <w:r>
        <w:t xml:space="preserve">  Neustar also allows verified enterprises to register legitimate outbound calling numbers so they will not be inadvertently labeled or blocked.</w:t>
      </w:r>
      <w:r>
        <w:rPr>
          <w:rStyle w:val="FootnoteReference"/>
        </w:rPr>
        <w:footnoteReference w:id="227"/>
      </w:r>
      <w:r>
        <w:t xml:space="preserve">  Neustar also works with voice service providers and enterprise partners to improve and update the DNO list.</w:t>
      </w:r>
      <w:r>
        <w:rPr>
          <w:rStyle w:val="FootnoteReference"/>
        </w:rPr>
        <w:footnoteReference w:id="228"/>
      </w:r>
    </w:p>
    <w:p w:rsidR="00562C92" w:rsidP="00C068E9" w14:paraId="2D0CA62B" w14:textId="14AF997E">
      <w:pPr>
        <w:pStyle w:val="ParaNum"/>
      </w:pPr>
      <w:r w:rsidRPr="00EF0982">
        <w:rPr>
          <w:i/>
          <w:iCs/>
        </w:rPr>
        <w:t xml:space="preserve">Nomorobo.  </w:t>
      </w:r>
      <w:r w:rsidR="00677197">
        <w:t>Unlike most of the other third-party analytics compan</w:t>
      </w:r>
      <w:r w:rsidR="00C144CD">
        <w:t>ies</w:t>
      </w:r>
      <w:r w:rsidR="00677197">
        <w:t>, No</w:t>
      </w:r>
      <w:r w:rsidRPr="00677197" w:rsidR="00677197">
        <w:t xml:space="preserve">morobo </w:t>
      </w:r>
      <w:r w:rsidR="001029D7">
        <w:t>(</w:t>
      </w:r>
      <w:r w:rsidRPr="00677197" w:rsidR="00677197">
        <w:t xml:space="preserve">for </w:t>
      </w:r>
      <w:r w:rsidR="00060417">
        <w:t xml:space="preserve">VoIP </w:t>
      </w:r>
      <w:r w:rsidRPr="00677197" w:rsidR="00677197">
        <w:t>landlines</w:t>
      </w:r>
      <w:r w:rsidR="001029D7">
        <w:t>)</w:t>
      </w:r>
      <w:r w:rsidRPr="00677197" w:rsidR="00677197">
        <w:t xml:space="preserve"> uses a feature known as Simultaneous Ring.</w:t>
      </w:r>
      <w:r>
        <w:rPr>
          <w:rStyle w:val="FootnoteReference"/>
        </w:rPr>
        <w:footnoteReference w:id="229"/>
      </w:r>
      <w:r w:rsidRPr="00677197" w:rsidR="00677197">
        <w:t xml:space="preserve">  When simultaneous ring is enabled, </w:t>
      </w:r>
      <w:r w:rsidR="00677197">
        <w:t>the subscriber’s</w:t>
      </w:r>
      <w:r w:rsidRPr="00677197" w:rsidR="00677197">
        <w:t xml:space="preserve"> phone will ring on more than one number at the same time.</w:t>
      </w:r>
      <w:r>
        <w:rPr>
          <w:rStyle w:val="FootnoteReference"/>
        </w:rPr>
        <w:footnoteReference w:id="230"/>
      </w:r>
      <w:r w:rsidRPr="00677197" w:rsidR="00677197">
        <w:t xml:space="preserve"> </w:t>
      </w:r>
      <w:r w:rsidR="004D73C2">
        <w:t xml:space="preserve"> </w:t>
      </w:r>
      <w:r w:rsidRPr="00677197" w:rsidR="00677197">
        <w:t>The first device to pick it up gets the call</w:t>
      </w:r>
      <w:r w:rsidR="0066620A">
        <w:t>—</w:t>
      </w:r>
      <w:r w:rsidRPr="00677197" w:rsidR="00677197">
        <w:t>when the Nomorobo number is enabled as a simultaneous ring number it is the first number to screen the call.</w:t>
      </w:r>
      <w:r>
        <w:rPr>
          <w:rStyle w:val="FootnoteReference"/>
        </w:rPr>
        <w:footnoteReference w:id="231"/>
      </w:r>
      <w:r w:rsidRPr="00677197" w:rsidR="00677197">
        <w:t xml:space="preserve"> </w:t>
      </w:r>
      <w:r w:rsidR="00677197">
        <w:t xml:space="preserve"> T</w:t>
      </w:r>
      <w:r w:rsidRPr="00677197" w:rsidR="00677197">
        <w:t xml:space="preserve">he call goes through to </w:t>
      </w:r>
      <w:r w:rsidR="00677197">
        <w:t>the subscriber’s</w:t>
      </w:r>
      <w:r w:rsidRPr="00677197" w:rsidR="00677197">
        <w:t xml:space="preserve"> number</w:t>
      </w:r>
      <w:r w:rsidR="00677197">
        <w:t xml:space="preserve"> if it</w:t>
      </w:r>
      <w:r w:rsidR="0066620A">
        <w:t xml:space="preserve"> i</w:t>
      </w:r>
      <w:r w:rsidR="00677197">
        <w:t>s a legitimate call.</w:t>
      </w:r>
      <w:r>
        <w:rPr>
          <w:rStyle w:val="FootnoteReference"/>
        </w:rPr>
        <w:footnoteReference w:id="232"/>
      </w:r>
      <w:r w:rsidRPr="00677197" w:rsidR="00677197">
        <w:t xml:space="preserve"> </w:t>
      </w:r>
      <w:r w:rsidR="007D0129">
        <w:t xml:space="preserve"> </w:t>
      </w:r>
      <w:r w:rsidRPr="00677197" w:rsidR="00677197">
        <w:t xml:space="preserve">If the </w:t>
      </w:r>
      <w:r w:rsidRPr="00677197" w:rsidR="00677197">
        <w:t>call is an illegal robocall, Nomorobo intercepts the call and hangs up.</w:t>
      </w:r>
      <w:r>
        <w:rPr>
          <w:rStyle w:val="FootnoteReference"/>
        </w:rPr>
        <w:footnoteReference w:id="233"/>
      </w:r>
      <w:r w:rsidR="00677197">
        <w:t xml:space="preserve">  </w:t>
      </w:r>
      <w:r w:rsidRPr="00677197">
        <w:t>Nomorobo stopped over 512 million robocalls in 2019.</w:t>
      </w:r>
      <w:r>
        <w:rPr>
          <w:rStyle w:val="FootnoteReference"/>
        </w:rPr>
        <w:footnoteReference w:id="234"/>
      </w:r>
      <w:r w:rsidRPr="00677197">
        <w:t xml:space="preserve">  No</w:t>
      </w:r>
      <w:r>
        <w:t xml:space="preserve">morobo estimates that </w:t>
      </w:r>
      <w:r w:rsidR="00B54990">
        <w:t xml:space="preserve">approximately </w:t>
      </w:r>
      <w:r>
        <w:t>36% of all calls were robocalls in 2019, down from 41% in 2018.</w:t>
      </w:r>
      <w:r>
        <w:rPr>
          <w:rStyle w:val="FootnoteReference"/>
        </w:rPr>
        <w:footnoteReference w:id="235"/>
      </w:r>
      <w:r>
        <w:t xml:space="preserve">  According to Nomorobo, the reduction in robocalls from 2018 to 2019 was due to the FTC’s enforcement actions against </w:t>
      </w:r>
      <w:r>
        <w:t>robocallers</w:t>
      </w:r>
      <w:r>
        <w:t>, retailers helping prevent victims from buying gift cards for scammers, and</w:t>
      </w:r>
      <w:r w:rsidR="002E0B0F">
        <w:t xml:space="preserve"> widespread adoption of</w:t>
      </w:r>
      <w:r>
        <w:t xml:space="preserve"> robocall blocking tools.</w:t>
      </w:r>
      <w:r>
        <w:rPr>
          <w:rStyle w:val="FootnoteReference"/>
        </w:rPr>
        <w:footnoteReference w:id="236"/>
      </w:r>
      <w:r>
        <w:t xml:space="preserve">  </w:t>
      </w:r>
    </w:p>
    <w:p w:rsidR="00C2761F" w:rsidP="00C068E9" w14:paraId="7327F4FE" w14:textId="56B466F8">
      <w:pPr>
        <w:pStyle w:val="ParaNum"/>
      </w:pPr>
      <w:r>
        <w:t>Nomorobo offers free robocall blocking for</w:t>
      </w:r>
      <w:r w:rsidR="00060417">
        <w:t xml:space="preserve"> VoIP</w:t>
      </w:r>
      <w:r>
        <w:t xml:space="preserve"> landlines and charges $1.99 per month for robocall blocking for mobile phones.</w:t>
      </w:r>
      <w:r>
        <w:rPr>
          <w:rStyle w:val="FootnoteReference"/>
        </w:rPr>
        <w:footnoteReference w:id="237"/>
      </w:r>
      <w:r>
        <w:t xml:space="preserve">  For </w:t>
      </w:r>
      <w:r w:rsidR="00060417">
        <w:t xml:space="preserve">VoIP </w:t>
      </w:r>
      <w:r>
        <w:t>landline customers, blocked callers receive a call intercept message.</w:t>
      </w:r>
      <w:r>
        <w:rPr>
          <w:rStyle w:val="FootnoteReference"/>
        </w:rPr>
        <w:footnoteReference w:id="238"/>
      </w:r>
      <w:r>
        <w:t xml:space="preserve">  Wireless customers’ blocked calls go directly to voicemail.</w:t>
      </w:r>
      <w:r>
        <w:rPr>
          <w:rStyle w:val="FootnoteReference"/>
        </w:rPr>
        <w:footnoteReference w:id="239"/>
      </w:r>
      <w:r>
        <w:t xml:space="preserve">  Nomorobo provides instructions for its customers to correct erroneous blocking.</w:t>
      </w:r>
      <w:r>
        <w:rPr>
          <w:rStyle w:val="FootnoteReference"/>
        </w:rPr>
        <w:footnoteReference w:id="240"/>
      </w:r>
      <w:r>
        <w:t xml:space="preserve">  Nomorobo states that as of </w:t>
      </w:r>
      <w:r w:rsidR="00A6285B">
        <w:t>April 30</w:t>
      </w:r>
      <w:r>
        <w:t>, 2020, its call blocking offering had stopped 1,</w:t>
      </w:r>
      <w:r w:rsidR="00A6285B">
        <w:t>601,173,021</w:t>
      </w:r>
      <w:r>
        <w:t xml:space="preserve"> robocalls.</w:t>
      </w:r>
      <w:r>
        <w:rPr>
          <w:rStyle w:val="FootnoteReference"/>
        </w:rPr>
        <w:footnoteReference w:id="241"/>
      </w:r>
    </w:p>
    <w:p w:rsidR="009A335A" w:rsidP="005444D1" w14:paraId="18BEAF90" w14:textId="72FAB0A6">
      <w:pPr>
        <w:pStyle w:val="ParaNum"/>
      </w:pPr>
      <w:r>
        <w:rPr>
          <w:i/>
          <w:iCs/>
        </w:rPr>
        <w:t>RoboKiller</w:t>
      </w:r>
      <w:r>
        <w:rPr>
          <w:i/>
          <w:iCs/>
        </w:rPr>
        <w:t xml:space="preserve">.  </w:t>
      </w:r>
      <w:r>
        <w:t>RoboKiller</w:t>
      </w:r>
      <w:r>
        <w:t xml:space="preserve">, a robocall-blocking app for mobile phones from </w:t>
      </w:r>
      <w:r>
        <w:t>TelTech</w:t>
      </w:r>
      <w:r>
        <w:t xml:space="preserve">, estimates that </w:t>
      </w:r>
      <w:r w:rsidR="005C7C1C">
        <w:t>3.02</w:t>
      </w:r>
      <w:r>
        <w:t xml:space="preserve"> billion robocalls were made in </w:t>
      </w:r>
      <w:r w:rsidR="005C7C1C">
        <w:t>May 2020</w:t>
      </w:r>
      <w:r>
        <w:t>.</w:t>
      </w:r>
      <w:r>
        <w:rPr>
          <w:rStyle w:val="FootnoteReference"/>
        </w:rPr>
        <w:footnoteReference w:id="242"/>
      </w:r>
      <w:r>
        <w:t xml:space="preserve">  </w:t>
      </w:r>
      <w:r>
        <w:t>RoboKiller</w:t>
      </w:r>
      <w:r>
        <w:t xml:space="preserve"> uses an algorithm based on audio-fingerprinting, audio analysis, machine learning, and user feedback, which it states is more effective than a caller-ID-based solution.</w:t>
      </w:r>
      <w:r>
        <w:rPr>
          <w:rStyle w:val="FootnoteReference"/>
        </w:rPr>
        <w:footnoteReference w:id="243"/>
      </w:r>
      <w:r w:rsidRPr="00106DC9">
        <w:t xml:space="preserve"> </w:t>
      </w:r>
      <w:r>
        <w:t xml:space="preserve"> </w:t>
      </w:r>
      <w:r w:rsidRPr="00106DC9">
        <w:t>Teltech</w:t>
      </w:r>
      <w:r w:rsidR="00960925">
        <w:t>’</w:t>
      </w:r>
      <w:r w:rsidRPr="00106DC9">
        <w:t>s</w:t>
      </w:r>
      <w:r w:rsidRPr="00106DC9">
        <w:t xml:space="preserve"> </w:t>
      </w:r>
      <w:r w:rsidRPr="00106DC9">
        <w:t>RoboKiller</w:t>
      </w:r>
      <w:r w:rsidRPr="00106DC9">
        <w:t xml:space="preserve"> app automatically blocks spam calls and prevents them from ringing</w:t>
      </w:r>
      <w:r w:rsidR="00D84183">
        <w:t xml:space="preserve"> on the called parties’ phone</w:t>
      </w:r>
      <w:r w:rsidRPr="00106DC9">
        <w:t>, even if the number is spoofed.</w:t>
      </w:r>
      <w:r>
        <w:rPr>
          <w:rStyle w:val="FootnoteReference"/>
        </w:rPr>
        <w:footnoteReference w:id="244"/>
      </w:r>
    </w:p>
    <w:p w:rsidR="00BE7C15" w:rsidP="005444D1" w14:paraId="4B0EDBD1" w14:textId="50F8918C">
      <w:pPr>
        <w:pStyle w:val="ParaNum"/>
      </w:pPr>
      <w:r w:rsidRPr="00EF0982">
        <w:rPr>
          <w:i/>
          <w:iCs/>
        </w:rPr>
        <w:t xml:space="preserve">TNS.  </w:t>
      </w:r>
      <w:r>
        <w:t>TNS offers a robocall detection service, Call Guardian.</w:t>
      </w:r>
      <w:r>
        <w:rPr>
          <w:rStyle w:val="FootnoteReference"/>
        </w:rPr>
        <w:footnoteReference w:id="245"/>
      </w:r>
      <w:r>
        <w:t xml:space="preserve">  Call Guardian is available to wireless, VoIP, and landline service providers.</w:t>
      </w:r>
      <w:r>
        <w:rPr>
          <w:rStyle w:val="FootnoteReference"/>
        </w:rPr>
        <w:footnoteReference w:id="246"/>
      </w:r>
      <w:r>
        <w:t xml:space="preserve">  For the first half of 2019, Call Guardian scored 30% of calls as high-risk or nuisance calls, which is approximately 200 million unwanted or illegal calls per day.</w:t>
      </w:r>
      <w:r>
        <w:rPr>
          <w:rStyle w:val="FootnoteReference"/>
        </w:rPr>
        <w:footnoteReference w:id="247"/>
      </w:r>
      <w:r>
        <w:t xml:space="preserve">  Over half of those calls, approximately 100 million per day, were fraudulent or scam-related.</w:t>
      </w:r>
      <w:r>
        <w:rPr>
          <w:rStyle w:val="FootnoteReference"/>
        </w:rPr>
        <w:footnoteReference w:id="248"/>
      </w:r>
      <w:r>
        <w:t xml:space="preserve">  For 2019, unwanted calls, including nuisance, spam, and fraudulent calls, increased by 49% to 106.8 billion calls.</w:t>
      </w:r>
      <w:r>
        <w:rPr>
          <w:rStyle w:val="FootnoteReference"/>
        </w:rPr>
        <w:footnoteReference w:id="249"/>
      </w:r>
      <w:r>
        <w:t xml:space="preserve">  TNS stated that only 12% of negatively scored calls originated with numbers associated with Tier 1 carriers, although those carriers originate over 70% of all calls.</w:t>
      </w:r>
      <w:r>
        <w:rPr>
          <w:rStyle w:val="FootnoteReference"/>
        </w:rPr>
        <w:footnoteReference w:id="250"/>
      </w:r>
      <w:r w:rsidRPr="00C86DE0">
        <w:t xml:space="preserve"> </w:t>
      </w:r>
      <w:r>
        <w:t xml:space="preserve"> TNS estimates that high risk calls from toll-free numbers increased 22% from the first quarter of 2019 to the second quarter of 2019.</w:t>
      </w:r>
      <w:r w:rsidRPr="00860CE0">
        <w:rPr>
          <w:rStyle w:val="FootnoteReference"/>
        </w:rPr>
        <w:t xml:space="preserve"> </w:t>
      </w:r>
      <w:r>
        <w:rPr>
          <w:rStyle w:val="FootnoteReference"/>
        </w:rPr>
        <w:footnoteReference w:id="251"/>
      </w:r>
      <w:r>
        <w:t xml:space="preserve">  In addition, neighbor spoofing</w:t>
      </w:r>
      <w:r w:rsidR="002F09ED">
        <w:t>, i.e., using a spoofed number that appears to be local to the called party,</w:t>
      </w:r>
      <w:r>
        <w:t xml:space="preserve"> and snowshoe sp</w:t>
      </w:r>
      <w:r w:rsidR="003B1A9D">
        <w:t>oofing</w:t>
      </w:r>
      <w:r>
        <w:rPr>
          <w:rStyle w:val="FootnoteReference"/>
        </w:rPr>
        <w:footnoteReference w:id="252"/>
      </w:r>
      <w:r w:rsidR="002142DF">
        <w:t xml:space="preserve"> </w:t>
      </w:r>
      <w:r>
        <w:t xml:space="preserve">have increased. </w:t>
      </w:r>
      <w:r w:rsidR="00960925">
        <w:t xml:space="preserve"> </w:t>
      </w:r>
      <w:r>
        <w:t>TNS has also seen an increase in the instances where a bad actor spoofs the toll-free and local numbers of major corporations.</w:t>
      </w:r>
      <w:r>
        <w:rPr>
          <w:rStyle w:val="FootnoteReference"/>
        </w:rPr>
        <w:footnoteReference w:id="253"/>
      </w:r>
      <w:r w:rsidRPr="008D4B1C">
        <w:t xml:space="preserve"> </w:t>
      </w:r>
      <w:r>
        <w:t xml:space="preserve"> TNS’s service, offered to various voice service providers, such as Verizon, Sprint, and US Cellular, is deployed at the network level, with options to </w:t>
      </w:r>
      <w:r w:rsidR="00C2761F">
        <w:t xml:space="preserve">either </w:t>
      </w:r>
      <w:r>
        <w:t xml:space="preserve">block at the network level, send the call directly to </w:t>
      </w:r>
      <w:r w:rsidR="00C2761F">
        <w:t xml:space="preserve">the consumer’s </w:t>
      </w:r>
      <w:r>
        <w:t xml:space="preserve">voicemail, or </w:t>
      </w:r>
      <w:r w:rsidR="00C2761F">
        <w:t xml:space="preserve">to </w:t>
      </w:r>
      <w:r>
        <w:t xml:space="preserve">deliver the call </w:t>
      </w:r>
      <w:r w:rsidR="00C2761F">
        <w:t xml:space="preserve">to the consumer </w:t>
      </w:r>
      <w:r>
        <w:t>with a label.</w:t>
      </w:r>
      <w:r>
        <w:rPr>
          <w:rStyle w:val="FootnoteReference"/>
        </w:rPr>
        <w:footnoteReference w:id="254"/>
      </w:r>
      <w:r>
        <w:t xml:space="preserve">  </w:t>
      </w:r>
      <w:r>
        <w:t>Cequint</w:t>
      </w:r>
      <w:r>
        <w:t>, a subsidiary of TNS, offers an app for mobile devices that provides additional labeling information, including a risk meter, intent of caller, and name of caller.</w:t>
      </w:r>
      <w:r>
        <w:rPr>
          <w:rStyle w:val="FootnoteReference"/>
        </w:rPr>
        <w:footnoteReference w:id="255"/>
      </w:r>
      <w:r>
        <w:t xml:space="preserve">  According to a survey done by TNS, 78% of respondents wanted to only automatically block scam/fraud calls and 69% of respondents would rather have nuisance calls sent to voicemail instead of blocked.</w:t>
      </w:r>
      <w:r>
        <w:rPr>
          <w:rStyle w:val="FootnoteReference"/>
        </w:rPr>
        <w:footnoteReference w:id="256"/>
      </w:r>
      <w:r>
        <w:t xml:space="preserve">  Over half, 54%, preferred to screen their own calls.</w:t>
      </w:r>
      <w:r>
        <w:rPr>
          <w:rStyle w:val="FootnoteReference"/>
        </w:rPr>
        <w:footnoteReference w:id="257"/>
      </w:r>
    </w:p>
    <w:p w:rsidR="00074251" w:rsidP="00C068E9" w14:paraId="7C2293D8" w14:textId="24E583F7">
      <w:pPr>
        <w:pStyle w:val="ParaNum"/>
      </w:pPr>
      <w:r>
        <w:rPr>
          <w:i/>
          <w:iCs/>
        </w:rPr>
        <w:t>TransNexus</w:t>
      </w:r>
      <w:r>
        <w:rPr>
          <w:i/>
          <w:iCs/>
        </w:rPr>
        <w:t xml:space="preserve">.  </w:t>
      </w:r>
      <w:r>
        <w:t>TransNexus</w:t>
      </w:r>
      <w:r>
        <w:t xml:space="preserve"> provides software to perform call analytics to identify and prevent unwanted robocalls.</w:t>
      </w:r>
      <w:r>
        <w:rPr>
          <w:rStyle w:val="FootnoteReference"/>
        </w:rPr>
        <w:footnoteReference w:id="258"/>
      </w:r>
      <w:r>
        <w:t xml:space="preserve">  The software products analyze traffic to monitor call activity and block or divert suspicious calls.</w:t>
      </w:r>
      <w:r w:rsidRPr="00074251">
        <w:rPr>
          <w:rStyle w:val="FootnoteReference"/>
        </w:rPr>
        <w:t xml:space="preserve"> </w:t>
      </w:r>
      <w:r>
        <w:rPr>
          <w:rStyle w:val="FootnoteReference"/>
        </w:rPr>
        <w:footnoteReference w:id="259"/>
      </w:r>
      <w:r>
        <w:t xml:space="preserve">  The </w:t>
      </w:r>
      <w:r>
        <w:t>TransNexus</w:t>
      </w:r>
      <w:r>
        <w:t xml:space="preserve"> software also provides a reputational service to look up the reputation of the calling party and, if the reputation score exceeds a threshold, block or divert the call.</w:t>
      </w:r>
      <w:r w:rsidRPr="00074251">
        <w:rPr>
          <w:rStyle w:val="FootnoteReference"/>
        </w:rPr>
        <w:t xml:space="preserve"> </w:t>
      </w:r>
      <w:r>
        <w:rPr>
          <w:rStyle w:val="FootnoteReference"/>
        </w:rPr>
        <w:footnoteReference w:id="260"/>
      </w:r>
      <w:r>
        <w:t xml:space="preserve">  The software can </w:t>
      </w:r>
      <w:r w:rsidR="00FC0B50">
        <w:t xml:space="preserve">also </w:t>
      </w:r>
      <w:r>
        <w:t>blacklist callers and shield consumers from calls from high risk numbers.</w:t>
      </w:r>
      <w:r>
        <w:rPr>
          <w:rStyle w:val="FootnoteReference"/>
        </w:rPr>
        <w:footnoteReference w:id="261"/>
      </w:r>
      <w:r>
        <w:t xml:space="preserve">  The </w:t>
      </w:r>
      <w:r>
        <w:t>TransNexus</w:t>
      </w:r>
      <w:r>
        <w:t xml:space="preserve"> software uses STIR/SHAKEN to help with caller ID authentication.</w:t>
      </w:r>
      <w:r>
        <w:rPr>
          <w:rStyle w:val="FootnoteReference"/>
        </w:rPr>
        <w:footnoteReference w:id="262"/>
      </w:r>
      <w:r>
        <w:t xml:space="preserve">  Services can be opt-in or opt-out; e.g., blacklisting</w:t>
      </w:r>
      <w:r w:rsidR="00117C5F">
        <w:t xml:space="preserve">, i.e., blocking numbers from a list of known </w:t>
      </w:r>
      <w:r w:rsidR="00117C5F">
        <w:t>robocallers</w:t>
      </w:r>
      <w:r w:rsidR="00117C5F">
        <w:t>,</w:t>
      </w:r>
      <w:r>
        <w:t xml:space="preserve"> is generally opt-out and blocking calls with a poor reputation would </w:t>
      </w:r>
      <w:r w:rsidR="005C395E">
        <w:t xml:space="preserve">generally </w:t>
      </w:r>
      <w:r>
        <w:t>be opt-in.</w:t>
      </w:r>
      <w:r>
        <w:rPr>
          <w:rStyle w:val="FootnoteReference"/>
        </w:rPr>
        <w:footnoteReference w:id="263"/>
      </w:r>
    </w:p>
    <w:p w:rsidR="00023335" w:rsidP="00A27A2E" w14:paraId="207C0361" w14:textId="6660A7FF">
      <w:pPr>
        <w:pStyle w:val="ParaNum"/>
      </w:pPr>
      <w:r>
        <w:rPr>
          <w:i/>
          <w:iCs/>
        </w:rPr>
        <w:t>YouMail</w:t>
      </w:r>
      <w:r>
        <w:rPr>
          <w:i/>
          <w:iCs/>
        </w:rPr>
        <w:t xml:space="preserve">.  </w:t>
      </w:r>
      <w:r w:rsidR="005D5CCC">
        <w:t>YouMail</w:t>
      </w:r>
      <w:r w:rsidR="005D5CCC">
        <w:t xml:space="preserve"> offers call blocking for mobile and landline users based on a rating system, and has a robocall index of nationwide robocall data, per month, on its website.</w:t>
      </w:r>
      <w:r>
        <w:rPr>
          <w:rStyle w:val="FootnoteReference"/>
        </w:rPr>
        <w:footnoteReference w:id="264"/>
      </w:r>
      <w:r w:rsidR="005D5CCC">
        <w:t xml:space="preserve">  </w:t>
      </w:r>
      <w:r w:rsidR="005D5CCC">
        <w:t>YouMail</w:t>
      </w:r>
      <w:r w:rsidR="005D5CCC">
        <w:t xml:space="preserve"> estimates that Americans received 58.5 billion robocalls in 2019.</w:t>
      </w:r>
      <w:r>
        <w:rPr>
          <w:rStyle w:val="FootnoteReference"/>
        </w:rPr>
        <w:footnoteReference w:id="265"/>
      </w:r>
      <w:r w:rsidR="005D5CCC">
        <w:t xml:space="preserve">  According to </w:t>
      </w:r>
      <w:r w:rsidR="005D5CCC">
        <w:t>YouMail</w:t>
      </w:r>
      <w:r w:rsidR="005D5CCC">
        <w:t xml:space="preserve">, in December 2019, 4.6 billion robocalls were </w:t>
      </w:r>
      <w:r w:rsidR="00B44D4A">
        <w:t xml:space="preserve">made </w:t>
      </w:r>
      <w:r w:rsidR="005D5CCC">
        <w:t xml:space="preserve">nationwide; 26.2 million robocalls were </w:t>
      </w:r>
      <w:r w:rsidR="00B44D4A">
        <w:t>made to</w:t>
      </w:r>
      <w:r w:rsidR="005D5CCC">
        <w:t xml:space="preserve"> Washington</w:t>
      </w:r>
      <w:r w:rsidR="002142DF">
        <w:t>,</w:t>
      </w:r>
      <w:r w:rsidR="005D5CCC">
        <w:t xml:space="preserve"> D</w:t>
      </w:r>
      <w:r w:rsidR="002142DF">
        <w:t>.</w:t>
      </w:r>
      <w:r w:rsidR="005D5CCC">
        <w:t>C</w:t>
      </w:r>
      <w:r w:rsidR="002142DF">
        <w:t>.</w:t>
      </w:r>
      <w:r w:rsidR="005D5CCC">
        <w:t>; 144.</w:t>
      </w:r>
      <w:r w:rsidR="00C90E8F">
        <w:t>6</w:t>
      </w:r>
      <w:r w:rsidR="005D5CCC">
        <w:t xml:space="preserve"> million </w:t>
      </w:r>
      <w:r w:rsidR="00734388">
        <w:t>robo</w:t>
      </w:r>
      <w:r w:rsidR="005D5CCC">
        <w:t xml:space="preserve">calls were </w:t>
      </w:r>
      <w:r w:rsidR="00B44D4A">
        <w:t>made to</w:t>
      </w:r>
      <w:r w:rsidR="005D5CCC">
        <w:t xml:space="preserve"> New York City; and 138.</w:t>
      </w:r>
      <w:r w:rsidR="00C90E8F">
        <w:t>7</w:t>
      </w:r>
      <w:r w:rsidR="005D5CCC">
        <w:t xml:space="preserve"> million </w:t>
      </w:r>
      <w:r w:rsidR="00734388">
        <w:t>robo</w:t>
      </w:r>
      <w:r w:rsidR="005D5CCC">
        <w:t xml:space="preserve">calls were </w:t>
      </w:r>
      <w:r w:rsidR="00B44D4A">
        <w:t>made to</w:t>
      </w:r>
      <w:r w:rsidR="005D5CCC">
        <w:t xml:space="preserve"> Los Angeles.</w:t>
      </w:r>
      <w:r>
        <w:rPr>
          <w:rStyle w:val="FootnoteReference"/>
        </w:rPr>
        <w:footnoteReference w:id="266"/>
      </w:r>
      <w:r w:rsidR="005D5CCC">
        <w:t xml:space="preserve">  </w:t>
      </w:r>
      <w:r w:rsidR="005D5CCC">
        <w:t>YouMail</w:t>
      </w:r>
      <w:r w:rsidR="005D5CCC">
        <w:t xml:space="preserve"> also breaks down the robocalls by telephone number used, place of origin, carrier, </w:t>
      </w:r>
      <w:r w:rsidR="00734388">
        <w:t>c</w:t>
      </w:r>
      <w:r w:rsidR="005D5CCC">
        <w:t>aller ID used, and type of caller.</w:t>
      </w:r>
      <w:r>
        <w:rPr>
          <w:rStyle w:val="FootnoteReference"/>
        </w:rPr>
        <w:footnoteReference w:id="267"/>
      </w:r>
      <w:r w:rsidR="005D5CCC">
        <w:t xml:space="preserve">  </w:t>
      </w:r>
    </w:p>
    <w:p w:rsidR="00296830" w:rsidP="00296830" w14:paraId="1BEB16DC" w14:textId="3F6FC023">
      <w:pPr>
        <w:pStyle w:val="Heading3"/>
      </w:pPr>
      <w:r>
        <w:t>Device manufacturers</w:t>
      </w:r>
      <w:r w:rsidR="00ED2817">
        <w:t>’</w:t>
      </w:r>
      <w:r>
        <w:t xml:space="preserve"> blocking services</w:t>
      </w:r>
    </w:p>
    <w:p w:rsidR="00296830" w:rsidP="00296830" w14:paraId="27C0AD3C" w14:textId="797BAC03">
      <w:pPr>
        <w:pStyle w:val="ParaNum"/>
      </w:pPr>
      <w:r w:rsidRPr="00E83D91">
        <w:rPr>
          <w:i/>
          <w:iCs/>
        </w:rPr>
        <w:t>Apple</w:t>
      </w:r>
      <w:r>
        <w:t>.  Device manufacturer Apple’s iPhones have an opt-in “Silence Unknown Callers” feature that blocks phone numbers that are not saved in the user’s contacts and that the user has not previously contacted.</w:t>
      </w:r>
      <w:r>
        <w:rPr>
          <w:rStyle w:val="FootnoteReference"/>
        </w:rPr>
        <w:footnoteReference w:id="268"/>
      </w:r>
      <w:r>
        <w:t xml:space="preserve">  The blocked call will appear in the recent calls list, but the user will not be notified when the call is made.</w:t>
      </w:r>
    </w:p>
    <w:p w:rsidR="00296830" w:rsidP="008E6E73" w14:paraId="353FE761" w14:textId="37A1E579">
      <w:pPr>
        <w:pStyle w:val="ParaNum"/>
        <w:widowControl/>
      </w:pPr>
      <w:r>
        <w:rPr>
          <w:i/>
          <w:iCs/>
        </w:rPr>
        <w:t xml:space="preserve">Google.  </w:t>
      </w:r>
      <w:r>
        <w:t xml:space="preserve">Google Pixel phones have a </w:t>
      </w:r>
      <w:r w:rsidR="00ED2817">
        <w:t>“</w:t>
      </w:r>
      <w:r>
        <w:t>Call Screen</w:t>
      </w:r>
      <w:r w:rsidR="00ED2817">
        <w:t>”</w:t>
      </w:r>
      <w:r>
        <w:t xml:space="preserve"> feature, which gives users the option to have the operating system ask who is calling and why, and see a real-time transcript of the caller’s response, before deciding whether to take the call.</w:t>
      </w:r>
      <w:r>
        <w:rPr>
          <w:rStyle w:val="FootnoteReference"/>
        </w:rPr>
        <w:footnoteReference w:id="269"/>
      </w:r>
      <w:r w:rsidRPr="0078281B" w:rsidR="006A65C5">
        <w:t xml:space="preserve">  </w:t>
      </w:r>
      <w:r>
        <w:t>Google offers several free, opt-in, call</w:t>
      </w:r>
      <w:r w:rsidR="00ED2817">
        <w:t>-</w:t>
      </w:r>
      <w:r>
        <w:t>blocking tools, such as the Phone App for Android, which provides visual warnings about a potential spam caller, enables users to block specific numbers, and allows users to report spam callers.</w:t>
      </w:r>
      <w:r>
        <w:rPr>
          <w:rStyle w:val="FootnoteReference"/>
        </w:rPr>
        <w:footnoteReference w:id="270"/>
      </w:r>
      <w:r>
        <w:t xml:space="preserve">  Users can block unwanted calls and have them sent directly to voicemail.</w:t>
      </w:r>
      <w:r>
        <w:rPr>
          <w:rStyle w:val="FootnoteReference"/>
        </w:rPr>
        <w:footnoteReference w:id="271"/>
      </w:r>
      <w:r>
        <w:t xml:space="preserve">  This builds on an existing “suspected spam </w:t>
      </w:r>
      <w:r>
        <w:t>caller” warning feature within Android operating systems.</w:t>
      </w:r>
      <w:r>
        <w:rPr>
          <w:rStyle w:val="FootnoteReference"/>
        </w:rPr>
        <w:footnoteReference w:id="272"/>
      </w:r>
      <w:r>
        <w:t xml:space="preserve">  Google Voice users can also use a call management </w:t>
      </w:r>
      <w:r w:rsidR="005168B4">
        <w:t>tool</w:t>
      </w:r>
      <w:r>
        <w:t xml:space="preserve"> to block unwanted calls.</w:t>
      </w:r>
      <w:r>
        <w:rPr>
          <w:rStyle w:val="FootnoteReference"/>
        </w:rPr>
        <w:footnoteReference w:id="273"/>
      </w:r>
      <w:r>
        <w:t xml:space="preserve">  </w:t>
      </w:r>
    </w:p>
    <w:p w:rsidR="00032A7D" w:rsidP="006A65C5" w14:paraId="58ED1963" w14:textId="2DFA3507">
      <w:pPr>
        <w:pStyle w:val="ParaNum"/>
      </w:pPr>
      <w:r>
        <w:rPr>
          <w:i/>
          <w:iCs/>
        </w:rPr>
        <w:t xml:space="preserve">Samsung.  </w:t>
      </w:r>
      <w:r>
        <w:t>Samsung partner</w:t>
      </w:r>
      <w:r w:rsidR="00724D5F">
        <w:t>s</w:t>
      </w:r>
      <w:r>
        <w:t xml:space="preserve"> with Hiya to offer a call</w:t>
      </w:r>
      <w:r w:rsidR="003A36E6">
        <w:t>-</w:t>
      </w:r>
      <w:r>
        <w:t>blocking solution called Smart Call.</w:t>
      </w:r>
      <w:r>
        <w:rPr>
          <w:rStyle w:val="FootnoteReference"/>
        </w:rPr>
        <w:footnoteReference w:id="274"/>
      </w:r>
      <w:r w:rsidR="00091934">
        <w:t xml:space="preserve">  This service label</w:t>
      </w:r>
      <w:r w:rsidR="00525EAD">
        <w:t>s</w:t>
      </w:r>
      <w:r w:rsidR="00091934">
        <w:t xml:space="preserve"> potentially unwanted calls so the called party can block the call and report it as spam.</w:t>
      </w:r>
    </w:p>
    <w:p w:rsidR="000701A8" w:rsidP="000701A8" w14:paraId="53335B22" w14:textId="77777777">
      <w:pPr>
        <w:pStyle w:val="Heading2"/>
      </w:pPr>
      <w:r>
        <w:t>Assessment of the Number of Subscribers Availing Themselves of Available Call-Blocking Tools</w:t>
      </w:r>
    </w:p>
    <w:p w:rsidR="000701A8" w:rsidP="000701A8" w14:paraId="743C0E13" w14:textId="5A6C9888">
      <w:pPr>
        <w:pStyle w:val="ParaNum"/>
      </w:pPr>
      <w:r>
        <w:t>Most of the larger voice service providers offer default network-based blocking to block apparently fraudulent calls.  In addition to network-based blocking, voice service providers offer other blocking and labeling options, consumers can subscribe directly to services from third-party analytics companies, and some blocking options are installed by the manufacturer on consumer</w:t>
      </w:r>
      <w:r w:rsidR="00086FE1">
        <w:t>s</w:t>
      </w:r>
      <w:r>
        <w:t xml:space="preserve">’ devices.  </w:t>
      </w:r>
    </w:p>
    <w:p w:rsidR="000701A8" w:rsidRPr="00296830" w:rsidP="000F45B3" w14:paraId="076BF219" w14:textId="132471C0">
      <w:pPr>
        <w:pStyle w:val="ParaNum"/>
      </w:pPr>
      <w:r>
        <w:t xml:space="preserve">Commenters have not provided estimates of the number of subscribers using such </w:t>
      </w:r>
      <w:r w:rsidR="00086FE1">
        <w:t>call-</w:t>
      </w:r>
      <w:r>
        <w:t>blocking tools.  Commenters have, however, provided general estimates of the number of blocked calls.  For example, AT&amp;T estimates that it has blocked almost six billion calls through its network-based default blocking since 2016.</w:t>
      </w:r>
      <w:r>
        <w:rPr>
          <w:rStyle w:val="FootnoteReference"/>
        </w:rPr>
        <w:footnoteReference w:id="275"/>
      </w:r>
      <w:r>
        <w:t xml:space="preserve">  In addition to default network blocking, AT&amp;T has blocked or labeled nearly 1.3 billion suspected fraud calls and over three billion other calls since 2016, through AT&amp;T Call Protect.</w:t>
      </w:r>
      <w:r>
        <w:rPr>
          <w:rStyle w:val="FootnoteReference"/>
        </w:rPr>
        <w:footnoteReference w:id="276"/>
      </w:r>
      <w:r>
        <w:t xml:space="preserve">  Verizon estimates that it has blocked millions of calls with network-level default blocking.</w:t>
      </w:r>
      <w:r>
        <w:rPr>
          <w:rStyle w:val="FootnoteReference"/>
        </w:rPr>
        <w:footnoteReference w:id="277"/>
      </w:r>
      <w:r>
        <w:t xml:space="preserve">  Comcast estimates that it blocked over 158 million robocall attempts in December 2019.</w:t>
      </w:r>
      <w:r>
        <w:rPr>
          <w:rStyle w:val="FootnoteReference"/>
        </w:rPr>
        <w:footnoteReference w:id="278"/>
      </w:r>
      <w:r>
        <w:t xml:space="preserve">  Third-party analytics companies also offer estimates of the number of calls blocked.  For example, Call Control advertises that it has blocked over one billion calls.</w:t>
      </w:r>
      <w:r>
        <w:rPr>
          <w:rStyle w:val="FootnoteReference"/>
        </w:rPr>
        <w:footnoteReference w:id="279"/>
      </w:r>
      <w:r>
        <w:t xml:space="preserve">  Nomorobo estimates that it blocked over 512 million robocalls in 2019.</w:t>
      </w:r>
      <w:r>
        <w:rPr>
          <w:rStyle w:val="FootnoteReference"/>
        </w:rPr>
        <w:footnoteReference w:id="280"/>
      </w:r>
      <w:r>
        <w:t xml:space="preserve">  Although we do not have enough specific information to conclude how many calls are blocked or labeled, it is clear that voice service providers and analytics companies are blocking and labeling billions of unwanted calls to American consumers each year.</w:t>
      </w:r>
    </w:p>
    <w:p w:rsidR="00593C53" w:rsidP="008D4B1C" w14:paraId="0378AE2D" w14:textId="77777777">
      <w:pPr>
        <w:pStyle w:val="Heading2"/>
      </w:pPr>
      <w:r>
        <w:t>Effectiveness of Call Blocking Tools</w:t>
      </w:r>
    </w:p>
    <w:p w:rsidR="00BE5378" w:rsidRPr="00BE5378" w:rsidP="00BE5378" w14:paraId="47BE9970" w14:textId="17B45FEB">
      <w:pPr>
        <w:pStyle w:val="ParaNum"/>
      </w:pPr>
      <w:r>
        <w:t>Apart from fraudulent calls,</w:t>
      </w:r>
      <w:r w:rsidR="000755A6">
        <w:t xml:space="preserve"> which unquestionably should be blocked, </w:t>
      </w:r>
      <w:r>
        <w:t xml:space="preserve">whether a call should </w:t>
      </w:r>
      <w:r w:rsidR="000755A6">
        <w:t>be</w:t>
      </w:r>
      <w:r>
        <w:t xml:space="preserve"> blocked depends on the consumers’ preferences.</w:t>
      </w:r>
      <w:r w:rsidR="00AB02DC">
        <w:t xml:space="preserve">  For example, some consumers may want all calls</w:t>
      </w:r>
      <w:r w:rsidR="000755A6">
        <w:t>,</w:t>
      </w:r>
      <w:r w:rsidR="00AB02DC">
        <w:t xml:space="preserve"> other than </w:t>
      </w:r>
      <w:r w:rsidR="000755A6">
        <w:t xml:space="preserve">those </w:t>
      </w:r>
      <w:r w:rsidR="00AB02DC">
        <w:t>from their contacts</w:t>
      </w:r>
      <w:r w:rsidR="000755A6">
        <w:t>,</w:t>
      </w:r>
      <w:r w:rsidR="00AB02DC">
        <w:t xml:space="preserve"> </w:t>
      </w:r>
      <w:r w:rsidR="000755A6">
        <w:t>sent to their voicemail</w:t>
      </w:r>
      <w:r w:rsidR="00AB02DC">
        <w:t xml:space="preserve">.  </w:t>
      </w:r>
      <w:r w:rsidR="003835D6">
        <w:t xml:space="preserve">Others may want only fraudulent calls blocked </w:t>
      </w:r>
      <w:r w:rsidR="00D82FC5">
        <w:t>while preferring</w:t>
      </w:r>
      <w:r w:rsidR="003835D6">
        <w:t xml:space="preserve"> to screen </w:t>
      </w:r>
      <w:r w:rsidR="00B134CA">
        <w:t xml:space="preserve">the remaining </w:t>
      </w:r>
      <w:r w:rsidR="003835D6">
        <w:t>calls and choose whether to answer them</w:t>
      </w:r>
      <w:r w:rsidR="00B40D61">
        <w:t xml:space="preserve"> or let them go to voicemail</w:t>
      </w:r>
      <w:r w:rsidR="003835D6">
        <w:t>.</w:t>
      </w:r>
      <w:r w:rsidR="00792FEB">
        <w:t xml:space="preserve">  </w:t>
      </w:r>
      <w:r w:rsidR="00DA23C4">
        <w:t>Voice service providers have described that they have default network-based blocking</w:t>
      </w:r>
      <w:r w:rsidR="00F404D5">
        <w:t xml:space="preserve"> of fraudulent calls</w:t>
      </w:r>
      <w:r w:rsidR="00DA23C4">
        <w:t>.</w:t>
      </w:r>
      <w:r>
        <w:rPr>
          <w:rStyle w:val="FootnoteReference"/>
        </w:rPr>
        <w:footnoteReference w:id="281"/>
      </w:r>
      <w:r w:rsidR="00DA23C4">
        <w:t xml:space="preserve">  In addition, many </w:t>
      </w:r>
      <w:r w:rsidR="00512F10">
        <w:t>voice service providers offer, through third-party analytics companies, call blocking and labeling of suspicious calls.</w:t>
      </w:r>
      <w:r>
        <w:rPr>
          <w:rStyle w:val="FootnoteReference"/>
        </w:rPr>
        <w:footnoteReference w:id="282"/>
      </w:r>
      <w:r w:rsidR="00512F10">
        <w:t xml:space="preserve">  </w:t>
      </w:r>
      <w:r w:rsidR="00792FEB">
        <w:t xml:space="preserve">While it is difficult to evaluate effectiveness, </w:t>
      </w:r>
      <w:r w:rsidR="00512F10">
        <w:t xml:space="preserve">one voice service </w:t>
      </w:r>
      <w:r w:rsidR="00792FEB">
        <w:t>provider</w:t>
      </w:r>
      <w:r w:rsidR="00F404D5">
        <w:t>, AT&amp;T,</w:t>
      </w:r>
      <w:r w:rsidR="00792FEB">
        <w:t xml:space="preserve"> reported that </w:t>
      </w:r>
      <w:r w:rsidR="00512F10">
        <w:t>an additional blocking feature had fewer than 100,000 customers opting</w:t>
      </w:r>
      <w:r w:rsidR="008F51C5">
        <w:t xml:space="preserve"> in</w:t>
      </w:r>
      <w:r w:rsidR="00512F10">
        <w:t xml:space="preserve"> for the direct-to-voicemail feature, and </w:t>
      </w:r>
      <w:r w:rsidR="008F51C5">
        <w:t>a significant number of customers subsequently deactivated the feature</w:t>
      </w:r>
      <w:r w:rsidR="00792FEB">
        <w:t>.</w:t>
      </w:r>
      <w:r>
        <w:rPr>
          <w:rStyle w:val="FootnoteReference"/>
        </w:rPr>
        <w:footnoteReference w:id="283"/>
      </w:r>
      <w:r w:rsidR="00F404D5">
        <w:t xml:space="preserve">  TNS, an analytics company, reports that according to its survey, 78% of respondents wanted to automatically block scam and fraud calls and 69% would rather have nuisance calls sent to voicemail.</w:t>
      </w:r>
      <w:r>
        <w:rPr>
          <w:rStyle w:val="FootnoteReference"/>
        </w:rPr>
        <w:footnoteReference w:id="284"/>
      </w:r>
    </w:p>
    <w:p w:rsidR="003041E6" w:rsidRPr="003041E6" w:rsidP="003041E6" w14:paraId="76113427" w14:textId="782C8C24">
      <w:pPr>
        <w:pStyle w:val="Heading3"/>
      </w:pPr>
      <w:r>
        <w:t>False-</w:t>
      </w:r>
      <w:r>
        <w:t>positive blocks</w:t>
      </w:r>
    </w:p>
    <w:p w:rsidR="00715887" w:rsidP="00715887" w14:paraId="0D0AAD8A" w14:textId="60094686">
      <w:pPr>
        <w:pStyle w:val="ParaNum"/>
      </w:pPr>
      <w:r>
        <w:t>Companies have described a</w:t>
      </w:r>
      <w:r w:rsidR="007B53EB">
        <w:t xml:space="preserve"> </w:t>
      </w:r>
      <w:r w:rsidR="002122E3">
        <w:t>false-</w:t>
      </w:r>
      <w:r w:rsidR="007B53EB">
        <w:t xml:space="preserve">positive block </w:t>
      </w:r>
      <w:r>
        <w:t>a</w:t>
      </w:r>
      <w:r w:rsidR="007B53EB">
        <w:t xml:space="preserve">s when a call is </w:t>
      </w:r>
      <w:r w:rsidR="004207D7">
        <w:t xml:space="preserve">erroneously </w:t>
      </w:r>
      <w:r w:rsidR="007B53EB">
        <w:t>b</w:t>
      </w:r>
      <w:r w:rsidR="004207D7">
        <w:t>locked.</w:t>
      </w:r>
      <w:r w:rsidR="00B622D7">
        <w:t xml:space="preserve">  </w:t>
      </w:r>
      <w:r w:rsidR="00FD6DB6">
        <w:t xml:space="preserve">Voice service providers and </w:t>
      </w:r>
      <w:r w:rsidR="00F05C7A">
        <w:t>third</w:t>
      </w:r>
      <w:r w:rsidR="00A97269">
        <w:t>-</w:t>
      </w:r>
      <w:r w:rsidR="00F05C7A">
        <w:t xml:space="preserve">party </w:t>
      </w:r>
      <w:r w:rsidR="00FD6DB6">
        <w:t xml:space="preserve">analytics companies strive to block unwanted calls with minimal instances of false positives.  </w:t>
      </w:r>
      <w:r w:rsidR="00C97B10">
        <w:t xml:space="preserve">For example, to prevent erroneous blocks, </w:t>
      </w:r>
      <w:r w:rsidR="004B1AD2">
        <w:t>AT&amp;T investigates each number before blocking it at the network level</w:t>
      </w:r>
      <w:r w:rsidR="00C361A4">
        <w:t>.</w:t>
      </w:r>
      <w:r>
        <w:rPr>
          <w:rStyle w:val="FootnoteReference"/>
        </w:rPr>
        <w:footnoteReference w:id="285"/>
      </w:r>
      <w:r w:rsidR="00C361A4">
        <w:t xml:space="preserve"> </w:t>
      </w:r>
      <w:r w:rsidR="001D714F">
        <w:t xml:space="preserve"> </w:t>
      </w:r>
      <w:r w:rsidR="00C361A4">
        <w:t>AT&amp;T uses a team of fraud investigators to target suspected illegal high-volume calling events.</w:t>
      </w:r>
      <w:r>
        <w:rPr>
          <w:rStyle w:val="FootnoteReference"/>
        </w:rPr>
        <w:footnoteReference w:id="286"/>
      </w:r>
      <w:r w:rsidR="00C361A4">
        <w:t xml:space="preserve">  The investigators and network analytics team develop a suspected robocall report, </w:t>
      </w:r>
      <w:r w:rsidR="002F1C38">
        <w:t>which</w:t>
      </w:r>
      <w:r w:rsidR="00C361A4">
        <w:t xml:space="preserve"> is updated on a virtually continuous basis.</w:t>
      </w:r>
      <w:r>
        <w:rPr>
          <w:rStyle w:val="FootnoteReference"/>
        </w:rPr>
        <w:footnoteReference w:id="287"/>
      </w:r>
      <w:r w:rsidR="004B1AD2">
        <w:t xml:space="preserve"> </w:t>
      </w:r>
      <w:r w:rsidR="00C361A4">
        <w:t xml:space="preserve"> This allows AT&amp;T to investigate each suspicious pattern of calls</w:t>
      </w:r>
      <w:r w:rsidR="002F1C38">
        <w:t>;</w:t>
      </w:r>
      <w:r w:rsidR="00C361A4">
        <w:t xml:space="preserve"> the investigation includes calling each suspicious number.</w:t>
      </w:r>
      <w:r>
        <w:rPr>
          <w:rStyle w:val="FootnoteReference"/>
        </w:rPr>
        <w:footnoteReference w:id="288"/>
      </w:r>
      <w:r w:rsidR="00C361A4">
        <w:t xml:space="preserve">  AT&amp;T also </w:t>
      </w:r>
      <w:r w:rsidR="00C97B10">
        <w:t>provides an outgoing message to the blocked caller, with a toll-free number to call.</w:t>
      </w:r>
      <w:r>
        <w:rPr>
          <w:rStyle w:val="FootnoteReference"/>
        </w:rPr>
        <w:footnoteReference w:id="289"/>
      </w:r>
      <w:r w:rsidR="00C97B10">
        <w:t xml:space="preserve">  </w:t>
      </w:r>
      <w:r w:rsidR="00B10739">
        <w:t>Also, many call blocking features send blocked calls directly to voicemail, which allows the c</w:t>
      </w:r>
      <w:r w:rsidR="00B26DF6">
        <w:t>onsumer</w:t>
      </w:r>
      <w:r w:rsidR="00B10739">
        <w:t xml:space="preserve"> to retrieve the message and return the call, if </w:t>
      </w:r>
      <w:r w:rsidR="00D82FC5">
        <w:t>desired</w:t>
      </w:r>
      <w:r w:rsidR="00B10739">
        <w:t xml:space="preserve">. </w:t>
      </w:r>
      <w:r w:rsidR="009A24DB">
        <w:t xml:space="preserve"> </w:t>
      </w:r>
    </w:p>
    <w:p w:rsidR="00BC2C69" w:rsidP="004129DF" w14:paraId="6DB033DD" w14:textId="5EE36FD9">
      <w:pPr>
        <w:pStyle w:val="ParaNum"/>
        <w:widowControl/>
      </w:pPr>
      <w:r>
        <w:t xml:space="preserve">Commenters </w:t>
      </w:r>
      <w:r w:rsidR="00F57476">
        <w:t xml:space="preserve">representing industries </w:t>
      </w:r>
      <w:r>
        <w:t>that make a lot of outbound calls assert that the rate of erroneously blocked calls is much higher than voice service providers indicate.</w:t>
      </w:r>
      <w:r>
        <w:rPr>
          <w:rStyle w:val="FootnoteReference"/>
        </w:rPr>
        <w:footnoteReference w:id="290"/>
      </w:r>
      <w:r>
        <w:t xml:space="preserve">  Part of this </w:t>
      </w:r>
      <w:r w:rsidR="002122E3">
        <w:t>false-</w:t>
      </w:r>
      <w:r>
        <w:t>positive block, however, may result from consumers choosing not to answer calls from numbers they do not recognize and allowing the call to go to voicemail instead, an option offered by voice service providers.</w:t>
      </w:r>
      <w:r>
        <w:rPr>
          <w:rStyle w:val="FootnoteReference"/>
        </w:rPr>
        <w:footnoteReference w:id="291"/>
      </w:r>
      <w:r>
        <w:t xml:space="preserve">  </w:t>
      </w:r>
    </w:p>
    <w:p w:rsidR="00715887" w:rsidP="008E6E73" w14:paraId="1BC28FFC" w14:textId="51967E7A">
      <w:pPr>
        <w:pStyle w:val="ParaNum"/>
        <w:widowControl/>
      </w:pPr>
      <w:r>
        <w:t xml:space="preserve">AT&amp;T estimates that its </w:t>
      </w:r>
      <w:r w:rsidR="00B63265">
        <w:t>false-</w:t>
      </w:r>
      <w:r>
        <w:t>positive rate is far l</w:t>
      </w:r>
      <w:r w:rsidR="00B222A8">
        <w:t>ower</w:t>
      </w:r>
      <w:r>
        <w:t xml:space="preserve"> than one percent.</w:t>
      </w:r>
      <w:r>
        <w:rPr>
          <w:rStyle w:val="FootnoteReference"/>
        </w:rPr>
        <w:footnoteReference w:id="292"/>
      </w:r>
      <w:r>
        <w:t xml:space="preserve"> </w:t>
      </w:r>
      <w:r w:rsidR="00DE240D">
        <w:rPr>
          <w:rStyle w:val="CommentReference"/>
        </w:rPr>
        <w:t xml:space="preserve"> </w:t>
      </w:r>
      <w:r>
        <w:t>TNS contends that only 0.2% of the calls it has rated turned out to be false positives, based on customer feedback.</w:t>
      </w:r>
      <w:r>
        <w:rPr>
          <w:rStyle w:val="FootnoteReference"/>
        </w:rPr>
        <w:footnoteReference w:id="293"/>
      </w:r>
      <w:r w:rsidRPr="00C12673">
        <w:t xml:space="preserve"> </w:t>
      </w:r>
      <w:r>
        <w:t xml:space="preserve"> First Orion estimates that false positives and false negatives </w:t>
      </w:r>
      <w:r w:rsidR="00EA7AB2">
        <w:t>are</w:t>
      </w:r>
      <w:r>
        <w:t xml:space="preserve"> a fraction of </w:t>
      </w:r>
      <w:r w:rsidR="009E2860">
        <w:t>one percent</w:t>
      </w:r>
      <w:r>
        <w:t xml:space="preserve"> of all analyzed calls.</w:t>
      </w:r>
      <w:r>
        <w:rPr>
          <w:rStyle w:val="FootnoteReference"/>
        </w:rPr>
        <w:footnoteReference w:id="294"/>
      </w:r>
      <w:r>
        <w:t xml:space="preserve">  Nomorobo states that its </w:t>
      </w:r>
      <w:r w:rsidR="00B63265">
        <w:t>false-</w:t>
      </w:r>
      <w:r>
        <w:t xml:space="preserve">positive rate for landline calls in January 2020 was 0.21%; in 2019 the </w:t>
      </w:r>
      <w:r w:rsidR="00B63265">
        <w:t>false-</w:t>
      </w:r>
      <w:r>
        <w:t>positive rate ranged from 0.03% (June) to 0.18% (December).</w:t>
      </w:r>
      <w:r>
        <w:rPr>
          <w:rStyle w:val="FootnoteReference"/>
        </w:rPr>
        <w:footnoteReference w:id="295"/>
      </w:r>
      <w:r>
        <w:t xml:space="preserve"> </w:t>
      </w:r>
    </w:p>
    <w:p w:rsidR="008A0D51" w:rsidP="008C6799" w14:paraId="121A8334" w14:textId="1EB4C24B">
      <w:pPr>
        <w:pStyle w:val="ParaNum"/>
      </w:pPr>
      <w:r>
        <w:t xml:space="preserve">Commenters representing industries that make a lot of outbound calls </w:t>
      </w:r>
      <w:r w:rsidR="00FD6DB6">
        <w:t xml:space="preserve">are concerned about what they describe is the number of </w:t>
      </w:r>
      <w:r w:rsidR="00B63265">
        <w:t>false-</w:t>
      </w:r>
      <w:r w:rsidR="00FD6DB6">
        <w:t xml:space="preserve">positive blocks, </w:t>
      </w:r>
      <w:r w:rsidR="00522EE5">
        <w:t xml:space="preserve">or adversely labeled calls, </w:t>
      </w:r>
      <w:r w:rsidR="00FD6DB6">
        <w:t xml:space="preserve">arising from use of </w:t>
      </w:r>
      <w:r w:rsidR="00B63265">
        <w:t>call-</w:t>
      </w:r>
      <w:r w:rsidR="00FD6DB6">
        <w:t>blocking tools.</w:t>
      </w:r>
      <w:r>
        <w:rPr>
          <w:rStyle w:val="FootnoteReference"/>
        </w:rPr>
        <w:footnoteReference w:id="296"/>
      </w:r>
      <w:r w:rsidR="00FD6DB6">
        <w:t xml:space="preserve">  </w:t>
      </w:r>
      <w:r w:rsidR="00B622D7">
        <w:t>Encore contends that in one study, 45% of the calling numbers were labeled severe or high risk, even though all the callers had consent to call the consumers.</w:t>
      </w:r>
      <w:r>
        <w:rPr>
          <w:rStyle w:val="FootnoteReference"/>
        </w:rPr>
        <w:footnoteReference w:id="297"/>
      </w:r>
      <w:r w:rsidR="00B622D7">
        <w:t xml:space="preserve">  </w:t>
      </w:r>
      <w:r w:rsidR="0064090E">
        <w:t xml:space="preserve">According to RTI, the </w:t>
      </w:r>
      <w:r w:rsidR="005A5464">
        <w:t>Commission must address the harm occurring</w:t>
      </w:r>
      <w:r w:rsidR="00555447">
        <w:t xml:space="preserve"> </w:t>
      </w:r>
      <w:r w:rsidR="005A5464">
        <w:t>from over-blocking legitimate calls, including calls from the federal government and its contractors.</w:t>
      </w:r>
      <w:r>
        <w:rPr>
          <w:rStyle w:val="FootnoteReference"/>
        </w:rPr>
        <w:footnoteReference w:id="298"/>
      </w:r>
      <w:r w:rsidR="00976B77">
        <w:t xml:space="preserve">  </w:t>
      </w:r>
      <w:r w:rsidR="009F413F">
        <w:t xml:space="preserve">ACA </w:t>
      </w:r>
      <w:r w:rsidR="00E43B1D">
        <w:t xml:space="preserve">International </w:t>
      </w:r>
      <w:r w:rsidR="009F413F">
        <w:t>contends that in a survey by an independent firm, 21% of lawful calls were blocked</w:t>
      </w:r>
      <w:r w:rsidR="00B646C2">
        <w:t>,</w:t>
      </w:r>
      <w:r w:rsidR="009F413F">
        <w:t xml:space="preserve"> over 25% of calls that were not blocked were labeled,</w:t>
      </w:r>
      <w:r w:rsidR="00B646C2">
        <w:t xml:space="preserve"> </w:t>
      </w:r>
      <w:r w:rsidR="00B63265">
        <w:t xml:space="preserve">and </w:t>
      </w:r>
      <w:r w:rsidR="00B646C2">
        <w:t>of those,</w:t>
      </w:r>
      <w:r w:rsidR="009F413F">
        <w:t xml:space="preserve"> 24% were mislabeled.</w:t>
      </w:r>
      <w:r>
        <w:rPr>
          <w:rStyle w:val="FootnoteReference"/>
        </w:rPr>
        <w:footnoteReference w:id="299"/>
      </w:r>
      <w:r w:rsidR="0000157A">
        <w:t xml:space="preserve">  </w:t>
      </w:r>
      <w:r w:rsidR="008224FD">
        <w:t xml:space="preserve">Although </w:t>
      </w:r>
      <w:r w:rsidR="0000157A">
        <w:t xml:space="preserve">ACA </w:t>
      </w:r>
      <w:r w:rsidR="00E43B1D">
        <w:t xml:space="preserve">International </w:t>
      </w:r>
      <w:r w:rsidR="0000157A">
        <w:t>argues that th</w:t>
      </w:r>
      <w:r w:rsidR="002B6837">
        <w:t xml:space="preserve">is </w:t>
      </w:r>
      <w:r w:rsidR="008224FD">
        <w:t xml:space="preserve">survey </w:t>
      </w:r>
      <w:r w:rsidR="002B6837">
        <w:t>is evidence of erroneous blocking</w:t>
      </w:r>
      <w:r w:rsidR="008224FD">
        <w:t>,</w:t>
      </w:r>
      <w:r w:rsidR="002B6837">
        <w:t xml:space="preserve"> the blocking may have been consistent with consumers</w:t>
      </w:r>
      <w:r w:rsidR="00EE2BB6">
        <w:t xml:space="preserve">’ chosen </w:t>
      </w:r>
      <w:r w:rsidR="00F32DFB">
        <w:t xml:space="preserve">blocking </w:t>
      </w:r>
      <w:r w:rsidR="00EE2BB6">
        <w:t>options</w:t>
      </w:r>
      <w:r w:rsidR="002B6837">
        <w:t>.</w:t>
      </w:r>
      <w:r w:rsidR="008E0956">
        <w:t xml:space="preserve">  ACA </w:t>
      </w:r>
      <w:r w:rsidR="00F50248">
        <w:t xml:space="preserve">International </w:t>
      </w:r>
      <w:r w:rsidR="008E0956">
        <w:t xml:space="preserve">contends that the Commission should rescind the </w:t>
      </w:r>
      <w:r w:rsidRPr="00310C38" w:rsidR="00310C38">
        <w:rPr>
          <w:i/>
          <w:iCs/>
        </w:rPr>
        <w:t>2019</w:t>
      </w:r>
      <w:r w:rsidR="00310C38">
        <w:t xml:space="preserve"> </w:t>
      </w:r>
      <w:r w:rsidRPr="000A2803" w:rsidR="008E0956">
        <w:rPr>
          <w:i/>
          <w:iCs/>
        </w:rPr>
        <w:t>Call Blocking Declaratory Ruling</w:t>
      </w:r>
      <w:r w:rsidR="008E0956">
        <w:t xml:space="preserve"> or limit </w:t>
      </w:r>
      <w:r w:rsidR="00555447">
        <w:t>blocking</w:t>
      </w:r>
      <w:r w:rsidR="008E0956">
        <w:t xml:space="preserve"> to unlawful calls.</w:t>
      </w:r>
      <w:r>
        <w:rPr>
          <w:rStyle w:val="FootnoteReference"/>
        </w:rPr>
        <w:footnoteReference w:id="300"/>
      </w:r>
    </w:p>
    <w:p w:rsidR="002B73EC" w:rsidP="00B633C1" w14:paraId="1E280E67" w14:textId="5646CA9F">
      <w:pPr>
        <w:pStyle w:val="ParaNum"/>
        <w:widowControl/>
      </w:pPr>
      <w:r>
        <w:t>S</w:t>
      </w:r>
      <w:r w:rsidR="00FB3051">
        <w:t>everal</w:t>
      </w:r>
      <w:r>
        <w:t xml:space="preserve"> commenters give examples of </w:t>
      </w:r>
      <w:r w:rsidR="00A75A99">
        <w:t xml:space="preserve">what they contend is </w:t>
      </w:r>
      <w:r>
        <w:t xml:space="preserve">erroneous blocking or labeling.  TNS contends that healthcare </w:t>
      </w:r>
      <w:r w:rsidR="00E85054">
        <w:t>providers</w:t>
      </w:r>
      <w:r>
        <w:t xml:space="preserve"> have found it difficult to send routine appointment reminders to existing patients.</w:t>
      </w:r>
      <w:r>
        <w:rPr>
          <w:rStyle w:val="FootnoteReference"/>
        </w:rPr>
        <w:footnoteReference w:id="301"/>
      </w:r>
      <w:r>
        <w:t xml:space="preserve">  </w:t>
      </w:r>
      <w:r w:rsidR="000A2803">
        <w:t xml:space="preserve">AICC argues that it has received reports from a number of alarm companies that calls from central </w:t>
      </w:r>
      <w:r w:rsidR="00E85054">
        <w:t xml:space="preserve">alarm </w:t>
      </w:r>
      <w:r w:rsidR="000A2803">
        <w:t>stations have been blocked or mislabeled as fraud.</w:t>
      </w:r>
      <w:r>
        <w:rPr>
          <w:rStyle w:val="FootnoteReference"/>
        </w:rPr>
        <w:footnoteReference w:id="302"/>
      </w:r>
      <w:r w:rsidR="000A2803">
        <w:t xml:space="preserve">  Another alarm company reported to AICC that it </w:t>
      </w:r>
      <w:r w:rsidR="00311205">
        <w:t xml:space="preserve">is </w:t>
      </w:r>
      <w:r w:rsidR="000A2803">
        <w:t>fairly common for its subscribers to report that a central</w:t>
      </w:r>
      <w:r w:rsidR="00E85054">
        <w:t xml:space="preserve"> alarm</w:t>
      </w:r>
      <w:r w:rsidR="000A2803">
        <w:t xml:space="preserve"> station call shows up as spam on </w:t>
      </w:r>
      <w:r w:rsidR="00E85054">
        <w:t>c</w:t>
      </w:r>
      <w:r w:rsidR="000A2803">
        <w:t>aller ID.</w:t>
      </w:r>
      <w:r>
        <w:rPr>
          <w:rStyle w:val="FootnoteReference"/>
        </w:rPr>
        <w:footnoteReference w:id="303"/>
      </w:r>
      <w:r w:rsidR="000A2803">
        <w:t xml:space="preserve">  </w:t>
      </w:r>
      <w:r w:rsidR="00976B77">
        <w:t>Twilio contends that a real estate agent</w:t>
      </w:r>
      <w:r w:rsidR="00CF78A9">
        <w:t xml:space="preserve"> </w:t>
      </w:r>
      <w:r w:rsidR="00976B77">
        <w:t xml:space="preserve">who contacted </w:t>
      </w:r>
      <w:r w:rsidR="009A24DB">
        <w:t xml:space="preserve">existing </w:t>
      </w:r>
      <w:r w:rsidR="00976B77">
        <w:t>clients using the same number for outbound calls experienced call blocking, apparently due to the large number of outbound calls.</w:t>
      </w:r>
      <w:r>
        <w:rPr>
          <w:rStyle w:val="FootnoteReference"/>
        </w:rPr>
        <w:footnoteReference w:id="304"/>
      </w:r>
      <w:r w:rsidR="00976B77">
        <w:t xml:space="preserve">  Similarly, </w:t>
      </w:r>
      <w:r w:rsidR="00976B77">
        <w:t>DoorDash’s</w:t>
      </w:r>
      <w:r w:rsidR="00976B77">
        <w:t xml:space="preserve"> calls were erroneously blocked </w:t>
      </w:r>
      <w:r w:rsidR="00AD6D9C">
        <w:t>or</w:t>
      </w:r>
      <w:r w:rsidR="00976B77">
        <w:t xml:space="preserve"> mislabeled, apparently because the calls were short in duration.</w:t>
      </w:r>
      <w:r>
        <w:rPr>
          <w:rStyle w:val="FootnoteReference"/>
        </w:rPr>
        <w:footnoteReference w:id="305"/>
      </w:r>
      <w:r w:rsidR="00B149A0">
        <w:t xml:space="preserve">  PagerDuty, a company that sends a large volume of short communications to its clients, </w:t>
      </w:r>
      <w:r w:rsidR="002122E3">
        <w:t xml:space="preserve">states that it </w:t>
      </w:r>
      <w:r w:rsidR="00B149A0">
        <w:t xml:space="preserve">had </w:t>
      </w:r>
      <w:r w:rsidR="002122E3">
        <w:t xml:space="preserve">its calls </w:t>
      </w:r>
      <w:r w:rsidR="00B149A0">
        <w:t>blocked or mislabeled.</w:t>
      </w:r>
      <w:r>
        <w:rPr>
          <w:rStyle w:val="FootnoteReference"/>
        </w:rPr>
        <w:footnoteReference w:id="306"/>
      </w:r>
      <w:r w:rsidR="004E6E6D">
        <w:t xml:space="preserve">  </w:t>
      </w:r>
      <w:r>
        <w:t>According to NAFCU, one credit union calculated that over 100,000 calls were blocked between September 2019 and November 2019 by two service providers.</w:t>
      </w:r>
      <w:r>
        <w:rPr>
          <w:rStyle w:val="FootnoteReference"/>
        </w:rPr>
        <w:footnoteReference w:id="307"/>
      </w:r>
      <w:r>
        <w:t xml:space="preserve">  NAFCU explains that a high volume of short duration calls from a toll</w:t>
      </w:r>
      <w:r w:rsidR="00B86137">
        <w:t>-</w:t>
      </w:r>
      <w:r>
        <w:t>free number could generate blocking, but this could also be the calling pattern for fraud notifications from a credit union.</w:t>
      </w:r>
      <w:r>
        <w:rPr>
          <w:rStyle w:val="FootnoteReference"/>
        </w:rPr>
        <w:footnoteReference w:id="308"/>
      </w:r>
      <w:r>
        <w:t xml:space="preserve">  </w:t>
      </w:r>
      <w:r w:rsidR="00311205">
        <w:t xml:space="preserve">Ad Hoc suggests that the Commission limit call blocking to calls that fail the </w:t>
      </w:r>
      <w:r w:rsidR="00311205">
        <w:t>STIR/SHAKEN protocol; originate from unassigned, invalid, unallocated, or inbound-only numbers; or fail acceptable analytics specified by the Commission.</w:t>
      </w:r>
      <w:r>
        <w:rPr>
          <w:rStyle w:val="FootnoteReference"/>
        </w:rPr>
        <w:footnoteReference w:id="309"/>
      </w:r>
      <w:r w:rsidRPr="000853EC" w:rsidR="00311205">
        <w:t xml:space="preserve"> </w:t>
      </w:r>
      <w:r w:rsidR="00311205">
        <w:t xml:space="preserve"> </w:t>
      </w:r>
    </w:p>
    <w:p w:rsidR="00036C57" w:rsidP="00036C57" w14:paraId="01BD34DA" w14:textId="77777777">
      <w:pPr>
        <w:pStyle w:val="Heading3"/>
      </w:pPr>
      <w:r>
        <w:t>Redress, or c</w:t>
      </w:r>
      <w:r>
        <w:t xml:space="preserve">orrecting false positives </w:t>
      </w:r>
    </w:p>
    <w:p w:rsidR="002346AE" w:rsidP="002346AE" w14:paraId="52A141D9" w14:textId="36E1F336">
      <w:pPr>
        <w:pStyle w:val="ParaNum"/>
      </w:pPr>
      <w:r>
        <w:t>Commenters</w:t>
      </w:r>
      <w:r w:rsidR="00AA78A6">
        <w:t xml:space="preserve"> </w:t>
      </w:r>
      <w:r w:rsidR="00771254">
        <w:t>have</w:t>
      </w:r>
      <w:r>
        <w:t xml:space="preserve"> concern</w:t>
      </w:r>
      <w:r w:rsidR="00771254">
        <w:t>s</w:t>
      </w:r>
      <w:r>
        <w:t xml:space="preserve"> with their ability to obtain redress from voice service providers when their outbound calls </w:t>
      </w:r>
      <w:r w:rsidR="00B319FA">
        <w:t xml:space="preserve">to consumers </w:t>
      </w:r>
      <w:r>
        <w:t>are blocked</w:t>
      </w:r>
      <w:r w:rsidR="00B342F9">
        <w:t xml:space="preserve">, i.e., </w:t>
      </w:r>
      <w:r w:rsidR="00580373">
        <w:t>to get erroneous blocks and labels corrected</w:t>
      </w:r>
      <w:r>
        <w:t xml:space="preserve">.  </w:t>
      </w:r>
      <w:r w:rsidR="00A45600">
        <w:t xml:space="preserve">Under the TRACED Act, no later than one year after the </w:t>
      </w:r>
      <w:r w:rsidR="00C8156F">
        <w:t>statute’s enactment</w:t>
      </w:r>
      <w:r w:rsidR="00A45600">
        <w:t xml:space="preserve">, i.e., </w:t>
      </w:r>
      <w:r w:rsidR="00FD31C8">
        <w:t xml:space="preserve">no later than </w:t>
      </w:r>
      <w:r w:rsidR="00A45600">
        <w:t>December 30, 2020, the Commission shall ensure that redress options are available at no charge.</w:t>
      </w:r>
      <w:r>
        <w:rPr>
          <w:rStyle w:val="FootnoteReference"/>
        </w:rPr>
        <w:footnoteReference w:id="310"/>
      </w:r>
      <w:r w:rsidR="00A45600">
        <w:t xml:space="preserve">  </w:t>
      </w:r>
      <w:r w:rsidR="00B342F9">
        <w:t>Commenters contend that</w:t>
      </w:r>
      <w:r w:rsidR="008909DB">
        <w:t xml:space="preserve"> voice service providers, or their third-party analytics companies,</w:t>
      </w:r>
      <w:r w:rsidR="00B342F9">
        <w:t xml:space="preserve"> have imposed significant fees to correct erroneous blocking.</w:t>
      </w:r>
      <w:r>
        <w:rPr>
          <w:rStyle w:val="FootnoteReference"/>
        </w:rPr>
        <w:footnoteReference w:id="311"/>
      </w:r>
      <w:r w:rsidR="00B342F9">
        <w:t xml:space="preserve">  </w:t>
      </w:r>
      <w:r w:rsidR="006A3933">
        <w:t>Americollect</w:t>
      </w:r>
      <w:r w:rsidR="006A3933">
        <w:t xml:space="preserve"> states that </w:t>
      </w:r>
      <w:r w:rsidR="006A3933">
        <w:t>Nomorobo</w:t>
      </w:r>
      <w:r w:rsidR="006A3933">
        <w:t xml:space="preserve"> does not permit reports of erroneous blocking except by callers with paid Nomorobo accounts.</w:t>
      </w:r>
      <w:r>
        <w:rPr>
          <w:rStyle w:val="FootnoteReference"/>
        </w:rPr>
        <w:footnoteReference w:id="312"/>
      </w:r>
      <w:r w:rsidR="006A3933">
        <w:t xml:space="preserve"> </w:t>
      </w:r>
      <w:r w:rsidR="00875EE7">
        <w:t xml:space="preserve"> </w:t>
      </w:r>
      <w:r>
        <w:t>One voice service provider’s call blocker requested a $500 monthly fee to remove labels and blocks.</w:t>
      </w:r>
      <w:r>
        <w:rPr>
          <w:rStyle w:val="FootnoteReference"/>
        </w:rPr>
        <w:footnoteReference w:id="313"/>
      </w:r>
      <w:r>
        <w:t xml:space="preserve">  NAFCU states that one service provider allows businesses to register their phone numbers, but after a </w:t>
      </w:r>
      <w:r w:rsidR="002B123A">
        <w:t>30-</w:t>
      </w:r>
      <w:r>
        <w:t>day trial period they are required to have a paid subscription</w:t>
      </w:r>
      <w:r w:rsidR="002F7372">
        <w:t xml:space="preserve"> in order to continue using the service</w:t>
      </w:r>
      <w:r>
        <w:t>.</w:t>
      </w:r>
      <w:r>
        <w:rPr>
          <w:rStyle w:val="FootnoteReference"/>
        </w:rPr>
        <w:footnoteReference w:id="314"/>
      </w:r>
      <w:r>
        <w:t xml:space="preserve">  </w:t>
      </w:r>
    </w:p>
    <w:p w:rsidR="009C2229" w:rsidP="009C2229" w14:paraId="0F67F396" w14:textId="77777777">
      <w:pPr>
        <w:pStyle w:val="Heading3"/>
      </w:pPr>
      <w:r>
        <w:t>Notice from voice service providers when calls are blocked</w:t>
      </w:r>
    </w:p>
    <w:p w:rsidR="00273EF7" w:rsidP="004129DF" w14:paraId="21F86C21" w14:textId="034353B3">
      <w:pPr>
        <w:pStyle w:val="ParaNum"/>
        <w:widowControl/>
      </w:pPr>
      <w:r>
        <w:t xml:space="preserve">Commenters suggest that voice service providers use an intercept announcement for calls </w:t>
      </w:r>
      <w:r w:rsidR="007A676D">
        <w:t xml:space="preserve">that are </w:t>
      </w:r>
      <w:r>
        <w:t>blocked.</w:t>
      </w:r>
      <w:r>
        <w:rPr>
          <w:rStyle w:val="FootnoteReference"/>
        </w:rPr>
        <w:footnoteReference w:id="315"/>
      </w:r>
      <w:r>
        <w:t xml:space="preserve"> </w:t>
      </w:r>
      <w:r w:rsidR="009C2229">
        <w:t xml:space="preserve"> </w:t>
      </w:r>
      <w:r>
        <w:t>AT&amp;T</w:t>
      </w:r>
      <w:r w:rsidR="00B37102">
        <w:t>, however, already</w:t>
      </w:r>
      <w:r>
        <w:t xml:space="preserve"> provides an intercept announcement for </w:t>
      </w:r>
      <w:r w:rsidR="007A676D">
        <w:t>network-</w:t>
      </w:r>
      <w:r>
        <w:t xml:space="preserve">blocked calls and Verizon sends a Release Code 603 for such </w:t>
      </w:r>
      <w:r w:rsidR="000C167C">
        <w:t xml:space="preserve">network-blocked </w:t>
      </w:r>
      <w:r>
        <w:t>calls.</w:t>
      </w:r>
      <w:r>
        <w:rPr>
          <w:rStyle w:val="FootnoteReference"/>
        </w:rPr>
        <w:footnoteReference w:id="316"/>
      </w:r>
      <w:r>
        <w:t xml:space="preserve">  Nomorobo sends an intercept message for blocked </w:t>
      </w:r>
      <w:r w:rsidR="003F78BC">
        <w:t xml:space="preserve">VoIP </w:t>
      </w:r>
      <w:r>
        <w:t>landline calls.</w:t>
      </w:r>
      <w:r>
        <w:rPr>
          <w:rStyle w:val="FootnoteReference"/>
        </w:rPr>
        <w:footnoteReference w:id="317"/>
      </w:r>
      <w:r w:rsidR="000D2657">
        <w:t xml:space="preserve">  Additionally, many of the </w:t>
      </w:r>
      <w:r w:rsidR="007A676D">
        <w:t>call</w:t>
      </w:r>
      <w:r w:rsidR="006E19B9">
        <w:t xml:space="preserve"> </w:t>
      </w:r>
      <w:r w:rsidR="000D2657">
        <w:t xml:space="preserve">blocking </w:t>
      </w:r>
      <w:r w:rsidR="006E19B9">
        <w:t>apps</w:t>
      </w:r>
      <w:r w:rsidR="000D2657">
        <w:t xml:space="preserve">, e.g., Verizon’s Call Filter, send the blocked call </w:t>
      </w:r>
      <w:r w:rsidR="00030295">
        <w:t xml:space="preserve">directly </w:t>
      </w:r>
      <w:r w:rsidR="000D2657">
        <w:t>to voicemail, so the called party has the opportunity to hear the caller’s message and return the call</w:t>
      </w:r>
      <w:r w:rsidR="007C0000">
        <w:t>.  A</w:t>
      </w:r>
      <w:r w:rsidR="00E62981">
        <w:t>n intercept message could</w:t>
      </w:r>
      <w:r w:rsidR="007A676D">
        <w:t>, therefore,</w:t>
      </w:r>
      <w:r w:rsidR="00E62981">
        <w:t xml:space="preserve"> be confusing to the calling party.</w:t>
      </w:r>
    </w:p>
    <w:p w:rsidR="00A05F87" w:rsidP="00A05F87" w14:paraId="5258EF06" w14:textId="74D81A16">
      <w:pPr>
        <w:pStyle w:val="Heading3"/>
      </w:pPr>
      <w:r>
        <w:t xml:space="preserve">Point of </w:t>
      </w:r>
      <w:r>
        <w:t xml:space="preserve">contact </w:t>
      </w:r>
      <w:r w:rsidR="007C0000">
        <w:t>for</w:t>
      </w:r>
      <w:r>
        <w:t xml:space="preserve"> </w:t>
      </w:r>
      <w:r w:rsidR="002122E3">
        <w:t>false-</w:t>
      </w:r>
      <w:r>
        <w:t>positive blocks</w:t>
      </w:r>
    </w:p>
    <w:p w:rsidR="009D119C" w:rsidP="00B633C1" w14:paraId="38D6AC7F" w14:textId="216DC684">
      <w:pPr>
        <w:pStyle w:val="ParaNum"/>
        <w:widowControl/>
      </w:pPr>
      <w:r>
        <w:t xml:space="preserve">Commenters suggest that there should be a </w:t>
      </w:r>
      <w:r w:rsidR="004706A9">
        <w:t xml:space="preserve">uniform </w:t>
      </w:r>
      <w:r>
        <w:t>mechanism for callers to immediately notify service providers of erroneous blocking.</w:t>
      </w:r>
      <w:r>
        <w:rPr>
          <w:rStyle w:val="FootnoteReference"/>
        </w:rPr>
        <w:footnoteReference w:id="318"/>
      </w:r>
      <w:r>
        <w:t xml:space="preserve">  </w:t>
      </w:r>
      <w:r w:rsidR="00A23A76">
        <w:t>At this time, v</w:t>
      </w:r>
      <w:r w:rsidR="00E822C2">
        <w:t xml:space="preserve">oice service providers and analytics companies allow </w:t>
      </w:r>
      <w:r w:rsidR="000919B2">
        <w:t>parties</w:t>
      </w:r>
      <w:r w:rsidR="00E822C2">
        <w:t xml:space="preserve"> to report incorrectly identified calls on their websites</w:t>
      </w:r>
      <w:r w:rsidR="00A10783">
        <w:t>:</w:t>
      </w:r>
    </w:p>
    <w:p w:rsidR="009D119C" w:rsidP="009D119C" w14:paraId="1EA44C85" w14:textId="14F2AC15">
      <w:pPr>
        <w:pStyle w:val="ParaNum"/>
        <w:numPr>
          <w:ilvl w:val="0"/>
          <w:numId w:val="16"/>
        </w:numPr>
      </w:pPr>
      <w:r>
        <w:t>AT&amp;T</w:t>
      </w:r>
      <w:r w:rsidR="00E822C2">
        <w:t>—</w:t>
      </w:r>
      <w:r w:rsidR="00F022CD">
        <w:t xml:space="preserve">call 800-337-5373 (prompt 1), email </w:t>
      </w:r>
      <w:hyperlink r:id="rId6" w:history="1">
        <w:r w:rsidRPr="008C2E64" w:rsidR="00F022CD">
          <w:rPr>
            <w:rStyle w:val="Hyperlink"/>
          </w:rPr>
          <w:t>dl-GFMOBusinessFra@ATT.com</w:t>
        </w:r>
      </w:hyperlink>
      <w:r w:rsidR="00F022CD">
        <w:t xml:space="preserve">, or contact Hiya through its website, </w:t>
      </w:r>
      <w:hyperlink r:id="rId7" w:history="1">
        <w:r w:rsidRPr="008C2E64" w:rsidR="00F022CD">
          <w:rPr>
            <w:rStyle w:val="Hyperlink"/>
          </w:rPr>
          <w:t>https://hiyahelp.zendesk.com/hc/en-us/requests/new</w:t>
        </w:r>
      </w:hyperlink>
      <w:r w:rsidR="00F022CD">
        <w:t>.</w:t>
      </w:r>
      <w:r>
        <w:rPr>
          <w:rStyle w:val="FootnoteReference"/>
        </w:rPr>
        <w:footnoteReference w:id="319"/>
      </w:r>
      <w:r w:rsidR="00F022CD">
        <w:t xml:space="preserve">  </w:t>
      </w:r>
      <w:r w:rsidR="006F760B">
        <w:t xml:space="preserve">Calling parties can also provide feedback at </w:t>
      </w:r>
      <w:hyperlink r:id="rId5" w:history="1">
        <w:r w:rsidRPr="008C2E64" w:rsidR="006F760B">
          <w:rPr>
            <w:rStyle w:val="Hyperlink"/>
          </w:rPr>
          <w:t>http://www.att.com/reviewmycalllabel</w:t>
        </w:r>
      </w:hyperlink>
      <w:r w:rsidR="006F760B">
        <w:t xml:space="preserve">, which links to </w:t>
      </w:r>
      <w:r w:rsidR="006F760B">
        <w:t>Hiya’s</w:t>
      </w:r>
      <w:r w:rsidR="006F760B">
        <w:t xml:space="preserve"> portal.</w:t>
      </w:r>
      <w:r>
        <w:rPr>
          <w:rStyle w:val="FootnoteReference"/>
        </w:rPr>
        <w:footnoteReference w:id="320"/>
      </w:r>
      <w:r w:rsidR="006F760B">
        <w:t xml:space="preserve">  </w:t>
      </w:r>
    </w:p>
    <w:p w:rsidR="002B4A1C" w:rsidP="002B4A1C" w14:paraId="3307C13D" w14:textId="709E4857">
      <w:pPr>
        <w:pStyle w:val="ParaNum"/>
        <w:numPr>
          <w:ilvl w:val="0"/>
          <w:numId w:val="16"/>
        </w:numPr>
      </w:pPr>
      <w:r>
        <w:t xml:space="preserve">CenturyLink—email </w:t>
      </w:r>
      <w:hyperlink r:id="rId8" w:history="1">
        <w:r w:rsidRPr="008C2E64">
          <w:rPr>
            <w:rStyle w:val="Hyperlink"/>
          </w:rPr>
          <w:t>robocall.reporting@centurylink.com</w:t>
        </w:r>
      </w:hyperlink>
      <w:r>
        <w:t xml:space="preserve">, or contact Nomorobo, </w:t>
      </w:r>
      <w:hyperlink r:id="rId9" w:history="1">
        <w:r w:rsidRPr="008C2E64">
          <w:rPr>
            <w:rStyle w:val="Hyperlink"/>
          </w:rPr>
          <w:t>www.nomorobo.com/contact</w:t>
        </w:r>
      </w:hyperlink>
      <w:r>
        <w:t xml:space="preserve"> and choose “Report a Number.”</w:t>
      </w:r>
      <w:r>
        <w:rPr>
          <w:rStyle w:val="FootnoteReference"/>
        </w:rPr>
        <w:footnoteReference w:id="321"/>
      </w:r>
    </w:p>
    <w:p w:rsidR="00DB3B74" w:rsidP="003C0CA2" w14:paraId="034A12A4" w14:textId="61F37DC8">
      <w:pPr>
        <w:pStyle w:val="ParaNum"/>
        <w:numPr>
          <w:ilvl w:val="0"/>
          <w:numId w:val="16"/>
        </w:numPr>
      </w:pPr>
      <w:r>
        <w:t xml:space="preserve">First Orion—contact through website at </w:t>
      </w:r>
      <w:hyperlink r:id="rId10" w:history="1">
        <w:r w:rsidRPr="008C2E64">
          <w:rPr>
            <w:rStyle w:val="Hyperlink"/>
          </w:rPr>
          <w:t>www.calltransparency.com</w:t>
        </w:r>
      </w:hyperlink>
      <w:r>
        <w:t>.</w:t>
      </w:r>
      <w:r>
        <w:rPr>
          <w:rStyle w:val="FootnoteReference"/>
        </w:rPr>
        <w:footnoteReference w:id="322"/>
      </w:r>
    </w:p>
    <w:p w:rsidR="007E6F21" w:rsidP="002B4A1C" w14:paraId="051D8F18" w14:textId="5A073946">
      <w:pPr>
        <w:pStyle w:val="ParaNum"/>
        <w:numPr>
          <w:ilvl w:val="0"/>
          <w:numId w:val="16"/>
        </w:numPr>
      </w:pPr>
      <w:r>
        <w:t xml:space="preserve">Frontier—email </w:t>
      </w:r>
      <w:hyperlink r:id="rId11" w:history="1">
        <w:r w:rsidRPr="008C2E64">
          <w:rPr>
            <w:rStyle w:val="Hyperlink"/>
          </w:rPr>
          <w:t>nospam@ftr.com</w:t>
        </w:r>
      </w:hyperlink>
      <w:r>
        <w:t>, or contact Nomorobo.</w:t>
      </w:r>
      <w:r>
        <w:rPr>
          <w:rStyle w:val="FootnoteReference"/>
        </w:rPr>
        <w:footnoteReference w:id="323"/>
      </w:r>
    </w:p>
    <w:p w:rsidR="004956E9" w:rsidP="004956E9" w14:paraId="1B365450" w14:textId="77777777">
      <w:pPr>
        <w:pStyle w:val="ParaNum"/>
        <w:numPr>
          <w:ilvl w:val="0"/>
          <w:numId w:val="16"/>
        </w:numPr>
      </w:pPr>
      <w:r>
        <w:t xml:space="preserve">Hiya—contact through website at </w:t>
      </w:r>
      <w:hyperlink r:id="rId7" w:history="1">
        <w:r w:rsidRPr="008C2E64">
          <w:rPr>
            <w:rStyle w:val="Hyperlink"/>
          </w:rPr>
          <w:t>https://hiyahelp.zendesk.com/hc/en-us/requests/new</w:t>
        </w:r>
      </w:hyperlink>
      <w:r>
        <w:t>.  Hiya provides a service for legitimate businesses to register, through connect.hiya.com.</w:t>
      </w:r>
      <w:r>
        <w:rPr>
          <w:rStyle w:val="FootnoteReference"/>
        </w:rPr>
        <w:footnoteReference w:id="324"/>
      </w:r>
      <w:r>
        <w:t xml:space="preserve">  </w:t>
      </w:r>
    </w:p>
    <w:p w:rsidR="00365646" w:rsidP="00365646" w14:paraId="3F6188D2" w14:textId="77777777">
      <w:pPr>
        <w:pStyle w:val="ParaNum"/>
        <w:numPr>
          <w:ilvl w:val="0"/>
          <w:numId w:val="16"/>
        </w:numPr>
      </w:pPr>
      <w:r>
        <w:t xml:space="preserve">Nomorobo—contact through website at </w:t>
      </w:r>
      <w:hyperlink r:id="rId9" w:history="1">
        <w:r w:rsidRPr="008C2E64">
          <w:rPr>
            <w:rStyle w:val="Hyperlink"/>
          </w:rPr>
          <w:t>www.nomorobo.com/contact</w:t>
        </w:r>
      </w:hyperlink>
      <w:r>
        <w:t xml:space="preserve"> and choose “Report a Number.”  Nomorobo has a white list feature to which subscribers can add numbers in order to prevent erroneous blocking.</w:t>
      </w:r>
      <w:r>
        <w:rPr>
          <w:rStyle w:val="FootnoteReference"/>
        </w:rPr>
        <w:footnoteReference w:id="325"/>
      </w:r>
      <w:r>
        <w:t xml:space="preserve">  </w:t>
      </w:r>
    </w:p>
    <w:p w:rsidR="005E6E2A" w:rsidP="005E6E2A" w14:paraId="3B4D2A5E" w14:textId="77777777">
      <w:pPr>
        <w:pStyle w:val="ParaNum"/>
        <w:numPr>
          <w:ilvl w:val="0"/>
          <w:numId w:val="16"/>
        </w:numPr>
      </w:pPr>
      <w:r>
        <w:t xml:space="preserve">Sprint—call 888-211-4727 or contact TNS at </w:t>
      </w:r>
      <w:hyperlink r:id="rId12" w:history="1">
        <w:r w:rsidRPr="008C2E64">
          <w:rPr>
            <w:rStyle w:val="Hyperlink"/>
          </w:rPr>
          <w:t>https://reportarobocall.com/trf/</w:t>
        </w:r>
      </w:hyperlink>
      <w:r>
        <w:t>.</w:t>
      </w:r>
      <w:r>
        <w:rPr>
          <w:rStyle w:val="FootnoteReference"/>
        </w:rPr>
        <w:footnoteReference w:id="326"/>
      </w:r>
      <w:r>
        <w:t xml:space="preserve">  </w:t>
      </w:r>
    </w:p>
    <w:p w:rsidR="005E6E2A" w:rsidP="005E6E2A" w14:paraId="5F3FB01B" w14:textId="77777777">
      <w:pPr>
        <w:pStyle w:val="ParaNum"/>
        <w:numPr>
          <w:ilvl w:val="0"/>
          <w:numId w:val="16"/>
        </w:numPr>
      </w:pPr>
      <w:r>
        <w:t xml:space="preserve">T-Mobile—contact through </w:t>
      </w:r>
      <w:hyperlink r:id="rId13" w:history="1">
        <w:r w:rsidRPr="008C2E64">
          <w:rPr>
            <w:rStyle w:val="Hyperlink"/>
          </w:rPr>
          <w:t>https://feedback.fosrvt.com/</w:t>
        </w:r>
      </w:hyperlink>
      <w:r>
        <w:t xml:space="preserve"> or through First Orion at </w:t>
      </w:r>
      <w:hyperlink r:id="rId14" w:history="1">
        <w:r w:rsidRPr="008C2E64">
          <w:rPr>
            <w:rStyle w:val="Hyperlink"/>
          </w:rPr>
          <w:t>https://calltransparency.com</w:t>
        </w:r>
      </w:hyperlink>
      <w:r>
        <w:t>.</w:t>
      </w:r>
      <w:r>
        <w:rPr>
          <w:rStyle w:val="FootnoteReference"/>
        </w:rPr>
        <w:footnoteReference w:id="327"/>
      </w:r>
    </w:p>
    <w:p w:rsidR="002B4A1C" w:rsidP="009D119C" w14:paraId="3CC05FE5" w14:textId="47AD385F">
      <w:pPr>
        <w:pStyle w:val="ParaNum"/>
        <w:numPr>
          <w:ilvl w:val="0"/>
          <w:numId w:val="16"/>
        </w:numPr>
      </w:pPr>
      <w:r>
        <w:t xml:space="preserve">TNS—TNS provides a portal on its website for identifying inaccuracies, through its robocall feedback website, </w:t>
      </w:r>
      <w:hyperlink r:id="rId12" w:history="1">
        <w:r>
          <w:rPr>
            <w:rStyle w:val="Hyperlink"/>
          </w:rPr>
          <w:t>https://reportarobocall.com/trf/</w:t>
        </w:r>
      </w:hyperlink>
      <w:r>
        <w:t xml:space="preserve">, and it allows companies to subscribe to alerts to inform them when the number is classified as a spammer, </w:t>
      </w:r>
      <w:r>
        <w:t>spoofer</w:t>
      </w:r>
      <w:r>
        <w:t xml:space="preserve">, scammer, or </w:t>
      </w:r>
      <w:r>
        <w:t>robocaller</w:t>
      </w:r>
      <w:r>
        <w:t>.</w:t>
      </w:r>
      <w:r>
        <w:rPr>
          <w:rStyle w:val="FootnoteReference"/>
        </w:rPr>
        <w:footnoteReference w:id="328"/>
      </w:r>
    </w:p>
    <w:p w:rsidR="005E6E2A" w:rsidP="003C0CA2" w14:paraId="5B586E20" w14:textId="66016D5F">
      <w:pPr>
        <w:pStyle w:val="ParaNum"/>
        <w:numPr>
          <w:ilvl w:val="0"/>
          <w:numId w:val="16"/>
        </w:numPr>
      </w:pPr>
      <w:r>
        <w:t xml:space="preserve">US Cellular—contact through website at </w:t>
      </w:r>
      <w:hyperlink r:id="rId15" w:history="1">
        <w:r w:rsidRPr="008C2E64">
          <w:rPr>
            <w:rStyle w:val="Hyperlink"/>
          </w:rPr>
          <w:t>https://www.uscellular.com/support/robocall/index.html</w:t>
        </w:r>
      </w:hyperlink>
      <w:r>
        <w:t>.</w:t>
      </w:r>
      <w:r>
        <w:rPr>
          <w:rStyle w:val="FootnoteReference"/>
        </w:rPr>
        <w:footnoteReference w:id="329"/>
      </w:r>
    </w:p>
    <w:p w:rsidR="009D119C" w:rsidP="009D119C" w14:paraId="20184FA1" w14:textId="0E6933D4">
      <w:pPr>
        <w:pStyle w:val="ParaNum"/>
        <w:numPr>
          <w:ilvl w:val="0"/>
          <w:numId w:val="16"/>
        </w:numPr>
      </w:pPr>
      <w:r>
        <w:t>Verizon</w:t>
      </w:r>
      <w:r w:rsidR="00183C69">
        <w:t>—</w:t>
      </w:r>
      <w:r w:rsidR="00224D2B">
        <w:t xml:space="preserve">contact through either </w:t>
      </w:r>
      <w:hyperlink r:id="rId16" w:history="1">
        <w:r w:rsidRPr="008C2E64" w:rsidR="00224D2B">
          <w:rPr>
            <w:rStyle w:val="Hyperlink"/>
          </w:rPr>
          <w:t>http://www.voicespamfeedback.com</w:t>
        </w:r>
      </w:hyperlink>
      <w:r w:rsidR="00224D2B">
        <w:t xml:space="preserve"> or </w:t>
      </w:r>
      <w:hyperlink r:id="rId17" w:history="1">
        <w:r w:rsidRPr="008C2E64" w:rsidR="00224D2B">
          <w:rPr>
            <w:rStyle w:val="Hyperlink"/>
          </w:rPr>
          <w:t>http://www.spamalerts.verizon.com</w:t>
        </w:r>
      </w:hyperlink>
      <w:r w:rsidR="00224D2B">
        <w:t>.</w:t>
      </w:r>
      <w:r>
        <w:rPr>
          <w:rStyle w:val="FootnoteReference"/>
        </w:rPr>
        <w:footnoteReference w:id="330"/>
      </w:r>
      <w:r w:rsidR="00224D2B">
        <w:t xml:space="preserve">  </w:t>
      </w:r>
    </w:p>
    <w:p w:rsidR="009D119C" w:rsidP="003C0CA2" w14:paraId="47F621F2" w14:textId="3EEF8D07">
      <w:pPr>
        <w:pStyle w:val="ParaNum"/>
        <w:numPr>
          <w:ilvl w:val="0"/>
          <w:numId w:val="16"/>
        </w:numPr>
      </w:pPr>
      <w:r>
        <w:t>Windstream</w:t>
      </w:r>
      <w:r w:rsidR="00183C69">
        <w:t>—</w:t>
      </w:r>
      <w:r w:rsidR="00F9774F">
        <w:t xml:space="preserve">email </w:t>
      </w:r>
      <w:hyperlink r:id="rId18" w:history="1">
        <w:r w:rsidRPr="008C2E64" w:rsidR="00F9774F">
          <w:rPr>
            <w:rStyle w:val="Hyperlink"/>
          </w:rPr>
          <w:t>WINDSTREAM.NetworkAbuse@windstream.com</w:t>
        </w:r>
      </w:hyperlink>
      <w:r w:rsidR="00F9774F">
        <w:t>.</w:t>
      </w:r>
      <w:r>
        <w:rPr>
          <w:rStyle w:val="FootnoteReference"/>
        </w:rPr>
        <w:footnoteReference w:id="331"/>
      </w:r>
    </w:p>
    <w:p w:rsidR="005172EC" w:rsidP="005172EC" w14:paraId="1AD83C34" w14:textId="603C72BE">
      <w:pPr>
        <w:pStyle w:val="Heading2"/>
      </w:pPr>
      <w:r>
        <w:t>White List Programs</w:t>
      </w:r>
      <w:r w:rsidR="00000550">
        <w:t xml:space="preserve"> and Critical Calls List</w:t>
      </w:r>
    </w:p>
    <w:p w:rsidR="002D63B7" w:rsidP="002F65B2" w14:paraId="748A55E7" w14:textId="0B6567A2">
      <w:pPr>
        <w:pStyle w:val="ParaNum"/>
      </w:pPr>
      <w:r>
        <w:t>Commenters are divided on whether the Commission should develop a white list of critical numbers.</w:t>
      </w:r>
      <w:r>
        <w:rPr>
          <w:rStyle w:val="FootnoteReference"/>
        </w:rPr>
        <w:footnoteReference w:id="332"/>
      </w:r>
      <w:r w:rsidR="00000550">
        <w:t xml:space="preserve">  </w:t>
      </w:r>
      <w:r w:rsidR="00AF7903">
        <w:t>The Commission may</w:t>
      </w:r>
      <w:r w:rsidR="002F65B2">
        <w:t xml:space="preserve"> address</w:t>
      </w:r>
      <w:r w:rsidR="00AF7903">
        <w:t xml:space="preserve"> this issue</w:t>
      </w:r>
      <w:r w:rsidR="002F65B2">
        <w:t xml:space="preserve"> in a </w:t>
      </w:r>
      <w:r w:rsidR="00AF7903">
        <w:t xml:space="preserve">future </w:t>
      </w:r>
      <w:r w:rsidR="002F65B2">
        <w:t>proceeding.</w:t>
      </w:r>
      <w:r>
        <w:rPr>
          <w:rStyle w:val="FootnoteReference"/>
        </w:rPr>
        <w:footnoteReference w:id="333"/>
      </w:r>
      <w:r w:rsidR="002F65B2">
        <w:t xml:space="preserve">  </w:t>
      </w:r>
      <w:r>
        <w:t>CTIA observes</w:t>
      </w:r>
      <w:r w:rsidR="001900D0">
        <w:t xml:space="preserve"> </w:t>
      </w:r>
      <w:r>
        <w:t xml:space="preserve">that a database of </w:t>
      </w:r>
      <w:r w:rsidR="000E31A3">
        <w:t>white-</w:t>
      </w:r>
      <w:r>
        <w:t>listed numbers would be a target for bad actors to spoof and otherwise exploit.</w:t>
      </w:r>
      <w:r>
        <w:rPr>
          <w:rStyle w:val="FootnoteReference"/>
        </w:rPr>
        <w:footnoteReference w:id="334"/>
      </w:r>
      <w:r>
        <w:t xml:space="preserve">  Other commenters suggest a white list of legitimate callers to ensure that their calls are not blocked or mislabeled.</w:t>
      </w:r>
      <w:r>
        <w:rPr>
          <w:rStyle w:val="FootnoteReference"/>
        </w:rPr>
        <w:footnoteReference w:id="335"/>
      </w:r>
    </w:p>
    <w:p w:rsidR="005172EC" w:rsidRPr="00C37333" w:rsidP="00A97C00" w14:paraId="7A0E75E7" w14:textId="12EC5A5C">
      <w:pPr>
        <w:pStyle w:val="Heading1"/>
      </w:pPr>
      <w:r w:rsidRPr="00C37333">
        <w:t>state of deployment of caller id authentication</w:t>
      </w:r>
      <w:r w:rsidR="008D22D4">
        <w:t xml:space="preserve"> </w:t>
      </w:r>
    </w:p>
    <w:p w:rsidR="00C37333" w:rsidRPr="00265DE5" w:rsidP="00D8060B" w14:paraId="014A26A6" w14:textId="05B0BB3E">
      <w:pPr>
        <w:pStyle w:val="ParaNum"/>
        <w:widowControl/>
      </w:pPr>
      <w:r w:rsidRPr="00265DE5">
        <w:t xml:space="preserve">According to the </w:t>
      </w:r>
      <w:r w:rsidRPr="007916D2" w:rsidR="007916D2">
        <w:rPr>
          <w:i/>
          <w:iCs/>
        </w:rPr>
        <w:t xml:space="preserve">2019 </w:t>
      </w:r>
      <w:r w:rsidR="00F4611D">
        <w:rPr>
          <w:i/>
          <w:iCs/>
        </w:rPr>
        <w:t xml:space="preserve">Call Blocking </w:t>
      </w:r>
      <w:r w:rsidRPr="00265DE5">
        <w:rPr>
          <w:i/>
          <w:iCs/>
        </w:rPr>
        <w:t>Declaratory Ruling</w:t>
      </w:r>
      <w:r w:rsidRPr="00265DE5">
        <w:t xml:space="preserve">, this report should also include information on the state of deployment of </w:t>
      </w:r>
      <w:r w:rsidR="00AB1B0C">
        <w:t>c</w:t>
      </w:r>
      <w:r w:rsidRPr="00265DE5">
        <w:t>aller ID authentication through implementation of the STIR/SHAKEN framework, and contain “snapshots” of deployment and implementation of Commission and industry efforts at the time of release.</w:t>
      </w:r>
      <w:r>
        <w:rPr>
          <w:rStyle w:val="FootnoteReference"/>
        </w:rPr>
        <w:footnoteReference w:id="336"/>
      </w:r>
      <w:r w:rsidRPr="00265DE5">
        <w:t xml:space="preserve">  As a result of the March 2020 </w:t>
      </w:r>
      <w:r w:rsidRPr="00265DE5">
        <w:rPr>
          <w:i/>
          <w:iCs/>
        </w:rPr>
        <w:t>Report and Order and Further Notice of Proposed Rulemaking</w:t>
      </w:r>
      <w:r w:rsidRPr="00265DE5">
        <w:t>, voice service providers generally must implement STIR/SHAKEN by June 30, 2021.</w:t>
      </w:r>
      <w:r w:rsidR="003304A8">
        <w:t xml:space="preserve"> </w:t>
      </w:r>
      <w:r w:rsidR="002F1C38">
        <w:t xml:space="preserve"> </w:t>
      </w:r>
      <w:r w:rsidR="00F15007">
        <w:t xml:space="preserve">We have summarized </w:t>
      </w:r>
      <w:r w:rsidR="00811AED">
        <w:t xml:space="preserve">major voice service provider progress as of the end of 2019, which the Commission evaluated in the March 2020 </w:t>
      </w:r>
      <w:r w:rsidRPr="00265DE5" w:rsidR="00811AED">
        <w:rPr>
          <w:i/>
          <w:iCs/>
        </w:rPr>
        <w:t>Report and Order and Further Notice of Proposed Rulemaking</w:t>
      </w:r>
      <w:r w:rsidRPr="00265DE5" w:rsidR="00811AED">
        <w:t>,</w:t>
      </w:r>
      <w:r w:rsidR="00811AED">
        <w:t xml:space="preserve"> and additional progress by voice service providers since the end of 2019.</w:t>
      </w:r>
      <w:bookmarkStart w:id="5" w:name="_Hlk35442805"/>
    </w:p>
    <w:bookmarkEnd w:id="5"/>
    <w:p w:rsidR="0007109B" w:rsidRPr="00D1765C" w:rsidP="00D1765C" w14:paraId="0300F230" w14:textId="56100AFF">
      <w:pPr>
        <w:pStyle w:val="Heading2"/>
        <w:rPr>
          <w:iCs/>
        </w:rPr>
      </w:pPr>
      <w:r w:rsidRPr="00265DE5">
        <w:t>Implementation by Voice Service Providers as of the End of 2019</w:t>
      </w:r>
    </w:p>
    <w:p w:rsidR="00C37333" w:rsidRPr="00265DE5" w:rsidP="00CC2A07" w14:paraId="14B95952" w14:textId="2975D1E3">
      <w:pPr>
        <w:pStyle w:val="ParaNum"/>
        <w:rPr>
          <w:iCs/>
        </w:rPr>
      </w:pPr>
      <w:r w:rsidRPr="00265DE5">
        <w:rPr>
          <w:iCs/>
        </w:rPr>
        <w:t xml:space="preserve">In the Commission’s March 2020 </w:t>
      </w:r>
      <w:r w:rsidRPr="00265DE5">
        <w:rPr>
          <w:i/>
          <w:iCs/>
        </w:rPr>
        <w:t>Report and Order and Further Notice of Proposed Rulemaking</w:t>
      </w:r>
      <w:r w:rsidRPr="00265DE5">
        <w:t xml:space="preserve">, it reported on the status of STIR/SHAKEN implementation among </w:t>
      </w:r>
      <w:r w:rsidR="00F93883">
        <w:t>14</w:t>
      </w:r>
      <w:r w:rsidRPr="00265DE5" w:rsidR="00F93883">
        <w:t xml:space="preserve"> </w:t>
      </w:r>
      <w:r w:rsidRPr="00265DE5">
        <w:t>major voice service providers as of the end of 2019.</w:t>
      </w:r>
      <w:r>
        <w:rPr>
          <w:rStyle w:val="FootnoteReference"/>
          <w:szCs w:val="22"/>
        </w:rPr>
        <w:footnoteReference w:id="337"/>
      </w:r>
      <w:r w:rsidRPr="00265DE5">
        <w:t xml:space="preserve">  </w:t>
      </w:r>
      <w:r w:rsidRPr="00265DE5">
        <w:rPr>
          <w:iCs/>
        </w:rPr>
        <w:t xml:space="preserve">This snapshot of implementation as of the end of 2019 divided those </w:t>
      </w:r>
      <w:r w:rsidR="00F93883">
        <w:rPr>
          <w:iCs/>
        </w:rPr>
        <w:t>14</w:t>
      </w:r>
      <w:r w:rsidRPr="00265DE5" w:rsidR="00F93883">
        <w:rPr>
          <w:iCs/>
        </w:rPr>
        <w:t xml:space="preserve"> </w:t>
      </w:r>
      <w:r w:rsidRPr="00265DE5">
        <w:rPr>
          <w:iCs/>
        </w:rPr>
        <w:t>voice service providers into three categories: (</w:t>
      </w:r>
      <w:r w:rsidR="00B97318">
        <w:rPr>
          <w:iCs/>
        </w:rPr>
        <w:t>1</w:t>
      </w:r>
      <w:r w:rsidRPr="00265DE5">
        <w:rPr>
          <w:iCs/>
        </w:rPr>
        <w:t>) voice service providers that upgraded their networks to support STIR/SHAKEN and began exchanging signed traffic with other voice service providers; (2) voice service providers that upgraded their networks to support STIR/SHAKEN but had not yet begun exchanging signed traffic with other voice service providers; and (3) voice service providers that had achieved limited, if any, progress towards upgrading their networks to support STIR/SHAKEN.</w:t>
      </w:r>
    </w:p>
    <w:p w:rsidR="00C37333" w:rsidRPr="00265DE5" w:rsidP="00CC2A07" w14:paraId="25A44CF1" w14:textId="4C4575BC">
      <w:pPr>
        <w:pStyle w:val="ParaNum"/>
      </w:pPr>
      <w:r w:rsidRPr="00265DE5">
        <w:rPr>
          <w:i/>
        </w:rPr>
        <w:t xml:space="preserve">Voice Service Providers </w:t>
      </w:r>
      <w:r w:rsidR="00F93883">
        <w:rPr>
          <w:i/>
        </w:rPr>
        <w:t>That</w:t>
      </w:r>
      <w:r w:rsidRPr="00265DE5" w:rsidR="00F93883">
        <w:rPr>
          <w:i/>
        </w:rPr>
        <w:t xml:space="preserve"> </w:t>
      </w:r>
      <w:r w:rsidRPr="00265DE5">
        <w:rPr>
          <w:i/>
        </w:rPr>
        <w:t xml:space="preserve">Had Upgraded Their Networks and Were Exchanging Signed Traffic by </w:t>
      </w:r>
      <w:r w:rsidR="00AB7D1F">
        <w:rPr>
          <w:i/>
        </w:rPr>
        <w:t xml:space="preserve">the </w:t>
      </w:r>
      <w:r w:rsidRPr="00265DE5">
        <w:rPr>
          <w:i/>
        </w:rPr>
        <w:t xml:space="preserve">End of 2019.  </w:t>
      </w:r>
      <w:r w:rsidRPr="00265DE5">
        <w:rPr>
          <w:iCs/>
        </w:rPr>
        <w:t xml:space="preserve">By the end of 2019, </w:t>
      </w:r>
      <w:r w:rsidRPr="00265DE5">
        <w:t>AT&amp;T, Bandwidth, Charter, Comcast, Cox, T-Mobile, and Verizon announced that they had upgraded their networks to support STIR/SHAKEN.</w:t>
      </w:r>
      <w:r>
        <w:rPr>
          <w:rStyle w:val="FootnoteReference"/>
          <w:szCs w:val="22"/>
        </w:rPr>
        <w:footnoteReference w:id="338"/>
      </w:r>
      <w:r w:rsidRPr="00265DE5">
        <w:t xml:space="preserve">  AT&amp;T, for example, confirmed that it “authenticates all calls on its network that originate from [Voice over LTE] and consumer VoIP customers” and “estimates that approximately 90 percent of its wireless customer base (prepaid and postpaid) and more than 50 percent of its consumer wireline customer base are SHAKEN/STIR capable.”</w:t>
      </w:r>
      <w:r>
        <w:rPr>
          <w:rStyle w:val="FootnoteReference"/>
          <w:szCs w:val="22"/>
        </w:rPr>
        <w:footnoteReference w:id="339"/>
      </w:r>
      <w:r w:rsidRPr="00265DE5">
        <w:t xml:space="preserve">  Charter stated that it “fulfilled [its] commitment to complete the implementation of the STIR/SHAKEN framework by the end of [2019].”</w:t>
      </w:r>
      <w:r>
        <w:rPr>
          <w:rStyle w:val="FootnoteReference"/>
          <w:szCs w:val="22"/>
        </w:rPr>
        <w:footnoteReference w:id="340"/>
      </w:r>
      <w:r w:rsidRPr="00265DE5">
        <w:t xml:space="preserve">  Similarly, Comcast reported that “virtually all calls originating from a Comcast residential subscriber and terminating with a Comcast residential subscriber are fully authenticated through the STIR/SHAKEN protocol.”</w:t>
      </w:r>
      <w:r>
        <w:rPr>
          <w:rStyle w:val="FootnoteReference"/>
          <w:szCs w:val="22"/>
        </w:rPr>
        <w:footnoteReference w:id="341"/>
      </w:r>
      <w:r w:rsidRPr="00265DE5">
        <w:t xml:space="preserve">  Cox reported that it “has deployed SHAKEN/STIR to over 99% of [its] residential customers enabling Cox to sign originating and terminating calls.”</w:t>
      </w:r>
      <w:r>
        <w:rPr>
          <w:rStyle w:val="FootnoteReference"/>
          <w:szCs w:val="22"/>
        </w:rPr>
        <w:footnoteReference w:id="342"/>
      </w:r>
      <w:r w:rsidRPr="00265DE5">
        <w:t xml:space="preserve">  T-Mobile stated that it was “the first wireless provider to fully implement STIR/SHAKEN standards on [its] network” and is “capable of signing and authenticating 100% of SIP traffic that both originates and then terminates on [its] network.”</w:t>
      </w:r>
      <w:r>
        <w:rPr>
          <w:rStyle w:val="FootnoteReference"/>
          <w:szCs w:val="22"/>
        </w:rPr>
        <w:footnoteReference w:id="343"/>
      </w:r>
      <w:r w:rsidRPr="00265DE5">
        <w:t xml:space="preserve">  According to Verizon, it “finished deploying STIR/SHAKEN to its wireless customer base (which constitutes more than 95% of [its] total traffic) in March 2019,” “is devoting substantial resources to deploying STIR/SHAKEN to wireline customers that receive service on IP platforms capable of being upgraded with the STIR/SHAKEN protocol</w:t>
      </w:r>
      <w:r w:rsidR="0010269A">
        <w:t>,</w:t>
      </w:r>
      <w:r w:rsidRPr="00265DE5">
        <w:t>” and expects “to achieve deployment of STIR/SHAKEN to Fios Digital customers later this year.”</w:t>
      </w:r>
      <w:r>
        <w:rPr>
          <w:rStyle w:val="FootnoteReference"/>
          <w:szCs w:val="22"/>
        </w:rPr>
        <w:footnoteReference w:id="344"/>
      </w:r>
      <w:r w:rsidRPr="00265DE5">
        <w:t xml:space="preserve">  </w:t>
      </w:r>
    </w:p>
    <w:p w:rsidR="00C37333" w:rsidRPr="00265DE5" w:rsidP="00CC2A07" w14:paraId="2B287C12" w14:textId="77777777">
      <w:pPr>
        <w:pStyle w:val="ParaNum"/>
      </w:pPr>
      <w:r w:rsidRPr="00265DE5">
        <w:t>These voice service providers, however, were exchanging only a limited amount of authenticated traffic with other voice service providers as of the end of 2019.</w:t>
      </w:r>
      <w:r>
        <w:rPr>
          <w:rStyle w:val="FootnoteReference"/>
          <w:szCs w:val="22"/>
        </w:rPr>
        <w:footnoteReference w:id="345"/>
      </w:r>
      <w:r w:rsidRPr="00265DE5">
        <w:t xml:space="preserve">  For instance, Comcast has begun to exchange authenticated calls with AT&amp;T and T-Mobile,</w:t>
      </w:r>
      <w:r>
        <w:rPr>
          <w:rStyle w:val="FootnoteReference"/>
          <w:szCs w:val="22"/>
        </w:rPr>
        <w:footnoteReference w:id="346"/>
      </w:r>
      <w:r w:rsidRPr="00265DE5">
        <w:t xml:space="preserve"> and explained that, as of December 2019, </w:t>
      </w:r>
      <w:r w:rsidRPr="00265DE5">
        <w:rPr>
          <w:iCs/>
        </w:rPr>
        <w:t xml:space="preserve">approximately 14.25% of all calls “originating on other voice providers’ networks and bound for Comcast residential subscribers had a STIR/SHAKEN-compliant header and were verified by </w:t>
      </w:r>
      <w:r w:rsidRPr="00265DE5">
        <w:rPr>
          <w:iCs/>
        </w:rPr>
        <w:t>Comcast.”</w:t>
      </w:r>
      <w:r>
        <w:rPr>
          <w:rStyle w:val="FootnoteReference"/>
          <w:iCs/>
          <w:szCs w:val="22"/>
        </w:rPr>
        <w:footnoteReference w:id="347"/>
      </w:r>
      <w:r w:rsidRPr="00265DE5">
        <w:t xml:space="preserve">  T-Mobile explained that it is also authenticating some traffic exchanged with AT&amp;T, Comcast, and </w:t>
      </w:r>
      <w:r w:rsidRPr="00265DE5">
        <w:t>Inteliquent</w:t>
      </w:r>
      <w:r w:rsidRPr="00265DE5">
        <w:t>.</w:t>
      </w:r>
      <w:r>
        <w:rPr>
          <w:rStyle w:val="FootnoteReference"/>
          <w:szCs w:val="22"/>
        </w:rPr>
        <w:footnoteReference w:id="348"/>
      </w:r>
      <w:r w:rsidRPr="00265DE5">
        <w:t xml:space="preserve">  According to AT&amp;T, it “exchanges approximately 40 percent of its SHAKEN/STIR consumer VoIP traffic with one terminating service provider.”</w:t>
      </w:r>
      <w:r>
        <w:rPr>
          <w:rStyle w:val="FootnoteReference"/>
          <w:szCs w:val="22"/>
        </w:rPr>
        <w:footnoteReference w:id="349"/>
      </w:r>
      <w:r w:rsidRPr="00265DE5">
        <w:t xml:space="preserve">  Verizon stated that it was signing “under half of [its] outbound traffic” with one provider as of the end of 2019, and that “for the other three partners,” its production levels were under 5%.</w:t>
      </w:r>
      <w:r>
        <w:rPr>
          <w:rStyle w:val="FootnoteReference"/>
          <w:szCs w:val="22"/>
        </w:rPr>
        <w:footnoteReference w:id="350"/>
      </w:r>
      <w:r w:rsidRPr="00265DE5">
        <w:t xml:space="preserve">  Cox explained that it is “exchanging authenticated traffic with four carriers resulting in over 14% of all calls on Cox’ residential IP network being verified.”</w:t>
      </w:r>
      <w:r>
        <w:rPr>
          <w:rStyle w:val="FootnoteReference"/>
          <w:szCs w:val="22"/>
        </w:rPr>
        <w:footnoteReference w:id="351"/>
      </w:r>
      <w:r w:rsidRPr="00265DE5">
        <w:t xml:space="preserve">  Charter stated that it is “exchanging signed and authenticated customer call traffic end-to-end with Comcast.”</w:t>
      </w:r>
      <w:r>
        <w:rPr>
          <w:rStyle w:val="FootnoteReference"/>
          <w:szCs w:val="22"/>
        </w:rPr>
        <w:footnoteReference w:id="352"/>
      </w:r>
      <w:r w:rsidRPr="00265DE5">
        <w:t xml:space="preserve">  Bandwidth is also in early stages of exchanging traffic and “has designed, tested and deployed the capability to exchange some of its production traffic with Verizon Wireless directly utilizing ‘self-signed’ certifications that are in keeping with the STIR/SHAKEN framework.”</w:t>
      </w:r>
      <w:r>
        <w:rPr>
          <w:rStyle w:val="FootnoteReference"/>
          <w:szCs w:val="22"/>
        </w:rPr>
        <w:footnoteReference w:id="353"/>
      </w:r>
      <w:r w:rsidRPr="00265DE5">
        <w:t xml:space="preserve">  </w:t>
      </w:r>
    </w:p>
    <w:p w:rsidR="00C37333" w:rsidRPr="00265DE5" w:rsidP="00CC2A07" w14:paraId="4B2C8545" w14:textId="1FC29CDE">
      <w:pPr>
        <w:pStyle w:val="ParaNum"/>
      </w:pPr>
      <w:r w:rsidRPr="00265DE5">
        <w:rPr>
          <w:i/>
          <w:iCs/>
        </w:rPr>
        <w:t xml:space="preserve">Voice Service Providers </w:t>
      </w:r>
      <w:r w:rsidR="00DE1BEA">
        <w:rPr>
          <w:i/>
          <w:iCs/>
        </w:rPr>
        <w:t>That</w:t>
      </w:r>
      <w:r w:rsidRPr="00265DE5" w:rsidR="00DE1BEA">
        <w:rPr>
          <w:i/>
          <w:iCs/>
        </w:rPr>
        <w:t xml:space="preserve"> </w:t>
      </w:r>
      <w:r w:rsidRPr="00265DE5">
        <w:rPr>
          <w:i/>
          <w:iCs/>
        </w:rPr>
        <w:t xml:space="preserve">Had Upgraded Their Networks </w:t>
      </w:r>
      <w:r w:rsidR="00DE1BEA">
        <w:rPr>
          <w:i/>
          <w:iCs/>
        </w:rPr>
        <w:t>B</w:t>
      </w:r>
      <w:r w:rsidRPr="00265DE5" w:rsidR="00DE1BEA">
        <w:rPr>
          <w:i/>
          <w:iCs/>
        </w:rPr>
        <w:t>ut</w:t>
      </w:r>
      <w:r w:rsidRPr="00265DE5" w:rsidR="00DE1BEA">
        <w:rPr>
          <w:i/>
          <w:iCs/>
        </w:rPr>
        <w:t xml:space="preserve"> </w:t>
      </w:r>
      <w:r w:rsidRPr="00265DE5">
        <w:rPr>
          <w:i/>
          <w:iCs/>
        </w:rPr>
        <w:t xml:space="preserve">Had Not Begun Exchanging Signed Traffic by End of 2019.  </w:t>
      </w:r>
      <w:r w:rsidRPr="00265DE5">
        <w:t>By the end of 2019, other voice service providers—namely Frontier, U.S. Cellular, and Vonage—performed necessary network upgrades, but were only beginning the negotiating and testing phase of exchanging authenticated traffic with other voice service providers.</w:t>
      </w:r>
      <w:r>
        <w:rPr>
          <w:rStyle w:val="FootnoteReference"/>
          <w:szCs w:val="22"/>
        </w:rPr>
        <w:footnoteReference w:id="354"/>
      </w:r>
      <w:r w:rsidRPr="00265DE5">
        <w:t xml:space="preserve">  Frontier reported that it “established the capability to authenticate and sign calls” and is in the negotiating and testing phase regarding authenticating traffic exchanged with other voice service providers.</w:t>
      </w:r>
      <w:r>
        <w:rPr>
          <w:rStyle w:val="FootnoteReference"/>
          <w:szCs w:val="22"/>
        </w:rPr>
        <w:footnoteReference w:id="355"/>
      </w:r>
      <w:r w:rsidRPr="00265DE5">
        <w:t xml:space="preserve">  Sprint reported that it “deployed the core STIR/SHAKEN capability in its network” and was testing the exchange of authenticated traffic with Comcast and T-Mobile.</w:t>
      </w:r>
      <w:r>
        <w:rPr>
          <w:rStyle w:val="FootnoteReference"/>
          <w:szCs w:val="22"/>
        </w:rPr>
        <w:footnoteReference w:id="356"/>
      </w:r>
      <w:r w:rsidRPr="00265DE5">
        <w:t xml:space="preserve">  In 2019, </w:t>
      </w:r>
      <w:r w:rsidRPr="00265DE5">
        <w:rPr>
          <w:iCs/>
        </w:rPr>
        <w:t xml:space="preserve">U.S. Cellular “successfully implemented the STIR/SHAKEN technology in its network” and is currently “in various stages of the [interconnection agreement] process with three of the four national wireless carriers . . . including, the successful exchange of traffic on a test basis with at least one </w:t>
      </w:r>
      <w:r w:rsidRPr="00265DE5">
        <w:rPr>
          <w:iCs/>
        </w:rPr>
        <w:t>of .</w:t>
      </w:r>
      <w:r w:rsidRPr="00265DE5">
        <w:rPr>
          <w:iCs/>
        </w:rPr>
        <w:t> . . those carriers.”</w:t>
      </w:r>
      <w:r>
        <w:rPr>
          <w:rStyle w:val="FootnoteReference"/>
          <w:iCs/>
          <w:szCs w:val="22"/>
        </w:rPr>
        <w:footnoteReference w:id="357"/>
      </w:r>
      <w:r w:rsidRPr="00265DE5">
        <w:rPr>
          <w:iCs/>
        </w:rPr>
        <w:t xml:space="preserve">  Vonage reported that it</w:t>
      </w:r>
      <w:r w:rsidRPr="00265DE5">
        <w:t xml:space="preserve"> was testing with “its two largest peering partners” and had “reached out to twenty additional carriers to implement outbound and inbound testing schedules.”</w:t>
      </w:r>
      <w:r>
        <w:rPr>
          <w:rStyle w:val="FootnoteReference"/>
          <w:szCs w:val="22"/>
        </w:rPr>
        <w:footnoteReference w:id="358"/>
      </w:r>
      <w:r w:rsidRPr="00265DE5">
        <w:t xml:space="preserve">  </w:t>
      </w:r>
    </w:p>
    <w:p w:rsidR="00C37333" w:rsidRPr="00265DE5" w:rsidP="00CC2A07" w14:paraId="060193E4" w14:textId="2F8ACC7C">
      <w:pPr>
        <w:pStyle w:val="ParaNum"/>
      </w:pPr>
      <w:r w:rsidRPr="00265DE5">
        <w:rPr>
          <w:i/>
          <w:iCs/>
        </w:rPr>
        <w:t xml:space="preserve">Voice Service Providers </w:t>
      </w:r>
      <w:r w:rsidR="00DE1BEA">
        <w:rPr>
          <w:i/>
          <w:iCs/>
        </w:rPr>
        <w:t>That</w:t>
      </w:r>
      <w:r w:rsidRPr="00265DE5" w:rsidR="00DE1BEA">
        <w:rPr>
          <w:i/>
          <w:iCs/>
        </w:rPr>
        <w:t xml:space="preserve"> </w:t>
      </w:r>
      <w:r w:rsidRPr="00265DE5">
        <w:rPr>
          <w:i/>
          <w:iCs/>
        </w:rPr>
        <w:t xml:space="preserve">Had Indicated Limited Network Upgrade Progress by </w:t>
      </w:r>
      <w:r w:rsidR="001228ED">
        <w:rPr>
          <w:i/>
          <w:iCs/>
        </w:rPr>
        <w:t xml:space="preserve">the </w:t>
      </w:r>
      <w:r w:rsidRPr="00265DE5">
        <w:rPr>
          <w:i/>
          <w:iCs/>
        </w:rPr>
        <w:t xml:space="preserve">End of 2019.  </w:t>
      </w:r>
      <w:r w:rsidRPr="00265DE5">
        <w:t>An additional category of voice service providers—including CenturyLink, TDS, and Google—indicated limited progress in making the necessary network upgrades.</w:t>
      </w:r>
      <w:r>
        <w:rPr>
          <w:rStyle w:val="FootnoteReference"/>
          <w:szCs w:val="22"/>
        </w:rPr>
        <w:footnoteReference w:id="359"/>
      </w:r>
      <w:r w:rsidRPr="00265DE5">
        <w:t xml:space="preserve">  CenturyLink, for instance, stated that as of late 2019 it had “taken the steps necessary to prepare its network for SHAKEN/STIR </w:t>
      </w:r>
      <w:r w:rsidRPr="00265DE5">
        <w:t>deployment” and is currently conducting testing for wider deployment on its IP networks.</w:t>
      </w:r>
      <w:r>
        <w:rPr>
          <w:rStyle w:val="FootnoteReference"/>
          <w:szCs w:val="22"/>
        </w:rPr>
        <w:footnoteReference w:id="360"/>
      </w:r>
      <w:r w:rsidRPr="00265DE5">
        <w:t xml:space="preserve">  TDS, meanwhile, reported that it had completed work in 2019 to evaluate, select, and </w:t>
      </w:r>
      <w:r w:rsidRPr="00265DE5" w:rsidR="00E05FBA">
        <w:t>lab</w:t>
      </w:r>
      <w:r w:rsidR="00E05FBA">
        <w:t>-</w:t>
      </w:r>
      <w:r w:rsidRPr="00265DE5">
        <w:t>test a vendor solution to allow it to integrate STIR/SHAKEN in the IP portions of its network.</w:t>
      </w:r>
      <w:r>
        <w:rPr>
          <w:rStyle w:val="FootnoteReference"/>
          <w:szCs w:val="22"/>
        </w:rPr>
        <w:footnoteReference w:id="361"/>
      </w:r>
      <w:r w:rsidRPr="00265DE5">
        <w:t xml:space="preserve">  It is in the process of developing implementation plans, but because many of its interconnection points with other providers are not IP-enabled, it “forecast[s] that only a small percentage of traffic will be exchanged in IP when SHAKEN/STIR is initially deployed in the TDS IP network.”</w:t>
      </w:r>
      <w:r>
        <w:rPr>
          <w:rStyle w:val="FootnoteReference"/>
          <w:szCs w:val="22"/>
        </w:rPr>
        <w:footnoteReference w:id="362"/>
      </w:r>
      <w:r w:rsidRPr="00265DE5">
        <w:t xml:space="preserve">  Google provided limited detail about the status of implementation but stated that it “remains committed to implementing SHAKEN/STIR and . . . ha[s] taken considerable steps toward doing so.”</w:t>
      </w:r>
      <w:r>
        <w:rPr>
          <w:rStyle w:val="FootnoteReference"/>
          <w:szCs w:val="22"/>
        </w:rPr>
        <w:footnoteReference w:id="363"/>
      </w:r>
      <w:r w:rsidRPr="00265DE5">
        <w:t xml:space="preserve">  </w:t>
      </w:r>
    </w:p>
    <w:p w:rsidR="00D530AA" w:rsidP="00D1765C" w14:paraId="7B6414AF" w14:textId="22C77088">
      <w:pPr>
        <w:pStyle w:val="Heading2"/>
      </w:pPr>
      <w:r w:rsidRPr="00265DE5">
        <w:t xml:space="preserve">Implementation Progress Since </w:t>
      </w:r>
      <w:r w:rsidR="00376B30">
        <w:t xml:space="preserve">the </w:t>
      </w:r>
      <w:r w:rsidRPr="00265DE5">
        <w:t>End of 2019</w:t>
      </w:r>
    </w:p>
    <w:p w:rsidR="00C37333" w:rsidRPr="00265DE5" w:rsidP="00CC2A07" w14:paraId="059353EB" w14:textId="2F3F9549">
      <w:pPr>
        <w:pStyle w:val="ParaNum"/>
      </w:pPr>
      <w:r w:rsidRPr="00265DE5">
        <w:t>Since the end of 2019, several major voice service providers have announced further progress in STIR/SHAKEN implementation.  In February 2020, T-Mobile announced that it began exchanging authenticated traffic with Sprint.</w:t>
      </w:r>
      <w:r>
        <w:rPr>
          <w:vertAlign w:val="superscript"/>
        </w:rPr>
        <w:footnoteReference w:id="364"/>
      </w:r>
      <w:r w:rsidR="008D2A1E">
        <w:t xml:space="preserve">  On March 25, 2020, Bandwidth announced that it has begun exchanging authenticated traffic with T-Mobile.</w:t>
      </w:r>
      <w:r>
        <w:rPr>
          <w:rStyle w:val="FootnoteReference"/>
        </w:rPr>
        <w:footnoteReference w:id="365"/>
      </w:r>
      <w:r w:rsidR="00C62B92">
        <w:t xml:space="preserve"> </w:t>
      </w:r>
      <w:r w:rsidR="003A36E6">
        <w:t xml:space="preserve"> </w:t>
      </w:r>
      <w:r w:rsidR="00C56133">
        <w:t>T</w:t>
      </w:r>
      <w:r w:rsidR="00C62B92">
        <w:t>he</w:t>
      </w:r>
      <w:r w:rsidR="00C56133">
        <w:t xml:space="preserve"> STIR/SHAKEN</w:t>
      </w:r>
      <w:r w:rsidR="00C62B92">
        <w:t xml:space="preserve"> </w:t>
      </w:r>
      <w:r w:rsidR="00C56133">
        <w:t>G</w:t>
      </w:r>
      <w:r w:rsidR="00C62B92">
        <w:t xml:space="preserve">overnance </w:t>
      </w:r>
      <w:r w:rsidR="00C56133">
        <w:t>A</w:t>
      </w:r>
      <w:r w:rsidR="00C62B92">
        <w:t>uthority</w:t>
      </w:r>
      <w:r w:rsidR="00C56133">
        <w:t xml:space="preserve"> reports that</w:t>
      </w:r>
      <w:r w:rsidR="00C62B92">
        <w:t xml:space="preserve"> 58 voice service providers have </w:t>
      </w:r>
      <w:r w:rsidR="00C56133">
        <w:t>begun</w:t>
      </w:r>
      <w:r w:rsidR="00C62B92">
        <w:t xml:space="preserve"> registration </w:t>
      </w:r>
      <w:r w:rsidR="00C56133">
        <w:t>to participate in STIR/SHAKEN through the governance system and that 22 of these providers have completed registration and been approved</w:t>
      </w:r>
      <w:r w:rsidR="00C62B92">
        <w:t>.</w:t>
      </w:r>
      <w:r>
        <w:rPr>
          <w:rStyle w:val="FootnoteReference"/>
        </w:rPr>
        <w:footnoteReference w:id="366"/>
      </w:r>
      <w:r w:rsidR="00C62B92">
        <w:t xml:space="preserve">  </w:t>
      </w:r>
    </w:p>
    <w:p w:rsidR="00C37333" w:rsidRPr="0018088D" w:rsidP="0018088D" w14:paraId="2B7535CC" w14:textId="1415A841">
      <w:pPr>
        <w:pStyle w:val="ParaNum"/>
      </w:pPr>
      <w:r w:rsidRPr="00265DE5">
        <w:t xml:space="preserve">While the Commission’s March 2020 </w:t>
      </w:r>
      <w:r w:rsidRPr="00D1765C">
        <w:rPr>
          <w:i/>
          <w:iCs/>
        </w:rPr>
        <w:t>Report and Order and Further Notice of Proposed Rulemaking</w:t>
      </w:r>
      <w:r w:rsidRPr="00265DE5">
        <w:t xml:space="preserve"> reported on implementation progress made by </w:t>
      </w:r>
      <w:r w:rsidR="00E7765E">
        <w:t>14</w:t>
      </w:r>
      <w:r w:rsidRPr="00265DE5" w:rsidR="00E7765E">
        <w:t xml:space="preserve"> </w:t>
      </w:r>
      <w:r w:rsidRPr="00265DE5">
        <w:t>major voice service providers, other voice service providers and intermediate providers announced progress towards STIR/SHAKEN implementation.  For example, on October 9, 2019, Peerless Network, a provider of telecommunications services for enterprise and wholesale customers, announced that it had upgraded its network to be STIR/SHAKEN compliant.</w:t>
      </w:r>
      <w:r>
        <w:rPr>
          <w:rStyle w:val="FootnoteReference"/>
          <w:szCs w:val="22"/>
        </w:rPr>
        <w:footnoteReference w:id="367"/>
      </w:r>
      <w:r w:rsidRPr="00265DE5">
        <w:t xml:space="preserve">  On November 21, 2019, </w:t>
      </w:r>
      <w:r w:rsidRPr="00265DE5">
        <w:t>Inteliquent</w:t>
      </w:r>
      <w:r w:rsidRPr="00265DE5">
        <w:t>, a network-based communications enabler offering voice and messaging services to wireless, cable, carrier, and communication service providers, announced that it completed end-to-end STIR/SHAKEN call verification across three networks.</w:t>
      </w:r>
      <w:r>
        <w:rPr>
          <w:rStyle w:val="FootnoteReference"/>
          <w:szCs w:val="22"/>
        </w:rPr>
        <w:footnoteReference w:id="368"/>
      </w:r>
      <w:r w:rsidRPr="00265DE5">
        <w:t xml:space="preserve">  On February 26, 2020, </w:t>
      </w:r>
      <w:r w:rsidRPr="00265DE5">
        <w:t>Brightlink</w:t>
      </w:r>
      <w:r w:rsidRPr="00265DE5">
        <w:t xml:space="preserve">, a provider of multi-cloud management software offering voice and messaging communication applications and analytics, announced that it “now has </w:t>
      </w:r>
      <w:r w:rsidRPr="00265DE5">
        <w:t>STIR/SHAKEN authentication across its entire network.”</w:t>
      </w:r>
      <w:r>
        <w:rPr>
          <w:vertAlign w:val="superscript"/>
        </w:rPr>
        <w:footnoteReference w:id="369"/>
      </w:r>
      <w:r w:rsidRPr="00265DE5">
        <w:t xml:space="preserve">  On February 27, </w:t>
      </w:r>
      <w:r w:rsidR="00480610">
        <w:t xml:space="preserve">2020, </w:t>
      </w:r>
      <w:r w:rsidRPr="00265DE5">
        <w:t>Ytel</w:t>
      </w:r>
      <w:r w:rsidRPr="00265DE5">
        <w:t>, a software company which provides a communication platform allowing developers and businesses to build SMS and voice capabilities into various applications, announced that it “successfully completed one of the first STIR/SHAKEN signed and verified calls from [its] network.”</w:t>
      </w:r>
      <w:r>
        <w:rPr>
          <w:rStyle w:val="FootnoteReference"/>
          <w:szCs w:val="22"/>
        </w:rPr>
        <w:footnoteReference w:id="370"/>
      </w:r>
      <w:r w:rsidRPr="00265DE5">
        <w:t xml:space="preserve"> </w:t>
      </w:r>
      <w:r w:rsidR="005579FD">
        <w:t xml:space="preserve"> On April 8, 2020, Twilio, a cloud communications platform that enables phones, VoIP, and messaging to be embedded into web, desktop, and mobile software,</w:t>
      </w:r>
      <w:r>
        <w:rPr>
          <w:rStyle w:val="FootnoteReference"/>
        </w:rPr>
        <w:footnoteReference w:id="371"/>
      </w:r>
      <w:r w:rsidR="005579FD">
        <w:t xml:space="preserve"> announced that it had begun signing enterprise calls using STIR/SHAKEN protocols.</w:t>
      </w:r>
      <w:r>
        <w:rPr>
          <w:rStyle w:val="FootnoteReference"/>
        </w:rPr>
        <w:footnoteReference w:id="372"/>
      </w:r>
      <w:r w:rsidR="00E52459">
        <w:t xml:space="preserve">  On May 26, 2020, Quality Voice &amp; Data, a cloud-based telecom switching and VoIP services provider announced that it now meets requirements necessary to provide STIR/SHAKEN call attestation for its customers.</w:t>
      </w:r>
      <w:r>
        <w:rPr>
          <w:rStyle w:val="FootnoteReference"/>
        </w:rPr>
        <w:footnoteReference w:id="373"/>
      </w:r>
      <w:r w:rsidR="00E52459">
        <w:t xml:space="preserve"> </w:t>
      </w:r>
    </w:p>
    <w:p w:rsidR="005172EC" w:rsidRPr="0018088D" w:rsidP="005172EC" w14:paraId="4A9D9DAA" w14:textId="557678F8">
      <w:pPr>
        <w:pStyle w:val="Heading1"/>
      </w:pPr>
      <w:r w:rsidRPr="0018088D">
        <w:t>impact on 911 and public safety</w:t>
      </w:r>
      <w:r w:rsidRPr="0018088D" w:rsidR="00A97C00">
        <w:t xml:space="preserve">  </w:t>
      </w:r>
    </w:p>
    <w:p w:rsidR="00564261" w:rsidP="00762395" w14:paraId="68CFE5D1" w14:textId="0808B5E3">
      <w:pPr>
        <w:pStyle w:val="ParaNum"/>
      </w:pPr>
      <w:r>
        <w:t>NENA notes that</w:t>
      </w:r>
      <w:r w:rsidR="000E31A3">
        <w:t>,</w:t>
      </w:r>
      <w:r>
        <w:t xml:space="preserve"> as a general matter, 911 call centers, particularly their administrative lines, are subject to </w:t>
      </w:r>
      <w:r w:rsidR="00BA2000">
        <w:t xml:space="preserve">receiving </w:t>
      </w:r>
      <w:r>
        <w:t>robocal</w:t>
      </w:r>
      <w:r w:rsidR="00480610">
        <w:t>ls</w:t>
      </w:r>
      <w:r>
        <w:t>.</w:t>
      </w:r>
      <w:r>
        <w:rPr>
          <w:rStyle w:val="FootnoteReference"/>
        </w:rPr>
        <w:footnoteReference w:id="374"/>
      </w:r>
      <w:r>
        <w:t xml:space="preserve">  While they further state they there is no nationwide tally of robocalling affecting PSAPs, they recite several instances in which particular PSAPs have been subject to multiple robocalls over a short period of time, and note that this can be particularly problematic during periods of high call volume such as </w:t>
      </w:r>
      <w:r w:rsidR="000E31A3">
        <w:t>large-</w:t>
      </w:r>
      <w:r>
        <w:t>scale emergencies.</w:t>
      </w:r>
      <w:r>
        <w:rPr>
          <w:rStyle w:val="FootnoteReference"/>
        </w:rPr>
        <w:footnoteReference w:id="375"/>
      </w:r>
      <w:r>
        <w:t xml:space="preserve">  NENA suggests that at worst such unwanted calls could lead to delays in responder dispatch.</w:t>
      </w:r>
      <w:r>
        <w:rPr>
          <w:rStyle w:val="FootnoteReference"/>
        </w:rPr>
        <w:footnoteReference w:id="376"/>
      </w:r>
      <w:r>
        <w:t xml:space="preserve">  </w:t>
      </w:r>
    </w:p>
    <w:p w:rsidR="00564261" w:rsidP="00564261" w14:paraId="0AB0757F" w14:textId="2ECB4FAD">
      <w:pPr>
        <w:pStyle w:val="ParaNum"/>
      </w:pPr>
      <w:r>
        <w:t xml:space="preserve">With respect to additional impacts on 911, several commenters report that they are unaware of any instances in which their blocking programs have blocked an emergency call, or that they otherwise </w:t>
      </w:r>
      <w:r w:rsidR="003614BA">
        <w:t>d</w:t>
      </w:r>
      <w:r>
        <w:t xml:space="preserve">o not block </w:t>
      </w:r>
      <w:r w:rsidR="003614BA">
        <w:t xml:space="preserve">either </w:t>
      </w:r>
      <w:r>
        <w:t>calls made to a PSAP or a call back from a PSAP to a 911 caller.</w:t>
      </w:r>
      <w:r>
        <w:rPr>
          <w:rStyle w:val="FootnoteReference"/>
        </w:rPr>
        <w:footnoteReference w:id="377"/>
      </w:r>
      <w:r>
        <w:t xml:space="preserve">  For example, Sprint states that it has not observed any evidence that 911 and public safety calls are being blocked, and that such calls are unlikely to match the calling patterns used by illegal callers.</w:t>
      </w:r>
      <w:r>
        <w:rPr>
          <w:rStyle w:val="FootnoteReference"/>
        </w:rPr>
        <w:footnoteReference w:id="378"/>
      </w:r>
      <w:r>
        <w:t xml:space="preserve">  Some carriers also state that they are taking measures to mitigate any possible call blocking.  Charter states that it is putting measures in place to prevent subscribers from inadvertently using a call-blocking feature to block calls from a PSAP,</w:t>
      </w:r>
      <w:r>
        <w:rPr>
          <w:rStyle w:val="FootnoteReference"/>
        </w:rPr>
        <w:footnoteReference w:id="379"/>
      </w:r>
      <w:r>
        <w:t xml:space="preserve"> while T-Mobile and First Orion state that they update numbers belonging to emergency </w:t>
      </w:r>
      <w:r>
        <w:t>call centers or other public safety entities to prevent inadvertent blocking of call-back calls.</w:t>
      </w:r>
      <w:r>
        <w:rPr>
          <w:rStyle w:val="FootnoteReference"/>
        </w:rPr>
        <w:footnoteReference w:id="380"/>
      </w:r>
      <w:r>
        <w:t xml:space="preserve">  Nomorobo further explains that it would be unlikely that a call made by a PSAP would be blocked because call blocking technology relies on high volume and content analysis.</w:t>
      </w:r>
      <w:r>
        <w:rPr>
          <w:rStyle w:val="FootnoteReference"/>
        </w:rPr>
        <w:footnoteReference w:id="381"/>
      </w:r>
      <w:r>
        <w:t xml:space="preserve">  </w:t>
      </w:r>
    </w:p>
    <w:p w:rsidR="00564261" w:rsidP="004129DF" w14:paraId="2EA77212" w14:textId="2E983233">
      <w:pPr>
        <w:pStyle w:val="ParaNum"/>
        <w:widowControl/>
      </w:pPr>
      <w:r>
        <w:t>Nevertheless, call blocking, whether inadvertent or otherwise, remains a concern for public safety commenters.</w:t>
      </w:r>
      <w:r>
        <w:rPr>
          <w:rStyle w:val="FootnoteReference"/>
        </w:rPr>
        <w:footnoteReference w:id="382"/>
      </w:r>
      <w:r>
        <w:t xml:space="preserve">  As </w:t>
      </w:r>
      <w:r>
        <w:t>Teltech</w:t>
      </w:r>
      <w:r>
        <w:t xml:space="preserve"> explains, this can be problematic when, in an emergency situation, a PSAP is disconnected from the caller and the number used by the PSAP to call back the 911 caller is unknowingly blocked.</w:t>
      </w:r>
      <w:r>
        <w:rPr>
          <w:rStyle w:val="FootnoteReference"/>
        </w:rPr>
        <w:footnoteReference w:id="383"/>
      </w:r>
      <w:r>
        <w:t xml:space="preserve">  NENA similarly notes that it has anecdotal evidence of PSAP outgoing calls being blocked when a PSAP is seeking to re-establish contact with a caller when a 911 call is dropped.</w:t>
      </w:r>
      <w:r>
        <w:rPr>
          <w:rStyle w:val="FootnoteReference"/>
        </w:rPr>
        <w:footnoteReference w:id="384"/>
      </w:r>
      <w:r>
        <w:t xml:space="preserve">  TNS states that it has seen instances where outbound calls from an emergency services center contained an invalid telephone number, which could affect whether the call is accepted.</w:t>
      </w:r>
      <w:r>
        <w:rPr>
          <w:rStyle w:val="FootnoteReference"/>
        </w:rPr>
        <w:footnoteReference w:id="385"/>
      </w:r>
      <w:r>
        <w:t xml:space="preserve">  In an effort to address these problems, TNS states that TNS and Verizon have reached out to NENA to work with the 911 community to obtain information from PSAPs about the numbers they use.</w:t>
      </w:r>
      <w:r>
        <w:rPr>
          <w:rStyle w:val="FootnoteReference"/>
        </w:rPr>
        <w:footnoteReference w:id="386"/>
      </w:r>
      <w:r>
        <w:t xml:space="preserve">  ATIS also observes that the industry is working on ways to mitigate impacts of call blocking on 911 by cryptographically signing the header field to allow a receiving entity to verify that the traffic is authorized 911 public safety traffic.</w:t>
      </w:r>
      <w:r>
        <w:rPr>
          <w:rStyle w:val="FootnoteReference"/>
        </w:rPr>
        <w:footnoteReference w:id="387"/>
      </w:r>
      <w:r>
        <w:t xml:space="preserve">   </w:t>
      </w:r>
    </w:p>
    <w:p w:rsidR="005172EC" w:rsidP="005172EC" w14:paraId="2FE7D315" w14:textId="77777777">
      <w:pPr>
        <w:pStyle w:val="Heading1"/>
      </w:pPr>
      <w:r>
        <w:t>conclusion</w:t>
      </w:r>
    </w:p>
    <w:p w:rsidR="001066EC" w:rsidRPr="001066EC" w:rsidP="001066EC" w14:paraId="6B99ABB6" w14:textId="513672A5">
      <w:pPr>
        <w:pStyle w:val="ParaNum"/>
      </w:pPr>
      <w:r>
        <w:t>Billions of dollars are lost to fraud due to unwanted scam calls.</w:t>
      </w:r>
      <w:r>
        <w:rPr>
          <w:rStyle w:val="FootnoteReference"/>
        </w:rPr>
        <w:footnoteReference w:id="388"/>
      </w:r>
      <w:r w:rsidR="004A0D98">
        <w:t xml:space="preserve">  The Commission has devoted significant resources to fighting illegal and unwanted calls.  Nevertheless, robocalls remain a substantial consumer problem.  </w:t>
      </w:r>
      <w:r w:rsidR="00B978BC">
        <w:t xml:space="preserve">The Commission has taken enforcement action against </w:t>
      </w:r>
      <w:r w:rsidR="00B978BC">
        <w:t>robocallers</w:t>
      </w:r>
      <w:r w:rsidR="00B978BC">
        <w:t xml:space="preserve"> for violations of the Truth in Caller ID Act,</w:t>
      </w:r>
      <w:r>
        <w:rPr>
          <w:rStyle w:val="FootnoteReference"/>
        </w:rPr>
        <w:footnoteReference w:id="389"/>
      </w:r>
      <w:r w:rsidR="00B978BC">
        <w:t xml:space="preserve"> authorized voice service providers to block certain calls that are likely to be unlawful,</w:t>
      </w:r>
      <w:r>
        <w:rPr>
          <w:rStyle w:val="FootnoteReference"/>
        </w:rPr>
        <w:footnoteReference w:id="390"/>
      </w:r>
      <w:r w:rsidR="00B978BC">
        <w:t xml:space="preserve"> and mandated that voice service providers implement the STIR/SHAKEN call authentication framework.</w:t>
      </w:r>
      <w:r>
        <w:rPr>
          <w:rStyle w:val="FootnoteReference"/>
        </w:rPr>
        <w:footnoteReference w:id="391"/>
      </w:r>
      <w:r w:rsidR="00B978BC">
        <w:t xml:space="preserve"> </w:t>
      </w:r>
      <w:r w:rsidR="00597245">
        <w:t xml:space="preserve"> </w:t>
      </w:r>
      <w:r w:rsidR="004A0D98">
        <w:t xml:space="preserve">The industry has </w:t>
      </w:r>
      <w:r w:rsidR="00B978BC">
        <w:t xml:space="preserve">also </w:t>
      </w:r>
      <w:r w:rsidR="004A0D98">
        <w:t xml:space="preserve">taken strong action to provide tools for consumers to block unwanted and illegal calls.  </w:t>
      </w:r>
      <w:r w:rsidR="00A421F3">
        <w:t>This first Report provides a summary of voice service providers</w:t>
      </w:r>
      <w:r w:rsidR="00FD2BC4">
        <w:t>’</w:t>
      </w:r>
      <w:r w:rsidR="00A421F3">
        <w:t xml:space="preserve"> and analytics companies</w:t>
      </w:r>
      <w:r w:rsidR="00FD2BC4">
        <w:t>’ actions</w:t>
      </w:r>
      <w:r w:rsidR="00A421F3">
        <w:t xml:space="preserve"> to prevent illegal and unwanted calls.  </w:t>
      </w:r>
      <w:r w:rsidRPr="00F11544" w:rsidR="005139F4">
        <w:t xml:space="preserve">Pursuant to </w:t>
      </w:r>
      <w:r w:rsidR="00F11544">
        <w:t xml:space="preserve">the </w:t>
      </w:r>
      <w:r w:rsidRPr="00F11544" w:rsidR="00F11544">
        <w:rPr>
          <w:i/>
          <w:iCs/>
        </w:rPr>
        <w:t>2019 Call Blocking Declaratory Ruling</w:t>
      </w:r>
      <w:r w:rsidR="00F11544">
        <w:t xml:space="preserve">, </w:t>
      </w:r>
      <w:r w:rsidRPr="00F11544" w:rsidR="005139F4">
        <w:t>the Commission will issue a second Report to follow up on th</w:t>
      </w:r>
      <w:r w:rsidR="00F11544">
        <w:t>e call blocking data discussed here.</w:t>
      </w:r>
      <w:r>
        <w:rPr>
          <w:rStyle w:val="FootnoteReference"/>
        </w:rPr>
        <w:footnoteReference w:id="392"/>
      </w:r>
      <w:r w:rsidR="005139F4">
        <w:t xml:space="preserve"> </w:t>
      </w:r>
      <w:r w:rsidR="00BA2000">
        <w:t xml:space="preserve"> </w:t>
      </w:r>
      <w:r w:rsidR="004A0D98">
        <w:t>The Commission remains committed to work</w:t>
      </w:r>
      <w:r w:rsidR="00FD2BC4">
        <w:t>ing</w:t>
      </w:r>
      <w:r w:rsidR="004A0D98">
        <w:t xml:space="preserve"> with the industry and other government agencies to eliminate the scourge of illegal robocalls.</w:t>
      </w:r>
    </w:p>
    <w:p w:rsidR="00BC12B9" w:rsidP="00BC12B9" w14:paraId="015D5238" w14:textId="77777777">
      <w:pPr>
        <w:pStyle w:val="ParaNum"/>
        <w:numPr>
          <w:ilvl w:val="0"/>
          <w:numId w:val="0"/>
        </w:numPr>
        <w:ind w:left="720"/>
        <w:jc w:val="center"/>
        <w:rPr>
          <w:b/>
          <w:bCs/>
        </w:rPr>
      </w:pPr>
      <w:r>
        <w:br w:type="page"/>
      </w:r>
      <w:r w:rsidRPr="00BC12B9">
        <w:rPr>
          <w:b/>
          <w:bCs/>
        </w:rPr>
        <w:t>APPENDIX A</w:t>
      </w:r>
    </w:p>
    <w:p w:rsidR="001218F8" w:rsidRPr="00BC12B9" w:rsidP="00BC12B9" w14:paraId="7427CD70" w14:textId="77777777">
      <w:pPr>
        <w:pStyle w:val="ParaNum"/>
        <w:numPr>
          <w:ilvl w:val="0"/>
          <w:numId w:val="0"/>
        </w:numPr>
        <w:ind w:left="720"/>
        <w:jc w:val="center"/>
        <w:rPr>
          <w:b/>
          <w:bCs/>
        </w:rPr>
      </w:pPr>
      <w:r>
        <w:rPr>
          <w:b/>
          <w:bCs/>
        </w:rPr>
        <w:t>List of Commenters</w:t>
      </w:r>
    </w:p>
    <w:p w:rsidR="00BC12B9" w:rsidP="00BC12B9" w14:paraId="36012A24" w14:textId="2D008CE3">
      <w:pPr>
        <w:pStyle w:val="ParaNum"/>
        <w:numPr>
          <w:ilvl w:val="0"/>
          <w:numId w:val="0"/>
        </w:numPr>
        <w:ind w:left="720"/>
        <w:jc w:val="center"/>
      </w:pPr>
      <w:r>
        <w:t>Commenters</w:t>
      </w:r>
      <w:r w:rsidR="0063187A">
        <w:t xml:space="preserve"> (filed Jan. 29-30, 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14:paraId="1F7607F1" w14:textId="77777777" w:rsidTr="00BE3D5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788" w:type="dxa"/>
            <w:shd w:val="clear" w:color="auto" w:fill="auto"/>
          </w:tcPr>
          <w:p w:rsidR="00BC12B9" w:rsidRPr="00BE3D57" w:rsidP="00BE3D57" w14:paraId="65BA6E09" w14:textId="77777777">
            <w:pPr>
              <w:pStyle w:val="ParaNum"/>
              <w:numPr>
                <w:ilvl w:val="0"/>
                <w:numId w:val="0"/>
              </w:numPr>
              <w:rPr>
                <w:b/>
                <w:bCs/>
              </w:rPr>
            </w:pPr>
            <w:r w:rsidRPr="00BE3D57">
              <w:rPr>
                <w:b/>
                <w:bCs/>
              </w:rPr>
              <w:t>Commenter</w:t>
            </w:r>
          </w:p>
        </w:tc>
        <w:tc>
          <w:tcPr>
            <w:tcW w:w="4788" w:type="dxa"/>
            <w:shd w:val="clear" w:color="auto" w:fill="auto"/>
          </w:tcPr>
          <w:p w:rsidR="00BC12B9" w:rsidRPr="00BE3D57" w:rsidP="00BE3D57" w14:paraId="3C1C29A2" w14:textId="77777777">
            <w:pPr>
              <w:pStyle w:val="ParaNum"/>
              <w:numPr>
                <w:ilvl w:val="0"/>
                <w:numId w:val="0"/>
              </w:numPr>
              <w:rPr>
                <w:b/>
                <w:bCs/>
              </w:rPr>
            </w:pPr>
            <w:r w:rsidRPr="00BE3D57">
              <w:rPr>
                <w:b/>
                <w:bCs/>
              </w:rPr>
              <w:t>Abbreviated Name</w:t>
            </w:r>
          </w:p>
        </w:tc>
      </w:tr>
      <w:tr w14:paraId="07C20625" w14:textId="77777777" w:rsidTr="00BE3D57">
        <w:tblPrEx>
          <w:tblW w:w="0" w:type="auto"/>
          <w:tblLook w:val="04A0"/>
        </w:tblPrEx>
        <w:tc>
          <w:tcPr>
            <w:tcW w:w="4788" w:type="dxa"/>
            <w:shd w:val="clear" w:color="auto" w:fill="auto"/>
          </w:tcPr>
          <w:p w:rsidR="00BE4A71" w:rsidP="00BE3D57" w14:paraId="0E1B6519" w14:textId="77777777">
            <w:pPr>
              <w:pStyle w:val="ParaNum"/>
              <w:numPr>
                <w:ilvl w:val="0"/>
                <w:numId w:val="0"/>
              </w:numPr>
            </w:pPr>
            <w:r>
              <w:t>ACA International</w:t>
            </w:r>
          </w:p>
        </w:tc>
        <w:tc>
          <w:tcPr>
            <w:tcW w:w="4788" w:type="dxa"/>
            <w:shd w:val="clear" w:color="auto" w:fill="auto"/>
          </w:tcPr>
          <w:p w:rsidR="00BE4A71" w:rsidP="00BE3D57" w14:paraId="4C021A91" w14:textId="19A48F38">
            <w:pPr>
              <w:pStyle w:val="ParaNum"/>
              <w:numPr>
                <w:ilvl w:val="0"/>
                <w:numId w:val="0"/>
              </w:numPr>
            </w:pPr>
            <w:r>
              <w:t>ACA</w:t>
            </w:r>
            <w:r w:rsidR="00F50248">
              <w:t xml:space="preserve"> International</w:t>
            </w:r>
          </w:p>
        </w:tc>
      </w:tr>
      <w:tr w14:paraId="105CEB2B" w14:textId="77777777" w:rsidTr="00BE3D57">
        <w:tblPrEx>
          <w:tblW w:w="0" w:type="auto"/>
          <w:tblLook w:val="04A0"/>
        </w:tblPrEx>
        <w:tc>
          <w:tcPr>
            <w:tcW w:w="4788" w:type="dxa"/>
            <w:shd w:val="clear" w:color="auto" w:fill="auto"/>
          </w:tcPr>
          <w:p w:rsidR="00C71290" w:rsidP="00BE3D57" w14:paraId="39726846" w14:textId="77777777">
            <w:pPr>
              <w:pStyle w:val="ParaNum"/>
              <w:numPr>
                <w:ilvl w:val="0"/>
                <w:numId w:val="0"/>
              </w:numPr>
            </w:pPr>
            <w:r>
              <w:t>Ad Hoc Telecom Users Committee</w:t>
            </w:r>
          </w:p>
        </w:tc>
        <w:tc>
          <w:tcPr>
            <w:tcW w:w="4788" w:type="dxa"/>
            <w:shd w:val="clear" w:color="auto" w:fill="auto"/>
          </w:tcPr>
          <w:p w:rsidR="00C71290" w:rsidP="00BE3D57" w14:paraId="75170D0F" w14:textId="77777777">
            <w:pPr>
              <w:pStyle w:val="ParaNum"/>
              <w:numPr>
                <w:ilvl w:val="0"/>
                <w:numId w:val="0"/>
              </w:numPr>
            </w:pPr>
            <w:r>
              <w:t>Ad Hoc</w:t>
            </w:r>
          </w:p>
        </w:tc>
      </w:tr>
      <w:tr w14:paraId="2C839442" w14:textId="77777777" w:rsidTr="00BE3D57">
        <w:tblPrEx>
          <w:tblW w:w="0" w:type="auto"/>
          <w:tblLook w:val="04A0"/>
        </w:tblPrEx>
        <w:tc>
          <w:tcPr>
            <w:tcW w:w="4788" w:type="dxa"/>
            <w:shd w:val="clear" w:color="auto" w:fill="auto"/>
          </w:tcPr>
          <w:p w:rsidR="00D452A9" w:rsidP="00BE3D57" w14:paraId="57B687B1" w14:textId="77777777">
            <w:pPr>
              <w:pStyle w:val="ParaNum"/>
              <w:numPr>
                <w:ilvl w:val="0"/>
                <w:numId w:val="0"/>
              </w:numPr>
            </w:pPr>
            <w:r>
              <w:t>Alliance for Telecommunications Industry Solutions</w:t>
            </w:r>
          </w:p>
        </w:tc>
        <w:tc>
          <w:tcPr>
            <w:tcW w:w="4788" w:type="dxa"/>
            <w:shd w:val="clear" w:color="auto" w:fill="auto"/>
          </w:tcPr>
          <w:p w:rsidR="00D452A9" w:rsidP="00BE3D57" w14:paraId="10807E8D" w14:textId="77777777">
            <w:pPr>
              <w:pStyle w:val="ParaNum"/>
              <w:numPr>
                <w:ilvl w:val="0"/>
                <w:numId w:val="0"/>
              </w:numPr>
            </w:pPr>
            <w:r>
              <w:t>ATIS</w:t>
            </w:r>
          </w:p>
        </w:tc>
      </w:tr>
      <w:tr w14:paraId="4F8127A8" w14:textId="77777777" w:rsidTr="00BE3D57">
        <w:tblPrEx>
          <w:tblW w:w="0" w:type="auto"/>
          <w:tblLook w:val="04A0"/>
        </w:tblPrEx>
        <w:tc>
          <w:tcPr>
            <w:tcW w:w="4788" w:type="dxa"/>
            <w:shd w:val="clear" w:color="auto" w:fill="auto"/>
          </w:tcPr>
          <w:p w:rsidR="00CD5AB8" w:rsidP="00BE3D57" w14:paraId="4EDB61D2" w14:textId="77777777">
            <w:pPr>
              <w:pStyle w:val="ParaNum"/>
              <w:numPr>
                <w:ilvl w:val="0"/>
                <w:numId w:val="0"/>
              </w:numPr>
            </w:pPr>
            <w:r>
              <w:t>Americollect</w:t>
            </w:r>
          </w:p>
        </w:tc>
        <w:tc>
          <w:tcPr>
            <w:tcW w:w="4788" w:type="dxa"/>
            <w:shd w:val="clear" w:color="auto" w:fill="auto"/>
          </w:tcPr>
          <w:p w:rsidR="00CD5AB8" w:rsidP="00BE3D57" w14:paraId="514497D2" w14:textId="77777777">
            <w:pPr>
              <w:pStyle w:val="ParaNum"/>
              <w:numPr>
                <w:ilvl w:val="0"/>
                <w:numId w:val="0"/>
              </w:numPr>
            </w:pPr>
            <w:r>
              <w:t>Americollect</w:t>
            </w:r>
          </w:p>
        </w:tc>
      </w:tr>
      <w:tr w14:paraId="1C650672" w14:textId="77777777" w:rsidTr="00BE3D57">
        <w:tblPrEx>
          <w:tblW w:w="0" w:type="auto"/>
          <w:tblLook w:val="04A0"/>
        </w:tblPrEx>
        <w:tc>
          <w:tcPr>
            <w:tcW w:w="4788" w:type="dxa"/>
            <w:shd w:val="clear" w:color="auto" w:fill="auto"/>
          </w:tcPr>
          <w:p w:rsidR="00990DB8" w:rsidP="00BE3D57" w14:paraId="28DB461A" w14:textId="77777777">
            <w:pPr>
              <w:pStyle w:val="ParaNum"/>
              <w:numPr>
                <w:ilvl w:val="0"/>
                <w:numId w:val="0"/>
              </w:numPr>
            </w:pPr>
            <w:r>
              <w:t>American Bankers Association</w:t>
            </w:r>
          </w:p>
        </w:tc>
        <w:tc>
          <w:tcPr>
            <w:tcW w:w="4788" w:type="dxa"/>
            <w:shd w:val="clear" w:color="auto" w:fill="auto"/>
          </w:tcPr>
          <w:p w:rsidR="00990DB8" w:rsidP="00BE3D57" w14:paraId="7F1D26C3" w14:textId="77777777">
            <w:pPr>
              <w:pStyle w:val="ParaNum"/>
              <w:numPr>
                <w:ilvl w:val="0"/>
                <w:numId w:val="0"/>
              </w:numPr>
            </w:pPr>
            <w:r>
              <w:t>ABA</w:t>
            </w:r>
          </w:p>
        </w:tc>
      </w:tr>
      <w:tr w14:paraId="779BDF15" w14:textId="77777777" w:rsidTr="00BE3D57">
        <w:tblPrEx>
          <w:tblW w:w="0" w:type="auto"/>
          <w:tblLook w:val="04A0"/>
        </w:tblPrEx>
        <w:tc>
          <w:tcPr>
            <w:tcW w:w="4788" w:type="dxa"/>
            <w:shd w:val="clear" w:color="auto" w:fill="auto"/>
          </w:tcPr>
          <w:p w:rsidR="003921B6" w:rsidP="00BE3D57" w14:paraId="6AB503C6" w14:textId="77777777">
            <w:pPr>
              <w:pStyle w:val="ParaNum"/>
              <w:numPr>
                <w:ilvl w:val="0"/>
                <w:numId w:val="0"/>
              </w:numPr>
            </w:pPr>
            <w:r>
              <w:t>AT&amp;T Services, Inc.</w:t>
            </w:r>
          </w:p>
        </w:tc>
        <w:tc>
          <w:tcPr>
            <w:tcW w:w="4788" w:type="dxa"/>
            <w:shd w:val="clear" w:color="auto" w:fill="auto"/>
          </w:tcPr>
          <w:p w:rsidR="003921B6" w:rsidP="00BE3D57" w14:paraId="3D5EC442" w14:textId="77777777">
            <w:pPr>
              <w:pStyle w:val="ParaNum"/>
              <w:numPr>
                <w:ilvl w:val="0"/>
                <w:numId w:val="0"/>
              </w:numPr>
            </w:pPr>
            <w:r>
              <w:t>AT&amp;T</w:t>
            </w:r>
          </w:p>
        </w:tc>
      </w:tr>
      <w:tr w14:paraId="63E0E9FD" w14:textId="77777777" w:rsidTr="00BE3D57">
        <w:tblPrEx>
          <w:tblW w:w="0" w:type="auto"/>
          <w:tblLook w:val="04A0"/>
        </w:tblPrEx>
        <w:tc>
          <w:tcPr>
            <w:tcW w:w="4788" w:type="dxa"/>
            <w:shd w:val="clear" w:color="auto" w:fill="auto"/>
          </w:tcPr>
          <w:p w:rsidR="004A7DF3" w:rsidP="00BE3D57" w14:paraId="31CA10EE" w14:textId="77777777">
            <w:pPr>
              <w:pStyle w:val="ParaNum"/>
              <w:numPr>
                <w:ilvl w:val="0"/>
                <w:numId w:val="0"/>
              </w:numPr>
            </w:pPr>
            <w:r>
              <w:t>Call Control LLC</w:t>
            </w:r>
          </w:p>
        </w:tc>
        <w:tc>
          <w:tcPr>
            <w:tcW w:w="4788" w:type="dxa"/>
            <w:shd w:val="clear" w:color="auto" w:fill="auto"/>
          </w:tcPr>
          <w:p w:rsidR="004A7DF3" w:rsidP="00BE3D57" w14:paraId="2FF84E4F" w14:textId="77777777">
            <w:pPr>
              <w:pStyle w:val="ParaNum"/>
              <w:numPr>
                <w:ilvl w:val="0"/>
                <w:numId w:val="0"/>
              </w:numPr>
            </w:pPr>
            <w:r>
              <w:t>Call Control</w:t>
            </w:r>
          </w:p>
        </w:tc>
      </w:tr>
      <w:tr w14:paraId="09D8CF0C" w14:textId="77777777" w:rsidTr="00BE3D57">
        <w:tblPrEx>
          <w:tblW w:w="0" w:type="auto"/>
          <w:tblLook w:val="04A0"/>
        </w:tblPrEx>
        <w:tc>
          <w:tcPr>
            <w:tcW w:w="4788" w:type="dxa"/>
            <w:shd w:val="clear" w:color="auto" w:fill="auto"/>
          </w:tcPr>
          <w:p w:rsidR="003B460A" w:rsidP="00BE3D57" w14:paraId="467D7F14" w14:textId="77777777">
            <w:pPr>
              <w:pStyle w:val="ParaNum"/>
              <w:numPr>
                <w:ilvl w:val="0"/>
                <w:numId w:val="0"/>
              </w:numPr>
            </w:pPr>
            <w:r>
              <w:t>Charter Communications, Inc.</w:t>
            </w:r>
          </w:p>
        </w:tc>
        <w:tc>
          <w:tcPr>
            <w:tcW w:w="4788" w:type="dxa"/>
            <w:shd w:val="clear" w:color="auto" w:fill="auto"/>
          </w:tcPr>
          <w:p w:rsidR="003B460A" w:rsidP="00BE3D57" w14:paraId="5780F8E2" w14:textId="77777777">
            <w:pPr>
              <w:pStyle w:val="ParaNum"/>
              <w:numPr>
                <w:ilvl w:val="0"/>
                <w:numId w:val="0"/>
              </w:numPr>
            </w:pPr>
            <w:r>
              <w:t>Charter</w:t>
            </w:r>
          </w:p>
        </w:tc>
      </w:tr>
      <w:tr w14:paraId="71ECD0DF" w14:textId="77777777" w:rsidTr="00BE3D57">
        <w:tblPrEx>
          <w:tblW w:w="0" w:type="auto"/>
          <w:tblLook w:val="04A0"/>
        </w:tblPrEx>
        <w:tc>
          <w:tcPr>
            <w:tcW w:w="4788" w:type="dxa"/>
            <w:shd w:val="clear" w:color="auto" w:fill="auto"/>
          </w:tcPr>
          <w:p w:rsidR="00E57827" w:rsidP="00BE3D57" w14:paraId="5D8BA3C6" w14:textId="77777777">
            <w:pPr>
              <w:pStyle w:val="ParaNum"/>
              <w:numPr>
                <w:ilvl w:val="0"/>
                <w:numId w:val="0"/>
              </w:numPr>
            </w:pPr>
            <w:r>
              <w:t>Comcast Corporation</w:t>
            </w:r>
          </w:p>
        </w:tc>
        <w:tc>
          <w:tcPr>
            <w:tcW w:w="4788" w:type="dxa"/>
            <w:shd w:val="clear" w:color="auto" w:fill="auto"/>
          </w:tcPr>
          <w:p w:rsidR="00E57827" w:rsidP="00BE3D57" w14:paraId="5116C768" w14:textId="77777777">
            <w:pPr>
              <w:pStyle w:val="ParaNum"/>
              <w:numPr>
                <w:ilvl w:val="0"/>
                <w:numId w:val="0"/>
              </w:numPr>
            </w:pPr>
            <w:r>
              <w:t>Comcast</w:t>
            </w:r>
          </w:p>
        </w:tc>
      </w:tr>
      <w:tr w14:paraId="1A3204CD" w14:textId="77777777" w:rsidTr="00BE3D57">
        <w:tblPrEx>
          <w:tblW w:w="0" w:type="auto"/>
          <w:tblLook w:val="04A0"/>
        </w:tblPrEx>
        <w:tc>
          <w:tcPr>
            <w:tcW w:w="4788" w:type="dxa"/>
            <w:shd w:val="clear" w:color="auto" w:fill="auto"/>
          </w:tcPr>
          <w:p w:rsidR="00C26CB4" w:rsidP="00BE3D57" w14:paraId="2515F107" w14:textId="77777777">
            <w:pPr>
              <w:pStyle w:val="ParaNum"/>
              <w:numPr>
                <w:ilvl w:val="0"/>
                <w:numId w:val="0"/>
              </w:numPr>
            </w:pPr>
            <w:r>
              <w:t>Competitive Carriers Association</w:t>
            </w:r>
          </w:p>
        </w:tc>
        <w:tc>
          <w:tcPr>
            <w:tcW w:w="4788" w:type="dxa"/>
            <w:shd w:val="clear" w:color="auto" w:fill="auto"/>
          </w:tcPr>
          <w:p w:rsidR="00C26CB4" w:rsidP="00BE3D57" w14:paraId="55CC5051" w14:textId="77777777">
            <w:pPr>
              <w:pStyle w:val="ParaNum"/>
              <w:numPr>
                <w:ilvl w:val="0"/>
                <w:numId w:val="0"/>
              </w:numPr>
            </w:pPr>
            <w:r>
              <w:t>CCA</w:t>
            </w:r>
          </w:p>
        </w:tc>
      </w:tr>
      <w:tr w14:paraId="1DE13705" w14:textId="77777777" w:rsidTr="00BE3D57">
        <w:tblPrEx>
          <w:tblW w:w="0" w:type="auto"/>
          <w:tblLook w:val="04A0"/>
        </w:tblPrEx>
        <w:tc>
          <w:tcPr>
            <w:tcW w:w="4788" w:type="dxa"/>
            <w:shd w:val="clear" w:color="auto" w:fill="auto"/>
          </w:tcPr>
          <w:p w:rsidR="00BC12B9" w:rsidP="00BE3D57" w14:paraId="0BEEE9FE" w14:textId="77777777">
            <w:pPr>
              <w:pStyle w:val="ParaNum"/>
              <w:numPr>
                <w:ilvl w:val="0"/>
                <w:numId w:val="0"/>
              </w:numPr>
            </w:pPr>
            <w:r>
              <w:t>Consumer Bankers Association</w:t>
            </w:r>
          </w:p>
        </w:tc>
        <w:tc>
          <w:tcPr>
            <w:tcW w:w="4788" w:type="dxa"/>
            <w:shd w:val="clear" w:color="auto" w:fill="auto"/>
          </w:tcPr>
          <w:p w:rsidR="00BC12B9" w:rsidP="00BE3D57" w14:paraId="67936D9E" w14:textId="77777777">
            <w:pPr>
              <w:pStyle w:val="ParaNum"/>
              <w:numPr>
                <w:ilvl w:val="0"/>
                <w:numId w:val="0"/>
              </w:numPr>
            </w:pPr>
            <w:r>
              <w:t>CBA</w:t>
            </w:r>
          </w:p>
        </w:tc>
      </w:tr>
      <w:tr w14:paraId="25A8C26F" w14:textId="77777777" w:rsidTr="00BE3D57">
        <w:tblPrEx>
          <w:tblW w:w="0" w:type="auto"/>
          <w:tblLook w:val="04A0"/>
        </w:tblPrEx>
        <w:tc>
          <w:tcPr>
            <w:tcW w:w="4788" w:type="dxa"/>
            <w:shd w:val="clear" w:color="auto" w:fill="auto"/>
          </w:tcPr>
          <w:p w:rsidR="00026B28" w:rsidP="00BE3D57" w14:paraId="64086E84" w14:textId="77777777">
            <w:pPr>
              <w:pStyle w:val="ParaNum"/>
              <w:numPr>
                <w:ilvl w:val="0"/>
                <w:numId w:val="0"/>
              </w:numPr>
            </w:pPr>
            <w:r>
              <w:t>Consumer Reports, National Consumer Law Center, Consumer Action, Consumer Federation of America, National Association of Consumer Advocates, and Public Citizen</w:t>
            </w:r>
          </w:p>
        </w:tc>
        <w:tc>
          <w:tcPr>
            <w:tcW w:w="4788" w:type="dxa"/>
            <w:shd w:val="clear" w:color="auto" w:fill="auto"/>
          </w:tcPr>
          <w:p w:rsidR="00026B28" w:rsidP="00BE3D57" w14:paraId="3284A488" w14:textId="77777777">
            <w:pPr>
              <w:pStyle w:val="ParaNum"/>
              <w:numPr>
                <w:ilvl w:val="0"/>
                <w:numId w:val="0"/>
              </w:numPr>
            </w:pPr>
            <w:r>
              <w:t>Consumer Joint Commenters</w:t>
            </w:r>
          </w:p>
        </w:tc>
      </w:tr>
      <w:tr w14:paraId="0555ED29" w14:textId="77777777" w:rsidTr="00BE3D57">
        <w:tblPrEx>
          <w:tblW w:w="0" w:type="auto"/>
          <w:tblLook w:val="04A0"/>
        </w:tblPrEx>
        <w:tc>
          <w:tcPr>
            <w:tcW w:w="4788" w:type="dxa"/>
            <w:shd w:val="clear" w:color="auto" w:fill="auto"/>
          </w:tcPr>
          <w:p w:rsidR="00C518B2" w:rsidP="00BE3D57" w14:paraId="5637EBAC" w14:textId="77777777">
            <w:pPr>
              <w:pStyle w:val="ParaNum"/>
              <w:numPr>
                <w:ilvl w:val="0"/>
                <w:numId w:val="0"/>
              </w:numPr>
            </w:pPr>
            <w:r>
              <w:t>Cox Communications, Inc.</w:t>
            </w:r>
          </w:p>
        </w:tc>
        <w:tc>
          <w:tcPr>
            <w:tcW w:w="4788" w:type="dxa"/>
            <w:shd w:val="clear" w:color="auto" w:fill="auto"/>
          </w:tcPr>
          <w:p w:rsidR="00C518B2" w:rsidP="00BE3D57" w14:paraId="3A590D09" w14:textId="77777777">
            <w:pPr>
              <w:pStyle w:val="ParaNum"/>
              <w:numPr>
                <w:ilvl w:val="0"/>
                <w:numId w:val="0"/>
              </w:numPr>
            </w:pPr>
            <w:r>
              <w:t>Cox</w:t>
            </w:r>
          </w:p>
        </w:tc>
      </w:tr>
      <w:tr w14:paraId="2A911AFD" w14:textId="77777777" w:rsidTr="00BE3D57">
        <w:tblPrEx>
          <w:tblW w:w="0" w:type="auto"/>
          <w:tblLook w:val="04A0"/>
        </w:tblPrEx>
        <w:tc>
          <w:tcPr>
            <w:tcW w:w="4788" w:type="dxa"/>
            <w:shd w:val="clear" w:color="auto" w:fill="auto"/>
          </w:tcPr>
          <w:p w:rsidR="003E0DE6" w:rsidP="00BE3D57" w14:paraId="4C77FE08" w14:textId="77777777">
            <w:pPr>
              <w:pStyle w:val="ParaNum"/>
              <w:numPr>
                <w:ilvl w:val="0"/>
                <w:numId w:val="0"/>
              </w:numPr>
            </w:pPr>
            <w:r>
              <w:t>Credit Union National Association</w:t>
            </w:r>
          </w:p>
        </w:tc>
        <w:tc>
          <w:tcPr>
            <w:tcW w:w="4788" w:type="dxa"/>
            <w:shd w:val="clear" w:color="auto" w:fill="auto"/>
          </w:tcPr>
          <w:p w:rsidR="003E0DE6" w:rsidP="00BE3D57" w14:paraId="32596554" w14:textId="77777777">
            <w:pPr>
              <w:pStyle w:val="ParaNum"/>
              <w:numPr>
                <w:ilvl w:val="0"/>
                <w:numId w:val="0"/>
              </w:numPr>
            </w:pPr>
            <w:r>
              <w:t>CUNA</w:t>
            </w:r>
          </w:p>
        </w:tc>
      </w:tr>
      <w:tr w14:paraId="36BC5925" w14:textId="77777777" w:rsidTr="00BE3D57">
        <w:tblPrEx>
          <w:tblW w:w="0" w:type="auto"/>
          <w:tblLook w:val="04A0"/>
        </w:tblPrEx>
        <w:tc>
          <w:tcPr>
            <w:tcW w:w="4788" w:type="dxa"/>
            <w:shd w:val="clear" w:color="auto" w:fill="auto"/>
          </w:tcPr>
          <w:p w:rsidR="009B4130" w:rsidP="00BE3D57" w14:paraId="1BC51CBA" w14:textId="77777777">
            <w:pPr>
              <w:pStyle w:val="ParaNum"/>
              <w:numPr>
                <w:ilvl w:val="0"/>
                <w:numId w:val="0"/>
              </w:numPr>
            </w:pPr>
            <w:r>
              <w:t>CTIA</w:t>
            </w:r>
            <w:r w:rsidR="006C1A80">
              <w:t>-The Wireless Association</w:t>
            </w:r>
          </w:p>
        </w:tc>
        <w:tc>
          <w:tcPr>
            <w:tcW w:w="4788" w:type="dxa"/>
            <w:shd w:val="clear" w:color="auto" w:fill="auto"/>
          </w:tcPr>
          <w:p w:rsidR="009B4130" w:rsidP="00BE3D57" w14:paraId="73EBC39D" w14:textId="77777777">
            <w:pPr>
              <w:pStyle w:val="ParaNum"/>
              <w:numPr>
                <w:ilvl w:val="0"/>
                <w:numId w:val="0"/>
              </w:numPr>
            </w:pPr>
            <w:r>
              <w:t>CTIA</w:t>
            </w:r>
          </w:p>
        </w:tc>
      </w:tr>
      <w:tr w14:paraId="27C2D70C" w14:textId="77777777" w:rsidTr="00BE3D57">
        <w:tblPrEx>
          <w:tblW w:w="0" w:type="auto"/>
          <w:tblLook w:val="04A0"/>
        </w:tblPrEx>
        <w:tc>
          <w:tcPr>
            <w:tcW w:w="4788" w:type="dxa"/>
            <w:shd w:val="clear" w:color="auto" w:fill="auto"/>
          </w:tcPr>
          <w:p w:rsidR="007A4464" w:rsidP="00BE3D57" w14:paraId="72B4A4B3" w14:textId="77777777">
            <w:pPr>
              <w:pStyle w:val="ParaNum"/>
              <w:numPr>
                <w:ilvl w:val="0"/>
                <w:numId w:val="0"/>
              </w:numPr>
            </w:pPr>
            <w:r>
              <w:t xml:space="preserve">Encore Capital Group, Inc. </w:t>
            </w:r>
          </w:p>
        </w:tc>
        <w:tc>
          <w:tcPr>
            <w:tcW w:w="4788" w:type="dxa"/>
            <w:shd w:val="clear" w:color="auto" w:fill="auto"/>
          </w:tcPr>
          <w:p w:rsidR="007A4464" w:rsidP="00BE3D57" w14:paraId="171F5314" w14:textId="77777777">
            <w:pPr>
              <w:pStyle w:val="ParaNum"/>
              <w:numPr>
                <w:ilvl w:val="0"/>
                <w:numId w:val="0"/>
              </w:numPr>
            </w:pPr>
            <w:r>
              <w:t>Encore</w:t>
            </w:r>
            <w:r w:rsidR="00C24D69">
              <w:t xml:space="preserve">  </w:t>
            </w:r>
          </w:p>
        </w:tc>
      </w:tr>
      <w:tr w14:paraId="3FF6A516" w14:textId="77777777" w:rsidTr="00BE3D57">
        <w:tblPrEx>
          <w:tblW w:w="0" w:type="auto"/>
          <w:tblLook w:val="04A0"/>
        </w:tblPrEx>
        <w:tc>
          <w:tcPr>
            <w:tcW w:w="4788" w:type="dxa"/>
            <w:shd w:val="clear" w:color="auto" w:fill="auto"/>
          </w:tcPr>
          <w:p w:rsidR="00A265D5" w:rsidP="00BE3D57" w14:paraId="78C0A459" w14:textId="77777777">
            <w:pPr>
              <w:pStyle w:val="ParaNum"/>
              <w:numPr>
                <w:ilvl w:val="0"/>
                <w:numId w:val="0"/>
              </w:numPr>
            </w:pPr>
            <w:r>
              <w:t>First Orion Corp.</w:t>
            </w:r>
          </w:p>
        </w:tc>
        <w:tc>
          <w:tcPr>
            <w:tcW w:w="4788" w:type="dxa"/>
            <w:shd w:val="clear" w:color="auto" w:fill="auto"/>
          </w:tcPr>
          <w:p w:rsidR="00A265D5" w:rsidP="00BE3D57" w14:paraId="116DE4FE" w14:textId="77777777">
            <w:pPr>
              <w:pStyle w:val="ParaNum"/>
              <w:numPr>
                <w:ilvl w:val="0"/>
                <w:numId w:val="0"/>
              </w:numPr>
            </w:pPr>
            <w:r>
              <w:t>First Orion</w:t>
            </w:r>
          </w:p>
        </w:tc>
      </w:tr>
      <w:tr w14:paraId="1ADBF685" w14:textId="77777777" w:rsidTr="00BE3D57">
        <w:tblPrEx>
          <w:tblW w:w="0" w:type="auto"/>
          <w:tblLook w:val="04A0"/>
        </w:tblPrEx>
        <w:tc>
          <w:tcPr>
            <w:tcW w:w="4788" w:type="dxa"/>
            <w:shd w:val="clear" w:color="auto" w:fill="auto"/>
          </w:tcPr>
          <w:p w:rsidR="00590815" w:rsidP="00BE3D57" w14:paraId="74281B66" w14:textId="77777777">
            <w:pPr>
              <w:pStyle w:val="ParaNum"/>
              <w:numPr>
                <w:ilvl w:val="0"/>
                <w:numId w:val="0"/>
              </w:numPr>
            </w:pPr>
            <w:r>
              <w:t>INCOMPAS</w:t>
            </w:r>
          </w:p>
        </w:tc>
        <w:tc>
          <w:tcPr>
            <w:tcW w:w="4788" w:type="dxa"/>
            <w:shd w:val="clear" w:color="auto" w:fill="auto"/>
          </w:tcPr>
          <w:p w:rsidR="00590815" w:rsidP="00BE3D57" w14:paraId="41B01329" w14:textId="77777777">
            <w:pPr>
              <w:pStyle w:val="ParaNum"/>
              <w:numPr>
                <w:ilvl w:val="0"/>
                <w:numId w:val="0"/>
              </w:numPr>
            </w:pPr>
            <w:r>
              <w:t>INCOMPAS</w:t>
            </w:r>
          </w:p>
        </w:tc>
      </w:tr>
      <w:tr w14:paraId="34ADC5B1" w14:textId="77777777" w:rsidTr="00BE3D57">
        <w:tblPrEx>
          <w:tblW w:w="0" w:type="auto"/>
          <w:tblLook w:val="04A0"/>
        </w:tblPrEx>
        <w:tc>
          <w:tcPr>
            <w:tcW w:w="4788" w:type="dxa"/>
            <w:shd w:val="clear" w:color="auto" w:fill="auto"/>
          </w:tcPr>
          <w:p w:rsidR="00604031" w:rsidP="00BE3D57" w14:paraId="038D1201" w14:textId="77777777">
            <w:pPr>
              <w:pStyle w:val="ParaNum"/>
              <w:numPr>
                <w:ilvl w:val="0"/>
                <w:numId w:val="0"/>
              </w:numPr>
            </w:pPr>
            <w:r>
              <w:t>Innovative Systems LLC</w:t>
            </w:r>
          </w:p>
        </w:tc>
        <w:tc>
          <w:tcPr>
            <w:tcW w:w="4788" w:type="dxa"/>
            <w:shd w:val="clear" w:color="auto" w:fill="auto"/>
          </w:tcPr>
          <w:p w:rsidR="00604031" w:rsidP="00BE3D57" w14:paraId="55F860FE" w14:textId="77777777">
            <w:pPr>
              <w:pStyle w:val="ParaNum"/>
              <w:numPr>
                <w:ilvl w:val="0"/>
                <w:numId w:val="0"/>
              </w:numPr>
            </w:pPr>
            <w:r>
              <w:t>Innovative Systems</w:t>
            </w:r>
          </w:p>
        </w:tc>
      </w:tr>
      <w:tr w14:paraId="52C95A34" w14:textId="77777777" w:rsidTr="00BE3D57">
        <w:tblPrEx>
          <w:tblW w:w="0" w:type="auto"/>
          <w:tblLook w:val="04A0"/>
        </w:tblPrEx>
        <w:tc>
          <w:tcPr>
            <w:tcW w:w="4788" w:type="dxa"/>
            <w:shd w:val="clear" w:color="auto" w:fill="auto"/>
          </w:tcPr>
          <w:p w:rsidR="007E2E1C" w:rsidP="00BE3D57" w14:paraId="0985F3D7" w14:textId="77777777">
            <w:pPr>
              <w:pStyle w:val="ParaNum"/>
              <w:numPr>
                <w:ilvl w:val="0"/>
                <w:numId w:val="0"/>
              </w:numPr>
            </w:pPr>
            <w:r>
              <w:t>Insights Association</w:t>
            </w:r>
          </w:p>
        </w:tc>
        <w:tc>
          <w:tcPr>
            <w:tcW w:w="4788" w:type="dxa"/>
            <w:shd w:val="clear" w:color="auto" w:fill="auto"/>
          </w:tcPr>
          <w:p w:rsidR="007E2E1C" w:rsidP="00BE3D57" w14:paraId="72E83F17" w14:textId="77777777">
            <w:pPr>
              <w:pStyle w:val="ParaNum"/>
              <w:numPr>
                <w:ilvl w:val="0"/>
                <w:numId w:val="0"/>
              </w:numPr>
            </w:pPr>
            <w:r>
              <w:t>Insights</w:t>
            </w:r>
          </w:p>
        </w:tc>
      </w:tr>
      <w:tr w14:paraId="329275DB" w14:textId="77777777" w:rsidTr="00BE3D57">
        <w:tblPrEx>
          <w:tblW w:w="0" w:type="auto"/>
          <w:tblLook w:val="04A0"/>
        </w:tblPrEx>
        <w:tc>
          <w:tcPr>
            <w:tcW w:w="4788" w:type="dxa"/>
            <w:shd w:val="clear" w:color="auto" w:fill="auto"/>
          </w:tcPr>
          <w:p w:rsidR="00FD4051" w:rsidP="00BE3D57" w14:paraId="119658AE" w14:textId="77777777">
            <w:pPr>
              <w:pStyle w:val="ParaNum"/>
              <w:numPr>
                <w:ilvl w:val="0"/>
                <w:numId w:val="0"/>
              </w:numPr>
            </w:pPr>
            <w:r>
              <w:t>Kansas Department of Health and Environment</w:t>
            </w:r>
          </w:p>
        </w:tc>
        <w:tc>
          <w:tcPr>
            <w:tcW w:w="4788" w:type="dxa"/>
            <w:shd w:val="clear" w:color="auto" w:fill="auto"/>
          </w:tcPr>
          <w:p w:rsidR="00FD4051" w:rsidP="00BE3D57" w14:paraId="4FD4D23E" w14:textId="77777777">
            <w:pPr>
              <w:pStyle w:val="ParaNum"/>
              <w:numPr>
                <w:ilvl w:val="0"/>
                <w:numId w:val="0"/>
              </w:numPr>
            </w:pPr>
            <w:r>
              <w:t>Kansas Dept. of Health</w:t>
            </w:r>
          </w:p>
        </w:tc>
      </w:tr>
      <w:tr w14:paraId="55B85FB1" w14:textId="77777777" w:rsidTr="00BE3D57">
        <w:tblPrEx>
          <w:tblW w:w="0" w:type="auto"/>
          <w:tblLook w:val="04A0"/>
        </w:tblPrEx>
        <w:tc>
          <w:tcPr>
            <w:tcW w:w="4788" w:type="dxa"/>
            <w:shd w:val="clear" w:color="auto" w:fill="auto"/>
          </w:tcPr>
          <w:p w:rsidR="00842E74" w:rsidP="00BE3D57" w14:paraId="37C02A86" w14:textId="77777777">
            <w:pPr>
              <w:pStyle w:val="ParaNum"/>
              <w:numPr>
                <w:ilvl w:val="0"/>
                <w:numId w:val="0"/>
              </w:numPr>
            </w:pPr>
            <w:r>
              <w:t xml:space="preserve">National Association of </w:t>
            </w:r>
            <w:r>
              <w:t>Federally-Insured</w:t>
            </w:r>
            <w:r>
              <w:t xml:space="preserve"> Credit Unions</w:t>
            </w:r>
          </w:p>
        </w:tc>
        <w:tc>
          <w:tcPr>
            <w:tcW w:w="4788" w:type="dxa"/>
            <w:shd w:val="clear" w:color="auto" w:fill="auto"/>
          </w:tcPr>
          <w:p w:rsidR="00842E74" w:rsidP="00BE3D57" w14:paraId="622C39F5" w14:textId="77777777">
            <w:pPr>
              <w:pStyle w:val="ParaNum"/>
              <w:numPr>
                <w:ilvl w:val="0"/>
                <w:numId w:val="0"/>
              </w:numPr>
            </w:pPr>
            <w:r>
              <w:t>NAFCU</w:t>
            </w:r>
          </w:p>
        </w:tc>
      </w:tr>
      <w:tr w14:paraId="1C376EC7" w14:textId="77777777" w:rsidTr="00BE3D57">
        <w:tblPrEx>
          <w:tblW w:w="0" w:type="auto"/>
          <w:tblLook w:val="04A0"/>
        </w:tblPrEx>
        <w:tc>
          <w:tcPr>
            <w:tcW w:w="4788" w:type="dxa"/>
            <w:shd w:val="clear" w:color="auto" w:fill="auto"/>
          </w:tcPr>
          <w:p w:rsidR="00990DB8" w:rsidP="00BE3D57" w14:paraId="1D3BF487" w14:textId="77777777">
            <w:pPr>
              <w:pStyle w:val="ParaNum"/>
              <w:numPr>
                <w:ilvl w:val="0"/>
                <w:numId w:val="0"/>
              </w:numPr>
            </w:pPr>
            <w:r>
              <w:t>National Opinion Research Center</w:t>
            </w:r>
          </w:p>
        </w:tc>
        <w:tc>
          <w:tcPr>
            <w:tcW w:w="4788" w:type="dxa"/>
            <w:shd w:val="clear" w:color="auto" w:fill="auto"/>
          </w:tcPr>
          <w:p w:rsidR="00990DB8" w:rsidP="00BE3D57" w14:paraId="20208FC0" w14:textId="77777777">
            <w:pPr>
              <w:pStyle w:val="ParaNum"/>
              <w:numPr>
                <w:ilvl w:val="0"/>
                <w:numId w:val="0"/>
              </w:numPr>
            </w:pPr>
            <w:r>
              <w:t>NORC</w:t>
            </w:r>
          </w:p>
        </w:tc>
      </w:tr>
      <w:tr w14:paraId="0BC04FA1" w14:textId="77777777" w:rsidTr="00BE3D57">
        <w:tblPrEx>
          <w:tblW w:w="0" w:type="auto"/>
          <w:tblLook w:val="04A0"/>
        </w:tblPrEx>
        <w:tc>
          <w:tcPr>
            <w:tcW w:w="4788" w:type="dxa"/>
            <w:shd w:val="clear" w:color="auto" w:fill="auto"/>
          </w:tcPr>
          <w:p w:rsidR="00806D97" w:rsidP="00BE3D57" w14:paraId="15A17A59" w14:textId="77777777">
            <w:pPr>
              <w:pStyle w:val="ParaNum"/>
              <w:numPr>
                <w:ilvl w:val="0"/>
                <w:numId w:val="0"/>
              </w:numPr>
            </w:pPr>
            <w:r>
              <w:t>NENA:  The 9-1-1 Association</w:t>
            </w:r>
          </w:p>
        </w:tc>
        <w:tc>
          <w:tcPr>
            <w:tcW w:w="4788" w:type="dxa"/>
            <w:shd w:val="clear" w:color="auto" w:fill="auto"/>
          </w:tcPr>
          <w:p w:rsidR="00806D97" w:rsidP="00BE3D57" w14:paraId="6EDF68B1" w14:textId="77777777">
            <w:pPr>
              <w:pStyle w:val="ParaNum"/>
              <w:numPr>
                <w:ilvl w:val="0"/>
                <w:numId w:val="0"/>
              </w:numPr>
            </w:pPr>
            <w:r>
              <w:t>NENA</w:t>
            </w:r>
          </w:p>
        </w:tc>
      </w:tr>
      <w:tr w14:paraId="1C9C1318" w14:textId="77777777" w:rsidTr="00BE3D57">
        <w:tblPrEx>
          <w:tblW w:w="0" w:type="auto"/>
          <w:tblLook w:val="04A0"/>
        </w:tblPrEx>
        <w:tc>
          <w:tcPr>
            <w:tcW w:w="4788" w:type="dxa"/>
            <w:shd w:val="clear" w:color="auto" w:fill="auto"/>
          </w:tcPr>
          <w:p w:rsidR="008C4D89" w:rsidP="00BE3D57" w14:paraId="6BBB9ABE" w14:textId="77777777">
            <w:pPr>
              <w:pStyle w:val="ParaNum"/>
              <w:numPr>
                <w:ilvl w:val="0"/>
                <w:numId w:val="0"/>
              </w:numPr>
            </w:pPr>
            <w:r>
              <w:t>Noble Systems Corporation</w:t>
            </w:r>
          </w:p>
        </w:tc>
        <w:tc>
          <w:tcPr>
            <w:tcW w:w="4788" w:type="dxa"/>
            <w:shd w:val="clear" w:color="auto" w:fill="auto"/>
          </w:tcPr>
          <w:p w:rsidR="008C4D89" w:rsidP="00BE3D57" w14:paraId="172C6143" w14:textId="77777777">
            <w:pPr>
              <w:pStyle w:val="ParaNum"/>
              <w:numPr>
                <w:ilvl w:val="0"/>
                <w:numId w:val="0"/>
              </w:numPr>
            </w:pPr>
            <w:r>
              <w:t>Noble</w:t>
            </w:r>
          </w:p>
        </w:tc>
      </w:tr>
      <w:tr w14:paraId="7404EB60" w14:textId="77777777" w:rsidTr="00BE3D57">
        <w:tblPrEx>
          <w:tblW w:w="0" w:type="auto"/>
          <w:tblLook w:val="04A0"/>
        </w:tblPrEx>
        <w:tc>
          <w:tcPr>
            <w:tcW w:w="4788" w:type="dxa"/>
            <w:shd w:val="clear" w:color="auto" w:fill="auto"/>
          </w:tcPr>
          <w:p w:rsidR="006D1D23" w:rsidP="00BE3D57" w14:paraId="2A954BB3" w14:textId="77777777">
            <w:pPr>
              <w:pStyle w:val="ParaNum"/>
              <w:numPr>
                <w:ilvl w:val="0"/>
                <w:numId w:val="0"/>
              </w:numPr>
            </w:pPr>
            <w:r>
              <w:t>Numeracle</w:t>
            </w:r>
            <w:r>
              <w:t>, Inc.</w:t>
            </w:r>
          </w:p>
        </w:tc>
        <w:tc>
          <w:tcPr>
            <w:tcW w:w="4788" w:type="dxa"/>
            <w:shd w:val="clear" w:color="auto" w:fill="auto"/>
          </w:tcPr>
          <w:p w:rsidR="006D1D23" w:rsidP="00BE3D57" w14:paraId="3C85CC8C" w14:textId="77777777">
            <w:pPr>
              <w:pStyle w:val="ParaNum"/>
              <w:numPr>
                <w:ilvl w:val="0"/>
                <w:numId w:val="0"/>
              </w:numPr>
            </w:pPr>
            <w:r>
              <w:t>Numeracle</w:t>
            </w:r>
          </w:p>
        </w:tc>
      </w:tr>
      <w:tr w14:paraId="53B368A5" w14:textId="77777777" w:rsidTr="00BE3D57">
        <w:tblPrEx>
          <w:tblW w:w="0" w:type="auto"/>
          <w:tblLook w:val="04A0"/>
        </w:tblPrEx>
        <w:tc>
          <w:tcPr>
            <w:tcW w:w="4788" w:type="dxa"/>
            <w:shd w:val="clear" w:color="auto" w:fill="auto"/>
          </w:tcPr>
          <w:p w:rsidR="003A2840" w:rsidP="00BE3D57" w14:paraId="7BC6BDE1" w14:textId="77777777">
            <w:pPr>
              <w:pStyle w:val="ParaNum"/>
              <w:numPr>
                <w:ilvl w:val="0"/>
                <w:numId w:val="0"/>
              </w:numPr>
            </w:pPr>
            <w:r>
              <w:t>PRA Group, Inc.</w:t>
            </w:r>
          </w:p>
        </w:tc>
        <w:tc>
          <w:tcPr>
            <w:tcW w:w="4788" w:type="dxa"/>
            <w:shd w:val="clear" w:color="auto" w:fill="auto"/>
          </w:tcPr>
          <w:p w:rsidR="003A2840" w:rsidP="00BE3D57" w14:paraId="126F5242" w14:textId="77777777">
            <w:pPr>
              <w:pStyle w:val="ParaNum"/>
              <w:numPr>
                <w:ilvl w:val="0"/>
                <w:numId w:val="0"/>
              </w:numPr>
            </w:pPr>
            <w:r>
              <w:t>PRA</w:t>
            </w:r>
          </w:p>
        </w:tc>
      </w:tr>
      <w:tr w14:paraId="1C0AD655" w14:textId="77777777" w:rsidTr="00BE3D57">
        <w:tblPrEx>
          <w:tblW w:w="0" w:type="auto"/>
          <w:tblLook w:val="04A0"/>
        </w:tblPrEx>
        <w:tc>
          <w:tcPr>
            <w:tcW w:w="4788" w:type="dxa"/>
            <w:shd w:val="clear" w:color="auto" w:fill="auto"/>
          </w:tcPr>
          <w:p w:rsidR="00BC12B9" w:rsidP="00BE3D57" w14:paraId="24C26466" w14:textId="77777777">
            <w:pPr>
              <w:pStyle w:val="ParaNum"/>
              <w:numPr>
                <w:ilvl w:val="0"/>
                <w:numId w:val="0"/>
              </w:numPr>
            </w:pPr>
            <w:r>
              <w:t>Professional Association for Customer Engagement</w:t>
            </w:r>
          </w:p>
        </w:tc>
        <w:tc>
          <w:tcPr>
            <w:tcW w:w="4788" w:type="dxa"/>
            <w:shd w:val="clear" w:color="auto" w:fill="auto"/>
          </w:tcPr>
          <w:p w:rsidR="00BC12B9" w:rsidP="00BE3D57" w14:paraId="50926A74" w14:textId="77777777">
            <w:pPr>
              <w:pStyle w:val="ParaNum"/>
              <w:numPr>
                <w:ilvl w:val="0"/>
                <w:numId w:val="0"/>
              </w:numPr>
            </w:pPr>
            <w:r>
              <w:t>PACE</w:t>
            </w:r>
          </w:p>
        </w:tc>
      </w:tr>
      <w:tr w14:paraId="5091DB67" w14:textId="77777777" w:rsidTr="00BE3D57">
        <w:tblPrEx>
          <w:tblW w:w="0" w:type="auto"/>
          <w:tblLook w:val="04A0"/>
        </w:tblPrEx>
        <w:tc>
          <w:tcPr>
            <w:tcW w:w="4788" w:type="dxa"/>
            <w:shd w:val="clear" w:color="auto" w:fill="auto"/>
          </w:tcPr>
          <w:p w:rsidR="00002007" w:rsidP="00BE3D57" w14:paraId="66CD4DD3" w14:textId="77777777">
            <w:pPr>
              <w:pStyle w:val="ParaNum"/>
              <w:numPr>
                <w:ilvl w:val="0"/>
                <w:numId w:val="0"/>
              </w:numPr>
            </w:pPr>
            <w:r>
              <w:t>Sprint Corporation</w:t>
            </w:r>
          </w:p>
        </w:tc>
        <w:tc>
          <w:tcPr>
            <w:tcW w:w="4788" w:type="dxa"/>
            <w:shd w:val="clear" w:color="auto" w:fill="auto"/>
          </w:tcPr>
          <w:p w:rsidR="00002007" w:rsidP="00BE3D57" w14:paraId="6D2F7469" w14:textId="77777777">
            <w:pPr>
              <w:pStyle w:val="ParaNum"/>
              <w:numPr>
                <w:ilvl w:val="0"/>
                <w:numId w:val="0"/>
              </w:numPr>
            </w:pPr>
            <w:r>
              <w:t>Sprint</w:t>
            </w:r>
          </w:p>
        </w:tc>
      </w:tr>
      <w:tr w14:paraId="0A40E1DA" w14:textId="77777777" w:rsidTr="00BE3D57">
        <w:tblPrEx>
          <w:tblW w:w="0" w:type="auto"/>
          <w:tblLook w:val="04A0"/>
        </w:tblPrEx>
        <w:tc>
          <w:tcPr>
            <w:tcW w:w="4788" w:type="dxa"/>
            <w:shd w:val="clear" w:color="auto" w:fill="auto"/>
          </w:tcPr>
          <w:p w:rsidR="00CE182B" w:rsidP="00BE3D57" w14:paraId="069AD09E" w14:textId="77777777">
            <w:pPr>
              <w:pStyle w:val="ParaNum"/>
              <w:numPr>
                <w:ilvl w:val="0"/>
                <w:numId w:val="0"/>
              </w:numPr>
            </w:pPr>
            <w:r>
              <w:t>Telnyx</w:t>
            </w:r>
            <w:r>
              <w:t xml:space="preserve"> LLC</w:t>
            </w:r>
          </w:p>
        </w:tc>
        <w:tc>
          <w:tcPr>
            <w:tcW w:w="4788" w:type="dxa"/>
            <w:shd w:val="clear" w:color="auto" w:fill="auto"/>
          </w:tcPr>
          <w:p w:rsidR="00CE182B" w:rsidP="00BE3D57" w14:paraId="7C41FAD6" w14:textId="77777777">
            <w:pPr>
              <w:pStyle w:val="ParaNum"/>
              <w:numPr>
                <w:ilvl w:val="0"/>
                <w:numId w:val="0"/>
              </w:numPr>
            </w:pPr>
            <w:r>
              <w:t>Telnyx</w:t>
            </w:r>
          </w:p>
        </w:tc>
      </w:tr>
      <w:tr w14:paraId="05EA63B2" w14:textId="77777777" w:rsidTr="00BE3D57">
        <w:tblPrEx>
          <w:tblW w:w="0" w:type="auto"/>
          <w:tblLook w:val="04A0"/>
        </w:tblPrEx>
        <w:tc>
          <w:tcPr>
            <w:tcW w:w="4788" w:type="dxa"/>
            <w:shd w:val="clear" w:color="auto" w:fill="auto"/>
          </w:tcPr>
          <w:p w:rsidR="001E6FDC" w:rsidP="00BE3D57" w14:paraId="76251047" w14:textId="77777777">
            <w:pPr>
              <w:pStyle w:val="ParaNum"/>
              <w:numPr>
                <w:ilvl w:val="0"/>
                <w:numId w:val="0"/>
              </w:numPr>
            </w:pPr>
            <w:r>
              <w:t>Teltech</w:t>
            </w:r>
          </w:p>
        </w:tc>
        <w:tc>
          <w:tcPr>
            <w:tcW w:w="4788" w:type="dxa"/>
            <w:shd w:val="clear" w:color="auto" w:fill="auto"/>
          </w:tcPr>
          <w:p w:rsidR="001E6FDC" w:rsidP="00BE3D57" w14:paraId="06EE7AD1" w14:textId="77777777">
            <w:pPr>
              <w:pStyle w:val="ParaNum"/>
              <w:numPr>
                <w:ilvl w:val="0"/>
                <w:numId w:val="0"/>
              </w:numPr>
            </w:pPr>
            <w:r>
              <w:t>Teltech</w:t>
            </w:r>
          </w:p>
        </w:tc>
      </w:tr>
      <w:tr w14:paraId="02D1C9DF" w14:textId="77777777" w:rsidTr="00BE3D57">
        <w:tblPrEx>
          <w:tblW w:w="0" w:type="auto"/>
          <w:tblLook w:val="04A0"/>
        </w:tblPrEx>
        <w:tc>
          <w:tcPr>
            <w:tcW w:w="4788" w:type="dxa"/>
            <w:shd w:val="clear" w:color="auto" w:fill="auto"/>
          </w:tcPr>
          <w:p w:rsidR="00EA6EDD" w:rsidP="00BE3D57" w14:paraId="0BFF46E2" w14:textId="77777777">
            <w:pPr>
              <w:pStyle w:val="ParaNum"/>
              <w:numPr>
                <w:ilvl w:val="0"/>
                <w:numId w:val="0"/>
              </w:numPr>
            </w:pPr>
            <w:r>
              <w:t>T-Mobile USA, Inc.</w:t>
            </w:r>
          </w:p>
        </w:tc>
        <w:tc>
          <w:tcPr>
            <w:tcW w:w="4788" w:type="dxa"/>
            <w:shd w:val="clear" w:color="auto" w:fill="auto"/>
          </w:tcPr>
          <w:p w:rsidR="00EA6EDD" w:rsidP="00BE3D57" w14:paraId="5B4F0DD0" w14:textId="77777777">
            <w:pPr>
              <w:pStyle w:val="ParaNum"/>
              <w:numPr>
                <w:ilvl w:val="0"/>
                <w:numId w:val="0"/>
              </w:numPr>
            </w:pPr>
            <w:r>
              <w:t>T-Mobile</w:t>
            </w:r>
          </w:p>
        </w:tc>
      </w:tr>
      <w:tr w14:paraId="7C8771A2" w14:textId="77777777" w:rsidTr="00BE3D57">
        <w:tblPrEx>
          <w:tblW w:w="0" w:type="auto"/>
          <w:tblLook w:val="04A0"/>
        </w:tblPrEx>
        <w:tc>
          <w:tcPr>
            <w:tcW w:w="4788" w:type="dxa"/>
            <w:shd w:val="clear" w:color="auto" w:fill="auto"/>
          </w:tcPr>
          <w:p w:rsidR="00187AA3" w:rsidP="00BE3D57" w14:paraId="453A134E" w14:textId="77777777">
            <w:pPr>
              <w:pStyle w:val="ParaNum"/>
              <w:numPr>
                <w:ilvl w:val="0"/>
                <w:numId w:val="0"/>
              </w:numPr>
            </w:pPr>
            <w:r>
              <w:t>Transaction Network Services, Inc.</w:t>
            </w:r>
          </w:p>
        </w:tc>
        <w:tc>
          <w:tcPr>
            <w:tcW w:w="4788" w:type="dxa"/>
            <w:shd w:val="clear" w:color="auto" w:fill="auto"/>
          </w:tcPr>
          <w:p w:rsidR="00187AA3" w:rsidP="00BE3D57" w14:paraId="60036004" w14:textId="77777777">
            <w:pPr>
              <w:pStyle w:val="ParaNum"/>
              <w:numPr>
                <w:ilvl w:val="0"/>
                <w:numId w:val="0"/>
              </w:numPr>
            </w:pPr>
            <w:r>
              <w:t>TNS</w:t>
            </w:r>
          </w:p>
        </w:tc>
      </w:tr>
      <w:tr w14:paraId="60733621" w14:textId="77777777" w:rsidTr="00BE3D57">
        <w:tblPrEx>
          <w:tblW w:w="0" w:type="auto"/>
          <w:tblLook w:val="04A0"/>
        </w:tblPrEx>
        <w:tc>
          <w:tcPr>
            <w:tcW w:w="4788" w:type="dxa"/>
            <w:shd w:val="clear" w:color="auto" w:fill="auto"/>
          </w:tcPr>
          <w:p w:rsidR="00357A86" w:rsidP="00BE3D57" w14:paraId="731F618A" w14:textId="77777777">
            <w:pPr>
              <w:pStyle w:val="ParaNum"/>
              <w:numPr>
                <w:ilvl w:val="0"/>
                <w:numId w:val="0"/>
              </w:numPr>
            </w:pPr>
            <w:r>
              <w:t>TransNexus</w:t>
            </w:r>
          </w:p>
        </w:tc>
        <w:tc>
          <w:tcPr>
            <w:tcW w:w="4788" w:type="dxa"/>
            <w:shd w:val="clear" w:color="auto" w:fill="auto"/>
          </w:tcPr>
          <w:p w:rsidR="00357A86" w:rsidP="00BE3D57" w14:paraId="15EDD78F" w14:textId="77777777">
            <w:pPr>
              <w:pStyle w:val="ParaNum"/>
              <w:numPr>
                <w:ilvl w:val="0"/>
                <w:numId w:val="0"/>
              </w:numPr>
            </w:pPr>
            <w:r>
              <w:t>TransNexus</w:t>
            </w:r>
          </w:p>
        </w:tc>
      </w:tr>
      <w:tr w14:paraId="146F40B3" w14:textId="77777777" w:rsidTr="00BE3D57">
        <w:tblPrEx>
          <w:tblW w:w="0" w:type="auto"/>
          <w:tblLook w:val="04A0"/>
        </w:tblPrEx>
        <w:tc>
          <w:tcPr>
            <w:tcW w:w="4788" w:type="dxa"/>
            <w:shd w:val="clear" w:color="auto" w:fill="auto"/>
          </w:tcPr>
          <w:p w:rsidR="00676622" w:rsidP="00BE3D57" w14:paraId="3EF07E22" w14:textId="77777777">
            <w:pPr>
              <w:pStyle w:val="ParaNum"/>
              <w:numPr>
                <w:ilvl w:val="0"/>
                <w:numId w:val="0"/>
              </w:numPr>
            </w:pPr>
            <w:r>
              <w:t>USTelecom</w:t>
            </w:r>
            <w:r>
              <w:t>—The Broadband Association</w:t>
            </w:r>
          </w:p>
        </w:tc>
        <w:tc>
          <w:tcPr>
            <w:tcW w:w="4788" w:type="dxa"/>
            <w:shd w:val="clear" w:color="auto" w:fill="auto"/>
          </w:tcPr>
          <w:p w:rsidR="00676622" w:rsidP="00BE3D57" w14:paraId="2B23B8A4" w14:textId="77777777">
            <w:pPr>
              <w:pStyle w:val="ParaNum"/>
              <w:numPr>
                <w:ilvl w:val="0"/>
                <w:numId w:val="0"/>
              </w:numPr>
            </w:pPr>
            <w:r>
              <w:t>USTelecom</w:t>
            </w:r>
          </w:p>
        </w:tc>
      </w:tr>
      <w:tr w14:paraId="15FE71EB" w14:textId="77777777" w:rsidTr="00BE3D57">
        <w:tblPrEx>
          <w:tblW w:w="0" w:type="auto"/>
          <w:tblLook w:val="04A0"/>
        </w:tblPrEx>
        <w:tc>
          <w:tcPr>
            <w:tcW w:w="4788" w:type="dxa"/>
            <w:shd w:val="clear" w:color="auto" w:fill="auto"/>
          </w:tcPr>
          <w:p w:rsidR="004406B7" w:rsidP="00BE3D57" w14:paraId="0B11D3B2" w14:textId="77777777">
            <w:pPr>
              <w:pStyle w:val="ParaNum"/>
              <w:numPr>
                <w:ilvl w:val="0"/>
                <w:numId w:val="0"/>
              </w:numPr>
            </w:pPr>
            <w:r>
              <w:t>Verizon and Verizon Wireless</w:t>
            </w:r>
          </w:p>
        </w:tc>
        <w:tc>
          <w:tcPr>
            <w:tcW w:w="4788" w:type="dxa"/>
            <w:shd w:val="clear" w:color="auto" w:fill="auto"/>
          </w:tcPr>
          <w:p w:rsidR="004406B7" w:rsidP="00BE3D57" w14:paraId="45F2FDC6" w14:textId="77777777">
            <w:pPr>
              <w:pStyle w:val="ParaNum"/>
              <w:numPr>
                <w:ilvl w:val="0"/>
                <w:numId w:val="0"/>
              </w:numPr>
            </w:pPr>
            <w:r>
              <w:t>Verizon</w:t>
            </w:r>
          </w:p>
        </w:tc>
      </w:tr>
    </w:tbl>
    <w:p w:rsidR="005172EC" w:rsidP="005172EC" w14:paraId="5D6507CE" w14:textId="77777777">
      <w:pPr>
        <w:pStyle w:val="ParaNum"/>
        <w:numPr>
          <w:ilvl w:val="0"/>
          <w:numId w:val="0"/>
        </w:numPr>
        <w:ind w:firstLine="720"/>
      </w:pPr>
    </w:p>
    <w:p w:rsidR="005172EC" w:rsidP="005172EC" w14:paraId="07E955F6" w14:textId="77777777">
      <w:pPr>
        <w:pStyle w:val="ParaNum"/>
        <w:numPr>
          <w:ilvl w:val="0"/>
          <w:numId w:val="0"/>
        </w:numPr>
        <w:ind w:firstLine="720"/>
      </w:pPr>
    </w:p>
    <w:p w:rsidR="005172EC" w:rsidP="002B1D30" w14:paraId="1D9375F7" w14:textId="3E4FFC3D">
      <w:pPr>
        <w:pStyle w:val="ParaNum"/>
        <w:numPr>
          <w:ilvl w:val="0"/>
          <w:numId w:val="0"/>
        </w:numPr>
        <w:ind w:firstLine="720"/>
        <w:jc w:val="center"/>
      </w:pPr>
      <w:r>
        <w:t>Reply Commenters</w:t>
      </w:r>
      <w:r w:rsidR="006F33F4">
        <w:t xml:space="preserve"> and responses to letters</w:t>
      </w:r>
      <w:r w:rsidR="0063187A">
        <w:t xml:space="preserve"> (filed February 27-28, 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14:paraId="456C6FF9" w14:textId="77777777" w:rsidTr="00BE3D5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788" w:type="dxa"/>
            <w:shd w:val="clear" w:color="auto" w:fill="auto"/>
          </w:tcPr>
          <w:p w:rsidR="002B1D30" w:rsidRPr="00BE3D57" w:rsidP="00BE3D57" w14:paraId="3D215607" w14:textId="77777777">
            <w:pPr>
              <w:pStyle w:val="ParaNum"/>
              <w:numPr>
                <w:ilvl w:val="0"/>
                <w:numId w:val="0"/>
              </w:numPr>
              <w:rPr>
                <w:b/>
                <w:bCs/>
              </w:rPr>
            </w:pPr>
            <w:r w:rsidRPr="00BE3D57">
              <w:rPr>
                <w:b/>
                <w:bCs/>
              </w:rPr>
              <w:t>Commenter</w:t>
            </w:r>
          </w:p>
        </w:tc>
        <w:tc>
          <w:tcPr>
            <w:tcW w:w="4788" w:type="dxa"/>
            <w:shd w:val="clear" w:color="auto" w:fill="auto"/>
          </w:tcPr>
          <w:p w:rsidR="002B1D30" w:rsidRPr="00BE3D57" w:rsidP="00BE3D57" w14:paraId="42EE2774" w14:textId="77777777">
            <w:pPr>
              <w:pStyle w:val="ParaNum"/>
              <w:numPr>
                <w:ilvl w:val="0"/>
                <w:numId w:val="0"/>
              </w:numPr>
              <w:rPr>
                <w:b/>
                <w:bCs/>
              </w:rPr>
            </w:pPr>
            <w:r w:rsidRPr="00BE3D57">
              <w:rPr>
                <w:b/>
                <w:bCs/>
              </w:rPr>
              <w:t>Abbreviated Name</w:t>
            </w:r>
          </w:p>
        </w:tc>
      </w:tr>
      <w:tr w14:paraId="1265EEEA" w14:textId="77777777" w:rsidTr="00BE3D57">
        <w:tblPrEx>
          <w:tblW w:w="0" w:type="auto"/>
          <w:tblLook w:val="04A0"/>
        </w:tblPrEx>
        <w:tc>
          <w:tcPr>
            <w:tcW w:w="4788" w:type="dxa"/>
            <w:shd w:val="clear" w:color="auto" w:fill="auto"/>
          </w:tcPr>
          <w:p w:rsidR="00302495" w:rsidP="00BE3D57" w14:paraId="6C106D55" w14:textId="77777777">
            <w:pPr>
              <w:pStyle w:val="ParaNum"/>
              <w:numPr>
                <w:ilvl w:val="0"/>
                <w:numId w:val="0"/>
              </w:numPr>
            </w:pPr>
            <w:r>
              <w:t>ACA International</w:t>
            </w:r>
          </w:p>
        </w:tc>
        <w:tc>
          <w:tcPr>
            <w:tcW w:w="4788" w:type="dxa"/>
            <w:shd w:val="clear" w:color="auto" w:fill="auto"/>
          </w:tcPr>
          <w:p w:rsidR="00302495" w:rsidP="00BE3D57" w14:paraId="4D3F59D4" w14:textId="1DD597E8">
            <w:pPr>
              <w:pStyle w:val="ParaNum"/>
              <w:numPr>
                <w:ilvl w:val="0"/>
                <w:numId w:val="0"/>
              </w:numPr>
            </w:pPr>
            <w:r>
              <w:t>ACA</w:t>
            </w:r>
            <w:r w:rsidR="00A24A70">
              <w:t xml:space="preserve"> International</w:t>
            </w:r>
          </w:p>
        </w:tc>
      </w:tr>
      <w:tr w14:paraId="40826992" w14:textId="77777777" w:rsidTr="00BE3D57">
        <w:tblPrEx>
          <w:tblW w:w="0" w:type="auto"/>
          <w:tblLook w:val="04A0"/>
        </w:tblPrEx>
        <w:tc>
          <w:tcPr>
            <w:tcW w:w="4788" w:type="dxa"/>
            <w:shd w:val="clear" w:color="auto" w:fill="auto"/>
          </w:tcPr>
          <w:p w:rsidR="00992E9E" w:rsidP="00BE3D57" w14:paraId="6B8B32C3" w14:textId="77777777">
            <w:pPr>
              <w:pStyle w:val="ParaNum"/>
              <w:numPr>
                <w:ilvl w:val="0"/>
                <w:numId w:val="0"/>
              </w:numPr>
            </w:pPr>
            <w:r>
              <w:t>Alarm Industry Communications Committee</w:t>
            </w:r>
          </w:p>
        </w:tc>
        <w:tc>
          <w:tcPr>
            <w:tcW w:w="4788" w:type="dxa"/>
            <w:shd w:val="clear" w:color="auto" w:fill="auto"/>
          </w:tcPr>
          <w:p w:rsidR="00992E9E" w:rsidP="00BE3D57" w14:paraId="5627660A" w14:textId="77777777">
            <w:pPr>
              <w:pStyle w:val="ParaNum"/>
              <w:numPr>
                <w:ilvl w:val="0"/>
                <w:numId w:val="0"/>
              </w:numPr>
            </w:pPr>
            <w:r>
              <w:t>AICC</w:t>
            </w:r>
          </w:p>
        </w:tc>
      </w:tr>
      <w:tr w14:paraId="4AA38EA4" w14:textId="77777777" w:rsidTr="00BE3D57">
        <w:tblPrEx>
          <w:tblW w:w="0" w:type="auto"/>
          <w:tblLook w:val="04A0"/>
        </w:tblPrEx>
        <w:tc>
          <w:tcPr>
            <w:tcW w:w="4788" w:type="dxa"/>
            <w:shd w:val="clear" w:color="auto" w:fill="auto"/>
          </w:tcPr>
          <w:p w:rsidR="00036475" w:rsidP="00BE3D57" w14:paraId="6618DB01" w14:textId="77777777">
            <w:pPr>
              <w:pStyle w:val="ParaNum"/>
              <w:numPr>
                <w:ilvl w:val="0"/>
                <w:numId w:val="0"/>
              </w:numPr>
            </w:pPr>
            <w:r>
              <w:t>American Consumer Institute Center for Citizen Research</w:t>
            </w:r>
          </w:p>
        </w:tc>
        <w:tc>
          <w:tcPr>
            <w:tcW w:w="4788" w:type="dxa"/>
            <w:shd w:val="clear" w:color="auto" w:fill="auto"/>
          </w:tcPr>
          <w:p w:rsidR="00036475" w:rsidP="00BE3D57" w14:paraId="6296B4D1" w14:textId="77777777">
            <w:pPr>
              <w:pStyle w:val="ParaNum"/>
              <w:numPr>
                <w:ilvl w:val="0"/>
                <w:numId w:val="0"/>
              </w:numPr>
            </w:pPr>
            <w:r>
              <w:t>ACI</w:t>
            </w:r>
          </w:p>
        </w:tc>
      </w:tr>
      <w:tr w14:paraId="10C3778A" w14:textId="77777777" w:rsidTr="00BE3D57">
        <w:tblPrEx>
          <w:tblW w:w="0" w:type="auto"/>
          <w:tblLook w:val="04A0"/>
        </w:tblPrEx>
        <w:tc>
          <w:tcPr>
            <w:tcW w:w="4788" w:type="dxa"/>
            <w:shd w:val="clear" w:color="auto" w:fill="auto"/>
          </w:tcPr>
          <w:p w:rsidR="00BA5E71" w:rsidP="00BE3D57" w14:paraId="7FA405D0" w14:textId="77777777">
            <w:pPr>
              <w:pStyle w:val="ParaNum"/>
              <w:numPr>
                <w:ilvl w:val="0"/>
                <w:numId w:val="0"/>
              </w:numPr>
            </w:pPr>
            <w:r>
              <w:t>American Financial Services Association</w:t>
            </w:r>
          </w:p>
        </w:tc>
        <w:tc>
          <w:tcPr>
            <w:tcW w:w="4788" w:type="dxa"/>
            <w:shd w:val="clear" w:color="auto" w:fill="auto"/>
          </w:tcPr>
          <w:p w:rsidR="00BA5E71" w:rsidP="00BE3D57" w14:paraId="527FED67" w14:textId="77777777">
            <w:pPr>
              <w:pStyle w:val="ParaNum"/>
              <w:numPr>
                <w:ilvl w:val="0"/>
                <w:numId w:val="0"/>
              </w:numPr>
            </w:pPr>
            <w:r>
              <w:t>AFSA</w:t>
            </w:r>
          </w:p>
        </w:tc>
      </w:tr>
      <w:tr w14:paraId="0BD0B07A" w14:textId="77777777" w:rsidTr="00BE3D57">
        <w:tblPrEx>
          <w:tblW w:w="0" w:type="auto"/>
          <w:tblLook w:val="04A0"/>
        </w:tblPrEx>
        <w:tc>
          <w:tcPr>
            <w:tcW w:w="4788" w:type="dxa"/>
            <w:shd w:val="clear" w:color="auto" w:fill="auto"/>
          </w:tcPr>
          <w:p w:rsidR="001540FC" w:rsidP="00BE3D57" w14:paraId="35CDAAEC" w14:textId="77777777">
            <w:pPr>
              <w:pStyle w:val="ParaNum"/>
              <w:numPr>
                <w:ilvl w:val="0"/>
                <w:numId w:val="0"/>
              </w:numPr>
            </w:pPr>
            <w:r>
              <w:t>AT&amp;T Services, Inc.</w:t>
            </w:r>
          </w:p>
        </w:tc>
        <w:tc>
          <w:tcPr>
            <w:tcW w:w="4788" w:type="dxa"/>
            <w:shd w:val="clear" w:color="auto" w:fill="auto"/>
          </w:tcPr>
          <w:p w:rsidR="001540FC" w:rsidP="00BE3D57" w14:paraId="2E22E5A5" w14:textId="77777777">
            <w:pPr>
              <w:pStyle w:val="ParaNum"/>
              <w:numPr>
                <w:ilvl w:val="0"/>
                <w:numId w:val="0"/>
              </w:numPr>
            </w:pPr>
            <w:r>
              <w:t>AT&amp;T</w:t>
            </w:r>
          </w:p>
        </w:tc>
      </w:tr>
      <w:tr w14:paraId="3E0C6C8F" w14:textId="77777777" w:rsidTr="00BE3D57">
        <w:tblPrEx>
          <w:tblW w:w="0" w:type="auto"/>
          <w:tblLook w:val="04A0"/>
        </w:tblPrEx>
        <w:tc>
          <w:tcPr>
            <w:tcW w:w="4788" w:type="dxa"/>
            <w:shd w:val="clear" w:color="auto" w:fill="auto"/>
          </w:tcPr>
          <w:p w:rsidR="00CD59B3" w:rsidP="00BE3D57" w14:paraId="600F0160" w14:textId="77777777">
            <w:pPr>
              <w:pStyle w:val="ParaNum"/>
              <w:numPr>
                <w:ilvl w:val="0"/>
                <w:numId w:val="0"/>
              </w:numPr>
            </w:pPr>
            <w:r>
              <w:t>Bandwidth, Inc.</w:t>
            </w:r>
          </w:p>
        </w:tc>
        <w:tc>
          <w:tcPr>
            <w:tcW w:w="4788" w:type="dxa"/>
            <w:shd w:val="clear" w:color="auto" w:fill="auto"/>
          </w:tcPr>
          <w:p w:rsidR="00CD59B3" w:rsidP="00BE3D57" w14:paraId="3AB49D89" w14:textId="77777777">
            <w:pPr>
              <w:pStyle w:val="ParaNum"/>
              <w:numPr>
                <w:ilvl w:val="0"/>
                <w:numId w:val="0"/>
              </w:numPr>
            </w:pPr>
            <w:r>
              <w:t>Bandwidth</w:t>
            </w:r>
          </w:p>
        </w:tc>
      </w:tr>
      <w:tr w14:paraId="440955FE" w14:textId="77777777" w:rsidTr="00BE3D57">
        <w:tblPrEx>
          <w:tblW w:w="0" w:type="auto"/>
          <w:tblLook w:val="04A0"/>
        </w:tblPrEx>
        <w:tc>
          <w:tcPr>
            <w:tcW w:w="4788" w:type="dxa"/>
            <w:shd w:val="clear" w:color="auto" w:fill="auto"/>
          </w:tcPr>
          <w:p w:rsidR="006A0138" w:rsidP="00BE3D57" w14:paraId="7DAD70FA" w14:textId="77777777">
            <w:pPr>
              <w:pStyle w:val="ParaNum"/>
              <w:numPr>
                <w:ilvl w:val="0"/>
                <w:numId w:val="0"/>
              </w:numPr>
            </w:pPr>
            <w:r>
              <w:t>CenturyLink, Inc.</w:t>
            </w:r>
          </w:p>
        </w:tc>
        <w:tc>
          <w:tcPr>
            <w:tcW w:w="4788" w:type="dxa"/>
            <w:shd w:val="clear" w:color="auto" w:fill="auto"/>
          </w:tcPr>
          <w:p w:rsidR="006A0138" w:rsidP="00BE3D57" w14:paraId="01D42E85" w14:textId="77777777">
            <w:pPr>
              <w:pStyle w:val="ParaNum"/>
              <w:numPr>
                <w:ilvl w:val="0"/>
                <w:numId w:val="0"/>
              </w:numPr>
            </w:pPr>
            <w:r>
              <w:t>CenturyLink</w:t>
            </w:r>
          </w:p>
        </w:tc>
      </w:tr>
      <w:tr w14:paraId="0B8E7E00" w14:textId="77777777" w:rsidTr="00BE3D57">
        <w:tblPrEx>
          <w:tblW w:w="0" w:type="auto"/>
          <w:tblLook w:val="04A0"/>
        </w:tblPrEx>
        <w:tc>
          <w:tcPr>
            <w:tcW w:w="4788" w:type="dxa"/>
            <w:shd w:val="clear" w:color="auto" w:fill="auto"/>
          </w:tcPr>
          <w:p w:rsidR="00535DB3" w:rsidP="00BE3D57" w14:paraId="3534DB86" w14:textId="77777777">
            <w:pPr>
              <w:pStyle w:val="ParaNum"/>
              <w:numPr>
                <w:ilvl w:val="0"/>
                <w:numId w:val="0"/>
              </w:numPr>
            </w:pPr>
            <w:r>
              <w:t>Charter Communications, Inc.</w:t>
            </w:r>
          </w:p>
        </w:tc>
        <w:tc>
          <w:tcPr>
            <w:tcW w:w="4788" w:type="dxa"/>
            <w:shd w:val="clear" w:color="auto" w:fill="auto"/>
          </w:tcPr>
          <w:p w:rsidR="00535DB3" w:rsidP="00BE3D57" w14:paraId="47D683E3" w14:textId="77777777">
            <w:pPr>
              <w:pStyle w:val="ParaNum"/>
              <w:numPr>
                <w:ilvl w:val="0"/>
                <w:numId w:val="0"/>
              </w:numPr>
            </w:pPr>
            <w:r>
              <w:t>Charter</w:t>
            </w:r>
          </w:p>
        </w:tc>
      </w:tr>
      <w:tr w14:paraId="3178CDB8" w14:textId="77777777" w:rsidTr="00BE3D57">
        <w:tblPrEx>
          <w:tblW w:w="0" w:type="auto"/>
          <w:tblLook w:val="04A0"/>
        </w:tblPrEx>
        <w:tc>
          <w:tcPr>
            <w:tcW w:w="4788" w:type="dxa"/>
            <w:shd w:val="clear" w:color="auto" w:fill="auto"/>
          </w:tcPr>
          <w:p w:rsidR="001C5623" w:rsidP="00BE3D57" w14:paraId="74847401" w14:textId="77777777">
            <w:pPr>
              <w:pStyle w:val="ParaNum"/>
              <w:numPr>
                <w:ilvl w:val="0"/>
                <w:numId w:val="0"/>
              </w:numPr>
            </w:pPr>
            <w:r>
              <w:t>Cloud Communications Alliance</w:t>
            </w:r>
          </w:p>
        </w:tc>
        <w:tc>
          <w:tcPr>
            <w:tcW w:w="4788" w:type="dxa"/>
            <w:shd w:val="clear" w:color="auto" w:fill="auto"/>
          </w:tcPr>
          <w:p w:rsidR="001C5623" w:rsidP="00BE3D57" w14:paraId="18633870" w14:textId="77777777">
            <w:pPr>
              <w:pStyle w:val="ParaNum"/>
              <w:numPr>
                <w:ilvl w:val="0"/>
                <w:numId w:val="0"/>
              </w:numPr>
            </w:pPr>
            <w:r>
              <w:t>Cloud Communications</w:t>
            </w:r>
          </w:p>
        </w:tc>
      </w:tr>
      <w:tr w14:paraId="6E453EFB" w14:textId="77777777" w:rsidTr="00BE3D57">
        <w:tblPrEx>
          <w:tblW w:w="0" w:type="auto"/>
          <w:tblLook w:val="04A0"/>
        </w:tblPrEx>
        <w:tc>
          <w:tcPr>
            <w:tcW w:w="4788" w:type="dxa"/>
            <w:shd w:val="clear" w:color="auto" w:fill="auto"/>
          </w:tcPr>
          <w:p w:rsidR="006C1A80" w:rsidP="00BE3D57" w14:paraId="0278EC0E" w14:textId="77777777">
            <w:pPr>
              <w:pStyle w:val="ParaNum"/>
              <w:numPr>
                <w:ilvl w:val="0"/>
                <w:numId w:val="0"/>
              </w:numPr>
            </w:pPr>
            <w:r>
              <w:t>CTIA-The Wireless Association</w:t>
            </w:r>
          </w:p>
        </w:tc>
        <w:tc>
          <w:tcPr>
            <w:tcW w:w="4788" w:type="dxa"/>
            <w:shd w:val="clear" w:color="auto" w:fill="auto"/>
          </w:tcPr>
          <w:p w:rsidR="006C1A80" w:rsidP="00BE3D57" w14:paraId="74049140" w14:textId="77777777">
            <w:pPr>
              <w:pStyle w:val="ParaNum"/>
              <w:numPr>
                <w:ilvl w:val="0"/>
                <w:numId w:val="0"/>
              </w:numPr>
            </w:pPr>
            <w:r>
              <w:t>CTIA</w:t>
            </w:r>
          </w:p>
        </w:tc>
      </w:tr>
      <w:tr w14:paraId="32959956" w14:textId="77777777" w:rsidTr="00BE3D57">
        <w:tblPrEx>
          <w:tblW w:w="0" w:type="auto"/>
          <w:tblLook w:val="04A0"/>
        </w:tblPrEx>
        <w:tc>
          <w:tcPr>
            <w:tcW w:w="4788" w:type="dxa"/>
            <w:shd w:val="clear" w:color="auto" w:fill="auto"/>
          </w:tcPr>
          <w:p w:rsidR="00AB6FD4" w:rsidP="00BE3D57" w14:paraId="718E2854" w14:textId="77777777">
            <w:pPr>
              <w:pStyle w:val="ParaNum"/>
              <w:numPr>
                <w:ilvl w:val="0"/>
                <w:numId w:val="0"/>
              </w:numPr>
            </w:pPr>
            <w:r>
              <w:t>Comcast Corporation</w:t>
            </w:r>
          </w:p>
        </w:tc>
        <w:tc>
          <w:tcPr>
            <w:tcW w:w="4788" w:type="dxa"/>
            <w:shd w:val="clear" w:color="auto" w:fill="auto"/>
          </w:tcPr>
          <w:p w:rsidR="00AB6FD4" w:rsidP="00BE3D57" w14:paraId="75AE162C" w14:textId="77777777">
            <w:pPr>
              <w:pStyle w:val="ParaNum"/>
              <w:numPr>
                <w:ilvl w:val="0"/>
                <w:numId w:val="0"/>
              </w:numPr>
            </w:pPr>
            <w:r>
              <w:t>Comcast</w:t>
            </w:r>
          </w:p>
        </w:tc>
      </w:tr>
      <w:tr w14:paraId="32CA3CF2" w14:textId="77777777" w:rsidTr="00BE3D57">
        <w:tblPrEx>
          <w:tblW w:w="0" w:type="auto"/>
          <w:tblLook w:val="04A0"/>
        </w:tblPrEx>
        <w:tc>
          <w:tcPr>
            <w:tcW w:w="4788" w:type="dxa"/>
            <w:shd w:val="clear" w:color="auto" w:fill="auto"/>
          </w:tcPr>
          <w:p w:rsidR="00BB023F" w:rsidP="00BE3D57" w14:paraId="30283BC1" w14:textId="77777777">
            <w:pPr>
              <w:pStyle w:val="ParaNum"/>
              <w:numPr>
                <w:ilvl w:val="0"/>
                <w:numId w:val="0"/>
              </w:numPr>
            </w:pPr>
            <w:r>
              <w:t>Cox Communications, Inc.</w:t>
            </w:r>
          </w:p>
        </w:tc>
        <w:tc>
          <w:tcPr>
            <w:tcW w:w="4788" w:type="dxa"/>
            <w:shd w:val="clear" w:color="auto" w:fill="auto"/>
          </w:tcPr>
          <w:p w:rsidR="00BB023F" w:rsidP="00BE3D57" w14:paraId="128927D8" w14:textId="77777777">
            <w:pPr>
              <w:pStyle w:val="ParaNum"/>
              <w:numPr>
                <w:ilvl w:val="0"/>
                <w:numId w:val="0"/>
              </w:numPr>
            </w:pPr>
            <w:r>
              <w:t>Cox</w:t>
            </w:r>
          </w:p>
        </w:tc>
      </w:tr>
      <w:tr w14:paraId="67337C53" w14:textId="77777777" w:rsidTr="00BE3D57">
        <w:tblPrEx>
          <w:tblW w:w="0" w:type="auto"/>
          <w:tblLook w:val="04A0"/>
        </w:tblPrEx>
        <w:tc>
          <w:tcPr>
            <w:tcW w:w="4788" w:type="dxa"/>
            <w:shd w:val="clear" w:color="auto" w:fill="auto"/>
          </w:tcPr>
          <w:p w:rsidR="001C7AF6" w:rsidP="00BE3D57" w14:paraId="1390E197" w14:textId="77777777">
            <w:pPr>
              <w:pStyle w:val="ParaNum"/>
              <w:numPr>
                <w:ilvl w:val="0"/>
                <w:numId w:val="0"/>
              </w:numPr>
            </w:pPr>
            <w:r>
              <w:t>Credit Union National Association</w:t>
            </w:r>
          </w:p>
        </w:tc>
        <w:tc>
          <w:tcPr>
            <w:tcW w:w="4788" w:type="dxa"/>
            <w:shd w:val="clear" w:color="auto" w:fill="auto"/>
          </w:tcPr>
          <w:p w:rsidR="001C7AF6" w:rsidP="00BE3D57" w14:paraId="382B10E2" w14:textId="77777777">
            <w:pPr>
              <w:pStyle w:val="ParaNum"/>
              <w:numPr>
                <w:ilvl w:val="0"/>
                <w:numId w:val="0"/>
              </w:numPr>
            </w:pPr>
            <w:r>
              <w:t>CUNA</w:t>
            </w:r>
          </w:p>
        </w:tc>
      </w:tr>
      <w:tr w14:paraId="74D19BE0" w14:textId="77777777" w:rsidTr="00BE3D57">
        <w:tblPrEx>
          <w:tblW w:w="0" w:type="auto"/>
          <w:tblLook w:val="04A0"/>
        </w:tblPrEx>
        <w:tc>
          <w:tcPr>
            <w:tcW w:w="4788" w:type="dxa"/>
            <w:shd w:val="clear" w:color="auto" w:fill="auto"/>
          </w:tcPr>
          <w:p w:rsidR="00A877F7" w:rsidP="00BE3D57" w14:paraId="3D356E45" w14:textId="77777777">
            <w:pPr>
              <w:pStyle w:val="ParaNum"/>
              <w:numPr>
                <w:ilvl w:val="0"/>
                <w:numId w:val="0"/>
              </w:numPr>
            </w:pPr>
            <w:r>
              <w:t xml:space="preserve">Encore Capital Group, Inc. </w:t>
            </w:r>
          </w:p>
        </w:tc>
        <w:tc>
          <w:tcPr>
            <w:tcW w:w="4788" w:type="dxa"/>
            <w:shd w:val="clear" w:color="auto" w:fill="auto"/>
          </w:tcPr>
          <w:p w:rsidR="00A877F7" w:rsidP="00BE3D57" w14:paraId="45D4190B" w14:textId="77777777">
            <w:pPr>
              <w:pStyle w:val="ParaNum"/>
              <w:numPr>
                <w:ilvl w:val="0"/>
                <w:numId w:val="0"/>
              </w:numPr>
            </w:pPr>
            <w:r>
              <w:t xml:space="preserve">Encore  </w:t>
            </w:r>
          </w:p>
        </w:tc>
      </w:tr>
      <w:tr w14:paraId="44F3C6D7" w14:textId="77777777" w:rsidTr="00BE3D57">
        <w:tblPrEx>
          <w:tblW w:w="0" w:type="auto"/>
          <w:tblLook w:val="04A0"/>
        </w:tblPrEx>
        <w:tc>
          <w:tcPr>
            <w:tcW w:w="4788" w:type="dxa"/>
            <w:shd w:val="clear" w:color="auto" w:fill="auto"/>
          </w:tcPr>
          <w:p w:rsidR="008F6974" w:rsidP="00BE3D57" w14:paraId="2855DB42" w14:textId="77777777">
            <w:pPr>
              <w:pStyle w:val="ParaNum"/>
              <w:numPr>
                <w:ilvl w:val="0"/>
                <w:numId w:val="0"/>
              </w:numPr>
            </w:pPr>
            <w:r>
              <w:t>First Orion Corp.</w:t>
            </w:r>
          </w:p>
        </w:tc>
        <w:tc>
          <w:tcPr>
            <w:tcW w:w="4788" w:type="dxa"/>
            <w:shd w:val="clear" w:color="auto" w:fill="auto"/>
          </w:tcPr>
          <w:p w:rsidR="008F6974" w:rsidP="00BE3D57" w14:paraId="00C948A0" w14:textId="77777777">
            <w:pPr>
              <w:pStyle w:val="ParaNum"/>
              <w:numPr>
                <w:ilvl w:val="0"/>
                <w:numId w:val="0"/>
              </w:numPr>
            </w:pPr>
            <w:r>
              <w:t>First Orion</w:t>
            </w:r>
          </w:p>
        </w:tc>
      </w:tr>
      <w:tr w14:paraId="6BBCCBE0" w14:textId="77777777" w:rsidTr="00BE3D57">
        <w:tblPrEx>
          <w:tblW w:w="0" w:type="auto"/>
          <w:tblLook w:val="04A0"/>
        </w:tblPrEx>
        <w:tc>
          <w:tcPr>
            <w:tcW w:w="4788" w:type="dxa"/>
            <w:shd w:val="clear" w:color="auto" w:fill="auto"/>
          </w:tcPr>
          <w:p w:rsidR="00E80AB1" w:rsidP="00BE3D57" w14:paraId="57200018" w14:textId="77777777">
            <w:pPr>
              <w:pStyle w:val="ParaNum"/>
              <w:numPr>
                <w:ilvl w:val="0"/>
                <w:numId w:val="0"/>
              </w:numPr>
            </w:pPr>
            <w:r>
              <w:t>Frontier Communications</w:t>
            </w:r>
          </w:p>
        </w:tc>
        <w:tc>
          <w:tcPr>
            <w:tcW w:w="4788" w:type="dxa"/>
            <w:shd w:val="clear" w:color="auto" w:fill="auto"/>
          </w:tcPr>
          <w:p w:rsidR="00E80AB1" w:rsidP="00BE3D57" w14:paraId="01B083CC" w14:textId="77777777">
            <w:pPr>
              <w:pStyle w:val="ParaNum"/>
              <w:numPr>
                <w:ilvl w:val="0"/>
                <w:numId w:val="0"/>
              </w:numPr>
            </w:pPr>
            <w:r>
              <w:t>Frontier</w:t>
            </w:r>
          </w:p>
        </w:tc>
      </w:tr>
      <w:tr w14:paraId="78CD559B" w14:textId="77777777" w:rsidTr="00BE3D57">
        <w:tblPrEx>
          <w:tblW w:w="0" w:type="auto"/>
          <w:tblLook w:val="04A0"/>
        </w:tblPrEx>
        <w:tc>
          <w:tcPr>
            <w:tcW w:w="4788" w:type="dxa"/>
            <w:shd w:val="clear" w:color="auto" w:fill="auto"/>
          </w:tcPr>
          <w:p w:rsidR="00420903" w:rsidP="00BE3D57" w14:paraId="44E63502" w14:textId="77777777">
            <w:pPr>
              <w:pStyle w:val="ParaNum"/>
              <w:numPr>
                <w:ilvl w:val="0"/>
                <w:numId w:val="0"/>
              </w:numPr>
            </w:pPr>
            <w:r>
              <w:t>Google LLC</w:t>
            </w:r>
          </w:p>
        </w:tc>
        <w:tc>
          <w:tcPr>
            <w:tcW w:w="4788" w:type="dxa"/>
            <w:shd w:val="clear" w:color="auto" w:fill="auto"/>
          </w:tcPr>
          <w:p w:rsidR="00420903" w:rsidP="00BE3D57" w14:paraId="4E8C5608" w14:textId="77777777">
            <w:pPr>
              <w:pStyle w:val="ParaNum"/>
              <w:numPr>
                <w:ilvl w:val="0"/>
                <w:numId w:val="0"/>
              </w:numPr>
            </w:pPr>
            <w:r>
              <w:t>Google</w:t>
            </w:r>
          </w:p>
        </w:tc>
      </w:tr>
      <w:tr w14:paraId="023E36AE" w14:textId="77777777" w:rsidTr="00BE3D57">
        <w:tblPrEx>
          <w:tblW w:w="0" w:type="auto"/>
          <w:tblLook w:val="04A0"/>
        </w:tblPrEx>
        <w:tc>
          <w:tcPr>
            <w:tcW w:w="4788" w:type="dxa"/>
            <w:shd w:val="clear" w:color="auto" w:fill="auto"/>
          </w:tcPr>
          <w:p w:rsidR="00110085" w:rsidP="00BE3D57" w14:paraId="785A204E" w14:textId="77777777">
            <w:pPr>
              <w:pStyle w:val="ParaNum"/>
              <w:numPr>
                <w:ilvl w:val="0"/>
                <w:numId w:val="0"/>
              </w:numPr>
            </w:pPr>
            <w:r>
              <w:t>Hiya</w:t>
            </w:r>
          </w:p>
        </w:tc>
        <w:tc>
          <w:tcPr>
            <w:tcW w:w="4788" w:type="dxa"/>
            <w:shd w:val="clear" w:color="auto" w:fill="auto"/>
          </w:tcPr>
          <w:p w:rsidR="00110085" w:rsidP="00BE3D57" w14:paraId="34963A10" w14:textId="77777777">
            <w:pPr>
              <w:pStyle w:val="ParaNum"/>
              <w:numPr>
                <w:ilvl w:val="0"/>
                <w:numId w:val="0"/>
              </w:numPr>
            </w:pPr>
            <w:r>
              <w:t>Hiya</w:t>
            </w:r>
          </w:p>
        </w:tc>
      </w:tr>
      <w:tr w14:paraId="0E8399DF" w14:textId="77777777" w:rsidTr="00BE3D57">
        <w:tblPrEx>
          <w:tblW w:w="0" w:type="auto"/>
          <w:tblLook w:val="04A0"/>
        </w:tblPrEx>
        <w:tc>
          <w:tcPr>
            <w:tcW w:w="4788" w:type="dxa"/>
            <w:shd w:val="clear" w:color="auto" w:fill="auto"/>
          </w:tcPr>
          <w:p w:rsidR="00DB610E" w:rsidP="00BE3D57" w14:paraId="27C473E6" w14:textId="77777777">
            <w:pPr>
              <w:pStyle w:val="ParaNum"/>
              <w:numPr>
                <w:ilvl w:val="0"/>
                <w:numId w:val="0"/>
              </w:numPr>
            </w:pPr>
            <w:r>
              <w:t>Neustar, Inc.</w:t>
            </w:r>
          </w:p>
        </w:tc>
        <w:tc>
          <w:tcPr>
            <w:tcW w:w="4788" w:type="dxa"/>
            <w:shd w:val="clear" w:color="auto" w:fill="auto"/>
          </w:tcPr>
          <w:p w:rsidR="00DB610E" w:rsidP="00BE3D57" w14:paraId="369F0B5C" w14:textId="77777777">
            <w:pPr>
              <w:pStyle w:val="ParaNum"/>
              <w:numPr>
                <w:ilvl w:val="0"/>
                <w:numId w:val="0"/>
              </w:numPr>
            </w:pPr>
            <w:r>
              <w:t>Neustar</w:t>
            </w:r>
          </w:p>
        </w:tc>
      </w:tr>
      <w:tr w14:paraId="6559A832" w14:textId="77777777" w:rsidTr="00BE3D57">
        <w:tblPrEx>
          <w:tblW w:w="0" w:type="auto"/>
          <w:tblLook w:val="04A0"/>
        </w:tblPrEx>
        <w:tc>
          <w:tcPr>
            <w:tcW w:w="4788" w:type="dxa"/>
            <w:shd w:val="clear" w:color="auto" w:fill="auto"/>
          </w:tcPr>
          <w:p w:rsidR="00D41F1A" w:rsidP="00BE3D57" w14:paraId="69B2C47E" w14:textId="77777777">
            <w:pPr>
              <w:pStyle w:val="ParaNum"/>
              <w:numPr>
                <w:ilvl w:val="0"/>
                <w:numId w:val="0"/>
              </w:numPr>
            </w:pPr>
            <w:r>
              <w:t>Noble Systems Corporation</w:t>
            </w:r>
          </w:p>
        </w:tc>
        <w:tc>
          <w:tcPr>
            <w:tcW w:w="4788" w:type="dxa"/>
            <w:shd w:val="clear" w:color="auto" w:fill="auto"/>
          </w:tcPr>
          <w:p w:rsidR="00D41F1A" w:rsidP="00BE3D57" w14:paraId="0A2916BB" w14:textId="77777777">
            <w:pPr>
              <w:pStyle w:val="ParaNum"/>
              <w:numPr>
                <w:ilvl w:val="0"/>
                <w:numId w:val="0"/>
              </w:numPr>
            </w:pPr>
            <w:r>
              <w:t>Noble</w:t>
            </w:r>
            <w:r w:rsidR="00C60F27">
              <w:t xml:space="preserve">  </w:t>
            </w:r>
          </w:p>
        </w:tc>
      </w:tr>
      <w:tr w14:paraId="623F3F7D" w14:textId="77777777" w:rsidTr="00BE3D57">
        <w:tblPrEx>
          <w:tblW w:w="0" w:type="auto"/>
          <w:tblLook w:val="04A0"/>
        </w:tblPrEx>
        <w:tc>
          <w:tcPr>
            <w:tcW w:w="4788" w:type="dxa"/>
            <w:shd w:val="clear" w:color="auto" w:fill="auto"/>
          </w:tcPr>
          <w:p w:rsidR="00E74643" w:rsidP="00BE3D57" w14:paraId="3B968312" w14:textId="77777777">
            <w:pPr>
              <w:pStyle w:val="ParaNum"/>
              <w:numPr>
                <w:ilvl w:val="0"/>
                <w:numId w:val="0"/>
              </w:numPr>
            </w:pPr>
            <w:r>
              <w:t>RTI International</w:t>
            </w:r>
          </w:p>
        </w:tc>
        <w:tc>
          <w:tcPr>
            <w:tcW w:w="4788" w:type="dxa"/>
            <w:shd w:val="clear" w:color="auto" w:fill="auto"/>
          </w:tcPr>
          <w:p w:rsidR="00E74643" w:rsidP="00BE3D57" w14:paraId="182F1B83" w14:textId="77777777">
            <w:pPr>
              <w:pStyle w:val="ParaNum"/>
              <w:numPr>
                <w:ilvl w:val="0"/>
                <w:numId w:val="0"/>
              </w:numPr>
            </w:pPr>
            <w:r>
              <w:t>RTI</w:t>
            </w:r>
          </w:p>
        </w:tc>
      </w:tr>
      <w:tr w14:paraId="52B3E225" w14:textId="77777777" w:rsidTr="00BE3D57">
        <w:tblPrEx>
          <w:tblW w:w="0" w:type="auto"/>
          <w:tblLook w:val="04A0"/>
        </w:tblPrEx>
        <w:tc>
          <w:tcPr>
            <w:tcW w:w="4788" w:type="dxa"/>
            <w:shd w:val="clear" w:color="auto" w:fill="auto"/>
          </w:tcPr>
          <w:p w:rsidR="006E3BCF" w:rsidP="00BE3D57" w14:paraId="2F738284" w14:textId="77777777">
            <w:pPr>
              <w:pStyle w:val="ParaNum"/>
              <w:numPr>
                <w:ilvl w:val="0"/>
                <w:numId w:val="0"/>
              </w:numPr>
            </w:pPr>
            <w:r>
              <w:t>Telephone Science Corporation d/b/a Nomorobo</w:t>
            </w:r>
          </w:p>
        </w:tc>
        <w:tc>
          <w:tcPr>
            <w:tcW w:w="4788" w:type="dxa"/>
            <w:shd w:val="clear" w:color="auto" w:fill="auto"/>
          </w:tcPr>
          <w:p w:rsidR="006E3BCF" w:rsidP="00BE3D57" w14:paraId="7D62CF33" w14:textId="77777777">
            <w:pPr>
              <w:pStyle w:val="ParaNum"/>
              <w:numPr>
                <w:ilvl w:val="0"/>
                <w:numId w:val="0"/>
              </w:numPr>
            </w:pPr>
            <w:r>
              <w:t>Nomorobo</w:t>
            </w:r>
          </w:p>
        </w:tc>
      </w:tr>
      <w:tr w14:paraId="2E57EA38" w14:textId="77777777" w:rsidTr="00BE3D57">
        <w:tblPrEx>
          <w:tblW w:w="0" w:type="auto"/>
          <w:tblLook w:val="04A0"/>
        </w:tblPrEx>
        <w:tc>
          <w:tcPr>
            <w:tcW w:w="4788" w:type="dxa"/>
            <w:shd w:val="clear" w:color="auto" w:fill="auto"/>
          </w:tcPr>
          <w:p w:rsidR="00FC5135" w:rsidP="00BE3D57" w14:paraId="59F780C7" w14:textId="77777777">
            <w:pPr>
              <w:pStyle w:val="ParaNum"/>
              <w:numPr>
                <w:ilvl w:val="0"/>
                <w:numId w:val="0"/>
              </w:numPr>
            </w:pPr>
            <w:r>
              <w:t>Sirius XM Radio, Inc.</w:t>
            </w:r>
          </w:p>
        </w:tc>
        <w:tc>
          <w:tcPr>
            <w:tcW w:w="4788" w:type="dxa"/>
            <w:shd w:val="clear" w:color="auto" w:fill="auto"/>
          </w:tcPr>
          <w:p w:rsidR="00FC5135" w:rsidP="00BE3D57" w14:paraId="07143C3F" w14:textId="77777777">
            <w:pPr>
              <w:pStyle w:val="ParaNum"/>
              <w:numPr>
                <w:ilvl w:val="0"/>
                <w:numId w:val="0"/>
              </w:numPr>
            </w:pPr>
            <w:r>
              <w:t>Sirius XM</w:t>
            </w:r>
          </w:p>
        </w:tc>
      </w:tr>
      <w:tr w14:paraId="5BE2E4DD" w14:textId="77777777" w:rsidTr="00BE3D57">
        <w:tblPrEx>
          <w:tblW w:w="0" w:type="auto"/>
          <w:tblLook w:val="04A0"/>
        </w:tblPrEx>
        <w:tc>
          <w:tcPr>
            <w:tcW w:w="4788" w:type="dxa"/>
            <w:shd w:val="clear" w:color="auto" w:fill="auto"/>
          </w:tcPr>
          <w:p w:rsidR="003330FD" w:rsidP="00BE3D57" w14:paraId="7DC13C0F" w14:textId="77777777">
            <w:pPr>
              <w:pStyle w:val="ParaNum"/>
              <w:numPr>
                <w:ilvl w:val="0"/>
                <w:numId w:val="0"/>
              </w:numPr>
            </w:pPr>
            <w:r>
              <w:t>Sprint Corporation</w:t>
            </w:r>
          </w:p>
        </w:tc>
        <w:tc>
          <w:tcPr>
            <w:tcW w:w="4788" w:type="dxa"/>
            <w:shd w:val="clear" w:color="auto" w:fill="auto"/>
          </w:tcPr>
          <w:p w:rsidR="003330FD" w:rsidP="00BE3D57" w14:paraId="792A03DB" w14:textId="77777777">
            <w:pPr>
              <w:pStyle w:val="ParaNum"/>
              <w:numPr>
                <w:ilvl w:val="0"/>
                <w:numId w:val="0"/>
              </w:numPr>
            </w:pPr>
            <w:r>
              <w:t>Sprint</w:t>
            </w:r>
          </w:p>
        </w:tc>
      </w:tr>
      <w:tr w14:paraId="26F33EC2" w14:textId="77777777" w:rsidTr="00BE3D57">
        <w:tblPrEx>
          <w:tblW w:w="0" w:type="auto"/>
          <w:tblLook w:val="04A0"/>
        </w:tblPrEx>
        <w:tc>
          <w:tcPr>
            <w:tcW w:w="4788" w:type="dxa"/>
            <w:shd w:val="clear" w:color="auto" w:fill="auto"/>
          </w:tcPr>
          <w:p w:rsidR="001E61E5" w:rsidP="00BE3D57" w14:paraId="2A72D950" w14:textId="77777777">
            <w:pPr>
              <w:pStyle w:val="ParaNum"/>
              <w:numPr>
                <w:ilvl w:val="0"/>
                <w:numId w:val="0"/>
              </w:numPr>
            </w:pPr>
            <w:r>
              <w:t>TCN, Inc.</w:t>
            </w:r>
          </w:p>
        </w:tc>
        <w:tc>
          <w:tcPr>
            <w:tcW w:w="4788" w:type="dxa"/>
            <w:shd w:val="clear" w:color="auto" w:fill="auto"/>
          </w:tcPr>
          <w:p w:rsidR="001E61E5" w:rsidP="00BE3D57" w14:paraId="1307A28A" w14:textId="77777777">
            <w:pPr>
              <w:pStyle w:val="ParaNum"/>
              <w:numPr>
                <w:ilvl w:val="0"/>
                <w:numId w:val="0"/>
              </w:numPr>
            </w:pPr>
            <w:r>
              <w:t>TCN</w:t>
            </w:r>
          </w:p>
        </w:tc>
      </w:tr>
      <w:tr w14:paraId="1B986E2A" w14:textId="77777777" w:rsidTr="00BE3D57">
        <w:tblPrEx>
          <w:tblW w:w="0" w:type="auto"/>
          <w:tblLook w:val="04A0"/>
        </w:tblPrEx>
        <w:tc>
          <w:tcPr>
            <w:tcW w:w="4788" w:type="dxa"/>
            <w:shd w:val="clear" w:color="auto" w:fill="auto"/>
          </w:tcPr>
          <w:p w:rsidR="002B1D30" w:rsidP="00BE3D57" w14:paraId="5CBB5BE9" w14:textId="77777777">
            <w:pPr>
              <w:pStyle w:val="ParaNum"/>
              <w:numPr>
                <w:ilvl w:val="0"/>
                <w:numId w:val="0"/>
              </w:numPr>
            </w:pPr>
            <w:r>
              <w:t>TDS Telecommunications LLC</w:t>
            </w:r>
          </w:p>
        </w:tc>
        <w:tc>
          <w:tcPr>
            <w:tcW w:w="4788" w:type="dxa"/>
            <w:shd w:val="clear" w:color="auto" w:fill="auto"/>
          </w:tcPr>
          <w:p w:rsidR="002B1D30" w:rsidP="00BE3D57" w14:paraId="1AC1E5C5" w14:textId="77777777">
            <w:pPr>
              <w:pStyle w:val="ParaNum"/>
              <w:numPr>
                <w:ilvl w:val="0"/>
                <w:numId w:val="0"/>
              </w:numPr>
            </w:pPr>
            <w:r>
              <w:t>TDS Telecom</w:t>
            </w:r>
          </w:p>
        </w:tc>
      </w:tr>
      <w:tr w14:paraId="137620F8" w14:textId="77777777" w:rsidTr="00BE3D57">
        <w:tblPrEx>
          <w:tblW w:w="0" w:type="auto"/>
          <w:tblLook w:val="04A0"/>
        </w:tblPrEx>
        <w:tc>
          <w:tcPr>
            <w:tcW w:w="4788" w:type="dxa"/>
            <w:shd w:val="clear" w:color="auto" w:fill="auto"/>
          </w:tcPr>
          <w:p w:rsidR="00832BE2" w:rsidP="00BE3D57" w14:paraId="41C7128E" w14:textId="77777777">
            <w:pPr>
              <w:pStyle w:val="ParaNum"/>
              <w:numPr>
                <w:ilvl w:val="0"/>
                <w:numId w:val="0"/>
              </w:numPr>
            </w:pPr>
            <w:r>
              <w:t>Transaction Network Services</w:t>
            </w:r>
            <w:r w:rsidR="00420903">
              <w:t>, Inc.</w:t>
            </w:r>
          </w:p>
        </w:tc>
        <w:tc>
          <w:tcPr>
            <w:tcW w:w="4788" w:type="dxa"/>
            <w:shd w:val="clear" w:color="auto" w:fill="auto"/>
          </w:tcPr>
          <w:p w:rsidR="00832BE2" w:rsidP="00BE3D57" w14:paraId="0D1FAE80" w14:textId="77777777">
            <w:pPr>
              <w:pStyle w:val="ParaNum"/>
              <w:numPr>
                <w:ilvl w:val="0"/>
                <w:numId w:val="0"/>
              </w:numPr>
            </w:pPr>
            <w:r>
              <w:t>TNS</w:t>
            </w:r>
            <w:r w:rsidR="00AD6B64">
              <w:t xml:space="preserve">    </w:t>
            </w:r>
          </w:p>
        </w:tc>
      </w:tr>
      <w:tr w14:paraId="010A9BD2" w14:textId="77777777" w:rsidTr="00BE3D57">
        <w:tblPrEx>
          <w:tblW w:w="0" w:type="auto"/>
          <w:tblLook w:val="04A0"/>
        </w:tblPrEx>
        <w:tc>
          <w:tcPr>
            <w:tcW w:w="4788" w:type="dxa"/>
            <w:shd w:val="clear" w:color="auto" w:fill="auto"/>
          </w:tcPr>
          <w:p w:rsidR="00A64E1D" w:rsidP="00BE3D57" w14:paraId="35DB93F9" w14:textId="77777777">
            <w:pPr>
              <w:pStyle w:val="ParaNum"/>
              <w:numPr>
                <w:ilvl w:val="0"/>
                <w:numId w:val="0"/>
              </w:numPr>
            </w:pPr>
            <w:r>
              <w:t>Twilio, Inc.</w:t>
            </w:r>
          </w:p>
        </w:tc>
        <w:tc>
          <w:tcPr>
            <w:tcW w:w="4788" w:type="dxa"/>
            <w:shd w:val="clear" w:color="auto" w:fill="auto"/>
          </w:tcPr>
          <w:p w:rsidR="00A64E1D" w:rsidP="00BE3D57" w14:paraId="43C8950B" w14:textId="77777777">
            <w:pPr>
              <w:pStyle w:val="ParaNum"/>
              <w:numPr>
                <w:ilvl w:val="0"/>
                <w:numId w:val="0"/>
              </w:numPr>
            </w:pPr>
            <w:r>
              <w:t>Twilio</w:t>
            </w:r>
          </w:p>
        </w:tc>
      </w:tr>
      <w:tr w14:paraId="64729DB2" w14:textId="77777777" w:rsidTr="00BE3D57">
        <w:tblPrEx>
          <w:tblW w:w="0" w:type="auto"/>
          <w:tblLook w:val="04A0"/>
        </w:tblPrEx>
        <w:tc>
          <w:tcPr>
            <w:tcW w:w="4788" w:type="dxa"/>
            <w:shd w:val="clear" w:color="auto" w:fill="auto"/>
          </w:tcPr>
          <w:p w:rsidR="003414E9" w:rsidP="00BE3D57" w14:paraId="0F086C15" w14:textId="77777777">
            <w:pPr>
              <w:pStyle w:val="ParaNum"/>
              <w:numPr>
                <w:ilvl w:val="0"/>
                <w:numId w:val="0"/>
              </w:numPr>
            </w:pPr>
            <w:r>
              <w:t>US Cellular Corp.</w:t>
            </w:r>
          </w:p>
        </w:tc>
        <w:tc>
          <w:tcPr>
            <w:tcW w:w="4788" w:type="dxa"/>
            <w:shd w:val="clear" w:color="auto" w:fill="auto"/>
          </w:tcPr>
          <w:p w:rsidR="003414E9" w:rsidP="00BE3D57" w14:paraId="51271C39" w14:textId="77777777">
            <w:pPr>
              <w:pStyle w:val="ParaNum"/>
              <w:numPr>
                <w:ilvl w:val="0"/>
                <w:numId w:val="0"/>
              </w:numPr>
            </w:pPr>
            <w:r>
              <w:t>US Cellular</w:t>
            </w:r>
          </w:p>
        </w:tc>
      </w:tr>
      <w:tr w14:paraId="3AAF9EDE" w14:textId="77777777" w:rsidTr="00BE3D57">
        <w:tblPrEx>
          <w:tblW w:w="0" w:type="auto"/>
          <w:tblLook w:val="04A0"/>
        </w:tblPrEx>
        <w:tc>
          <w:tcPr>
            <w:tcW w:w="4788" w:type="dxa"/>
            <w:shd w:val="clear" w:color="auto" w:fill="auto"/>
          </w:tcPr>
          <w:p w:rsidR="00441B2E" w:rsidP="00BE3D57" w14:paraId="1C1895E0" w14:textId="77777777">
            <w:pPr>
              <w:pStyle w:val="ParaNum"/>
              <w:numPr>
                <w:ilvl w:val="0"/>
                <w:numId w:val="0"/>
              </w:numPr>
            </w:pPr>
            <w:r>
              <w:t>USTelecom</w:t>
            </w:r>
            <w:r>
              <w:t>—The Broadband Association</w:t>
            </w:r>
          </w:p>
        </w:tc>
        <w:tc>
          <w:tcPr>
            <w:tcW w:w="4788" w:type="dxa"/>
            <w:shd w:val="clear" w:color="auto" w:fill="auto"/>
          </w:tcPr>
          <w:p w:rsidR="00441B2E" w:rsidP="00BE3D57" w14:paraId="763A6E8A" w14:textId="77777777">
            <w:pPr>
              <w:pStyle w:val="ParaNum"/>
              <w:numPr>
                <w:ilvl w:val="0"/>
                <w:numId w:val="0"/>
              </w:numPr>
            </w:pPr>
            <w:r>
              <w:t>USTelecom</w:t>
            </w:r>
          </w:p>
        </w:tc>
      </w:tr>
      <w:tr w14:paraId="1AAA9669" w14:textId="77777777" w:rsidTr="00BE3D57">
        <w:tblPrEx>
          <w:tblW w:w="0" w:type="auto"/>
          <w:tblLook w:val="04A0"/>
        </w:tblPrEx>
        <w:tc>
          <w:tcPr>
            <w:tcW w:w="4788" w:type="dxa"/>
            <w:shd w:val="clear" w:color="auto" w:fill="auto"/>
          </w:tcPr>
          <w:p w:rsidR="00020345" w:rsidP="00BE3D57" w14:paraId="7E6E7280" w14:textId="77777777">
            <w:pPr>
              <w:pStyle w:val="ParaNum"/>
              <w:numPr>
                <w:ilvl w:val="0"/>
                <w:numId w:val="0"/>
              </w:numPr>
            </w:pPr>
            <w:r>
              <w:t>Verizon and Verizon Wireless</w:t>
            </w:r>
          </w:p>
        </w:tc>
        <w:tc>
          <w:tcPr>
            <w:tcW w:w="4788" w:type="dxa"/>
            <w:shd w:val="clear" w:color="auto" w:fill="auto"/>
          </w:tcPr>
          <w:p w:rsidR="00020345" w:rsidP="00BE3D57" w14:paraId="6E2BA01E" w14:textId="77777777">
            <w:pPr>
              <w:pStyle w:val="ParaNum"/>
              <w:numPr>
                <w:ilvl w:val="0"/>
                <w:numId w:val="0"/>
              </w:numPr>
            </w:pPr>
            <w:r>
              <w:t>Verizon</w:t>
            </w:r>
          </w:p>
        </w:tc>
      </w:tr>
      <w:tr w14:paraId="71EEB97A" w14:textId="77777777" w:rsidTr="00BE3D57">
        <w:tblPrEx>
          <w:tblW w:w="0" w:type="auto"/>
          <w:tblLook w:val="04A0"/>
        </w:tblPrEx>
        <w:tc>
          <w:tcPr>
            <w:tcW w:w="4788" w:type="dxa"/>
            <w:shd w:val="clear" w:color="auto" w:fill="auto"/>
          </w:tcPr>
          <w:p w:rsidR="00441B2E" w:rsidP="00BE3D57" w14:paraId="1D590932" w14:textId="77777777">
            <w:pPr>
              <w:pStyle w:val="ParaNum"/>
              <w:numPr>
                <w:ilvl w:val="0"/>
                <w:numId w:val="0"/>
              </w:numPr>
            </w:pPr>
            <w:r>
              <w:t>Vonage</w:t>
            </w:r>
          </w:p>
        </w:tc>
        <w:tc>
          <w:tcPr>
            <w:tcW w:w="4788" w:type="dxa"/>
            <w:shd w:val="clear" w:color="auto" w:fill="auto"/>
          </w:tcPr>
          <w:p w:rsidR="00441B2E" w:rsidP="00BE3D57" w14:paraId="7BC28ED7" w14:textId="77777777">
            <w:pPr>
              <w:pStyle w:val="ParaNum"/>
              <w:numPr>
                <w:ilvl w:val="0"/>
                <w:numId w:val="0"/>
              </w:numPr>
            </w:pPr>
            <w:r>
              <w:t>Vonage</w:t>
            </w:r>
          </w:p>
        </w:tc>
      </w:tr>
    </w:tbl>
    <w:p w:rsidR="00ED7168" w:rsidP="00ED7168" w14:paraId="6E4E6265" w14:textId="77777777">
      <w:pPr>
        <w:pStyle w:val="ParaNum"/>
        <w:numPr>
          <w:ilvl w:val="0"/>
          <w:numId w:val="0"/>
        </w:numPr>
        <w:ind w:left="720"/>
        <w:jc w:val="center"/>
        <w:rPr>
          <w:b/>
          <w:bCs/>
        </w:rPr>
      </w:pPr>
      <w:r>
        <w:br w:type="page"/>
      </w:r>
      <w:r w:rsidRPr="00ED7168">
        <w:rPr>
          <w:b/>
          <w:bCs/>
        </w:rPr>
        <w:t>APPENDIX B</w:t>
      </w:r>
    </w:p>
    <w:p w:rsidR="001218F8" w:rsidRPr="001218F8" w:rsidP="00ED7168" w14:paraId="5021BE3E" w14:textId="77777777">
      <w:pPr>
        <w:pStyle w:val="ParaNum"/>
        <w:numPr>
          <w:ilvl w:val="0"/>
          <w:numId w:val="0"/>
        </w:numPr>
        <w:ind w:left="720"/>
        <w:jc w:val="center"/>
        <w:rPr>
          <w:b/>
          <w:bCs/>
        </w:rPr>
      </w:pPr>
      <w:r w:rsidRPr="001218F8">
        <w:rPr>
          <w:b/>
          <w:bCs/>
        </w:rPr>
        <w:t>Summary of Blocking and Labeling Options Offered</w:t>
      </w:r>
    </w:p>
    <w:p w:rsidR="00ED7168" w:rsidRPr="001C2CD0" w:rsidP="00ED7168" w14:paraId="398C2C9C" w14:textId="77777777">
      <w:pPr>
        <w:pStyle w:val="ParaNum"/>
        <w:numPr>
          <w:ilvl w:val="0"/>
          <w:numId w:val="0"/>
        </w:numPr>
        <w:ind w:left="720"/>
        <w:jc w:val="cente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3"/>
        <w:gridCol w:w="2271"/>
        <w:gridCol w:w="2142"/>
        <w:gridCol w:w="2240"/>
      </w:tblGrid>
      <w:tr w14:paraId="776D504B" w14:textId="77777777" w:rsidTr="00BE3D57">
        <w:tblPrEx>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203" w:type="dxa"/>
            <w:shd w:val="clear" w:color="auto" w:fill="auto"/>
          </w:tcPr>
          <w:p w:rsidR="00ED7168" w:rsidRPr="00BE3D57" w:rsidP="00BE3D57" w14:paraId="51983F94" w14:textId="77777777">
            <w:pPr>
              <w:pStyle w:val="ParaNum"/>
              <w:numPr>
                <w:ilvl w:val="0"/>
                <w:numId w:val="0"/>
              </w:numPr>
              <w:rPr>
                <w:b/>
                <w:bCs/>
              </w:rPr>
            </w:pPr>
            <w:r w:rsidRPr="00BE3D57">
              <w:rPr>
                <w:b/>
                <w:bCs/>
              </w:rPr>
              <w:t>Voice service provider</w:t>
            </w:r>
          </w:p>
        </w:tc>
        <w:tc>
          <w:tcPr>
            <w:tcW w:w="2271" w:type="dxa"/>
            <w:shd w:val="clear" w:color="auto" w:fill="auto"/>
          </w:tcPr>
          <w:p w:rsidR="00ED7168" w:rsidRPr="00BE3D57" w:rsidP="00BE3D57" w14:paraId="58CBE19D" w14:textId="77777777">
            <w:pPr>
              <w:pStyle w:val="ParaNum"/>
              <w:numPr>
                <w:ilvl w:val="0"/>
                <w:numId w:val="0"/>
              </w:numPr>
              <w:rPr>
                <w:b/>
                <w:bCs/>
              </w:rPr>
            </w:pPr>
            <w:r w:rsidRPr="00BE3D57">
              <w:rPr>
                <w:b/>
                <w:bCs/>
              </w:rPr>
              <w:t>Blocking/labeling services offered</w:t>
            </w:r>
          </w:p>
        </w:tc>
        <w:tc>
          <w:tcPr>
            <w:tcW w:w="2142" w:type="dxa"/>
            <w:shd w:val="clear" w:color="auto" w:fill="auto"/>
          </w:tcPr>
          <w:p w:rsidR="00ED7168" w:rsidRPr="00BE3D57" w:rsidP="00BE3D57" w14:paraId="209B1D80" w14:textId="77777777">
            <w:pPr>
              <w:pStyle w:val="ParaNum"/>
              <w:numPr>
                <w:ilvl w:val="0"/>
                <w:numId w:val="0"/>
              </w:numPr>
              <w:rPr>
                <w:b/>
                <w:bCs/>
              </w:rPr>
            </w:pPr>
            <w:r w:rsidRPr="00BE3D57">
              <w:rPr>
                <w:b/>
                <w:bCs/>
              </w:rPr>
              <w:t>Estimate on number of calls blocked or labeled</w:t>
            </w:r>
          </w:p>
        </w:tc>
        <w:tc>
          <w:tcPr>
            <w:tcW w:w="2240" w:type="dxa"/>
            <w:shd w:val="clear" w:color="auto" w:fill="auto"/>
          </w:tcPr>
          <w:p w:rsidR="00ED7168" w:rsidRPr="00BE3D57" w:rsidP="00BE3D57" w14:paraId="79C78CB1" w14:textId="770F39E8">
            <w:pPr>
              <w:pStyle w:val="ParaNum"/>
              <w:numPr>
                <w:ilvl w:val="0"/>
                <w:numId w:val="0"/>
              </w:numPr>
              <w:rPr>
                <w:b/>
                <w:bCs/>
              </w:rPr>
            </w:pPr>
            <w:r w:rsidRPr="00BE3D57">
              <w:rPr>
                <w:b/>
                <w:bCs/>
              </w:rPr>
              <w:t>Default, opt</w:t>
            </w:r>
            <w:r w:rsidR="002D39B4">
              <w:rPr>
                <w:b/>
                <w:bCs/>
              </w:rPr>
              <w:t xml:space="preserve"> </w:t>
            </w:r>
            <w:r w:rsidRPr="00BE3D57">
              <w:rPr>
                <w:b/>
                <w:bCs/>
              </w:rPr>
              <w:t>in, or opt</w:t>
            </w:r>
            <w:r w:rsidR="002D39B4">
              <w:rPr>
                <w:b/>
                <w:bCs/>
              </w:rPr>
              <w:t xml:space="preserve"> </w:t>
            </w:r>
            <w:r w:rsidRPr="00BE3D57">
              <w:rPr>
                <w:b/>
                <w:bCs/>
              </w:rPr>
              <w:t>out</w:t>
            </w:r>
          </w:p>
        </w:tc>
      </w:tr>
      <w:tr w14:paraId="43388E0D" w14:textId="77777777" w:rsidTr="00BE3D57">
        <w:tblPrEx>
          <w:tblW w:w="0" w:type="auto"/>
          <w:tblInd w:w="720" w:type="dxa"/>
          <w:tblLook w:val="04A0"/>
        </w:tblPrEx>
        <w:tc>
          <w:tcPr>
            <w:tcW w:w="2203" w:type="dxa"/>
            <w:shd w:val="clear" w:color="auto" w:fill="auto"/>
          </w:tcPr>
          <w:p w:rsidR="00ED7168" w:rsidP="00BE3D57" w14:paraId="37AE3FF6" w14:textId="77777777">
            <w:pPr>
              <w:pStyle w:val="ParaNum"/>
              <w:numPr>
                <w:ilvl w:val="0"/>
                <w:numId w:val="0"/>
              </w:numPr>
            </w:pPr>
            <w:r>
              <w:t>AT&amp;T—Wireless</w:t>
            </w:r>
          </w:p>
        </w:tc>
        <w:tc>
          <w:tcPr>
            <w:tcW w:w="2271" w:type="dxa"/>
            <w:shd w:val="clear" w:color="auto" w:fill="auto"/>
          </w:tcPr>
          <w:p w:rsidR="00ED7168" w:rsidP="00BE3D57" w14:paraId="32D89DCE" w14:textId="226102B2">
            <w:pPr>
              <w:pStyle w:val="ParaNum"/>
              <w:numPr>
                <w:ilvl w:val="0"/>
                <w:numId w:val="0"/>
              </w:numPr>
            </w:pPr>
            <w:r>
              <w:t>Network</w:t>
            </w:r>
            <w:r w:rsidR="00597245">
              <w:t>-</w:t>
            </w:r>
            <w:r>
              <w:t>level blocking</w:t>
            </w:r>
          </w:p>
          <w:p w:rsidR="00ED7168" w:rsidP="00BE3D57" w14:paraId="3B2AAEB8" w14:textId="77777777">
            <w:pPr>
              <w:pStyle w:val="ParaNum"/>
              <w:numPr>
                <w:ilvl w:val="0"/>
                <w:numId w:val="0"/>
              </w:numPr>
            </w:pPr>
            <w:r>
              <w:t>Call Protect or Call Protect Basic, free</w:t>
            </w:r>
          </w:p>
          <w:p w:rsidR="00ED7168" w:rsidP="00BE3D57" w14:paraId="6F7D9C3D" w14:textId="77777777">
            <w:pPr>
              <w:pStyle w:val="ParaNum"/>
              <w:numPr>
                <w:ilvl w:val="0"/>
                <w:numId w:val="0"/>
              </w:numPr>
            </w:pPr>
            <w:r>
              <w:t>Call Protect Plus</w:t>
            </w:r>
          </w:p>
        </w:tc>
        <w:tc>
          <w:tcPr>
            <w:tcW w:w="2142" w:type="dxa"/>
            <w:shd w:val="clear" w:color="auto" w:fill="auto"/>
          </w:tcPr>
          <w:p w:rsidR="00ED7168" w:rsidP="00BE3D57" w14:paraId="40DFB05E" w14:textId="77777777">
            <w:pPr>
              <w:pStyle w:val="ParaNum"/>
              <w:numPr>
                <w:ilvl w:val="0"/>
                <w:numId w:val="0"/>
              </w:numPr>
            </w:pPr>
            <w:r>
              <w:t>Call Protect and Call Protect Plus, since 2016, blocked fraudulent calls or labeled suspicious calls</w:t>
            </w:r>
            <w:r w:rsidR="003B0A9D">
              <w:t xml:space="preserve">; </w:t>
            </w:r>
            <w:r>
              <w:t>nearly 1.3 billion suspected fraud and over 3 billion other calls</w:t>
            </w:r>
            <w:r w:rsidR="003B0A9D">
              <w:t xml:space="preserve"> blocked or labeled</w:t>
            </w:r>
            <w:r>
              <w:t>.</w:t>
            </w:r>
          </w:p>
        </w:tc>
        <w:tc>
          <w:tcPr>
            <w:tcW w:w="2240" w:type="dxa"/>
            <w:shd w:val="clear" w:color="auto" w:fill="auto"/>
          </w:tcPr>
          <w:p w:rsidR="00ED7168" w:rsidP="00BE3D57" w14:paraId="607DE8AD" w14:textId="77777777">
            <w:pPr>
              <w:pStyle w:val="ParaNum"/>
              <w:numPr>
                <w:ilvl w:val="0"/>
                <w:numId w:val="0"/>
              </w:numPr>
            </w:pPr>
            <w:r>
              <w:t>Default</w:t>
            </w:r>
          </w:p>
          <w:p w:rsidR="00ED7168" w:rsidP="00BE3D57" w14:paraId="59542F94" w14:textId="1E2D6D6C">
            <w:pPr>
              <w:pStyle w:val="ParaNum"/>
              <w:numPr>
                <w:ilvl w:val="0"/>
                <w:numId w:val="0"/>
              </w:numPr>
            </w:pPr>
            <w:r>
              <w:t>Call Protect is opt</w:t>
            </w:r>
            <w:r w:rsidR="002D39B4">
              <w:t xml:space="preserve"> </w:t>
            </w:r>
            <w:r>
              <w:t>out, since 2019</w:t>
            </w:r>
          </w:p>
          <w:p w:rsidR="00ED7168" w:rsidP="00BE3D57" w14:paraId="0DB22ED7" w14:textId="4FCB90B0">
            <w:pPr>
              <w:pStyle w:val="ParaNum"/>
              <w:numPr>
                <w:ilvl w:val="0"/>
                <w:numId w:val="0"/>
              </w:numPr>
            </w:pPr>
            <w:r>
              <w:t>Call Protect Plus is opt</w:t>
            </w:r>
            <w:r w:rsidR="002D39B4">
              <w:t xml:space="preserve"> </w:t>
            </w:r>
            <w:r>
              <w:t>in</w:t>
            </w:r>
          </w:p>
          <w:p w:rsidR="00ED7168" w:rsidP="00BE3D57" w14:paraId="07BB9B11" w14:textId="77777777">
            <w:pPr>
              <w:pStyle w:val="ParaNum"/>
              <w:numPr>
                <w:ilvl w:val="0"/>
                <w:numId w:val="0"/>
              </w:numPr>
            </w:pPr>
          </w:p>
        </w:tc>
      </w:tr>
      <w:tr w14:paraId="438777FA" w14:textId="77777777" w:rsidTr="00BE3D57">
        <w:tblPrEx>
          <w:tblW w:w="0" w:type="auto"/>
          <w:tblInd w:w="720" w:type="dxa"/>
          <w:tblLook w:val="04A0"/>
        </w:tblPrEx>
        <w:tc>
          <w:tcPr>
            <w:tcW w:w="2203" w:type="dxa"/>
            <w:shd w:val="clear" w:color="auto" w:fill="auto"/>
          </w:tcPr>
          <w:p w:rsidR="00ED7168" w:rsidP="00BE3D57" w14:paraId="6BAE6F5F" w14:textId="77777777">
            <w:pPr>
              <w:pStyle w:val="ParaNum"/>
              <w:numPr>
                <w:ilvl w:val="0"/>
                <w:numId w:val="0"/>
              </w:numPr>
            </w:pPr>
            <w:r>
              <w:t>AT&amp;T—VoIP</w:t>
            </w:r>
          </w:p>
        </w:tc>
        <w:tc>
          <w:tcPr>
            <w:tcW w:w="2271" w:type="dxa"/>
            <w:shd w:val="clear" w:color="auto" w:fill="auto"/>
          </w:tcPr>
          <w:p w:rsidR="00ED7168" w:rsidP="00BE3D57" w14:paraId="1DF389DF" w14:textId="7EB13BDB">
            <w:pPr>
              <w:pStyle w:val="ParaNum"/>
              <w:numPr>
                <w:ilvl w:val="0"/>
                <w:numId w:val="0"/>
              </w:numPr>
            </w:pPr>
            <w:r>
              <w:t>Network-</w:t>
            </w:r>
            <w:r>
              <w:t>level blocking</w:t>
            </w:r>
          </w:p>
          <w:p w:rsidR="00ED7168" w:rsidP="00BE3D57" w14:paraId="22FCFB51" w14:textId="4F7AA294">
            <w:pPr>
              <w:pStyle w:val="ParaNum"/>
              <w:numPr>
                <w:ilvl w:val="0"/>
                <w:numId w:val="0"/>
              </w:numPr>
            </w:pPr>
            <w:r>
              <w:t>Digital Phone Call Protect, free</w:t>
            </w:r>
          </w:p>
        </w:tc>
        <w:tc>
          <w:tcPr>
            <w:tcW w:w="2142" w:type="dxa"/>
            <w:shd w:val="clear" w:color="auto" w:fill="auto"/>
          </w:tcPr>
          <w:p w:rsidR="00ED7168" w:rsidP="00BE3D57" w14:paraId="5E421AF4" w14:textId="70522E8D">
            <w:pPr>
              <w:pStyle w:val="ParaNum"/>
              <w:numPr>
                <w:ilvl w:val="0"/>
                <w:numId w:val="0"/>
              </w:numPr>
            </w:pPr>
            <w:r>
              <w:t>Blocked over 46 million and spam warnings for 36 million</w:t>
            </w:r>
          </w:p>
        </w:tc>
        <w:tc>
          <w:tcPr>
            <w:tcW w:w="2240" w:type="dxa"/>
            <w:shd w:val="clear" w:color="auto" w:fill="auto"/>
          </w:tcPr>
          <w:p w:rsidR="00ED7168" w:rsidP="00BE3D57" w14:paraId="2910FC40" w14:textId="77777777">
            <w:pPr>
              <w:pStyle w:val="ParaNum"/>
              <w:numPr>
                <w:ilvl w:val="0"/>
                <w:numId w:val="0"/>
              </w:numPr>
            </w:pPr>
            <w:r>
              <w:t>Default</w:t>
            </w:r>
          </w:p>
          <w:p w:rsidR="00183FB9" w:rsidP="00BE3D57" w14:paraId="0BA9F586" w14:textId="77777777">
            <w:pPr>
              <w:pStyle w:val="ParaNum"/>
              <w:numPr>
                <w:ilvl w:val="0"/>
                <w:numId w:val="0"/>
              </w:numPr>
            </w:pPr>
          </w:p>
          <w:p w:rsidR="00ED7168" w:rsidP="00BE3D57" w14:paraId="123CDA18" w14:textId="2EBBDE29">
            <w:pPr>
              <w:pStyle w:val="ParaNum"/>
              <w:numPr>
                <w:ilvl w:val="0"/>
                <w:numId w:val="0"/>
              </w:numPr>
            </w:pPr>
            <w:r>
              <w:t>Opt</w:t>
            </w:r>
            <w:r w:rsidR="002D39B4">
              <w:t xml:space="preserve"> </w:t>
            </w:r>
            <w:r>
              <w:t>in</w:t>
            </w:r>
          </w:p>
        </w:tc>
      </w:tr>
      <w:tr w14:paraId="29319D55" w14:textId="77777777" w:rsidTr="00BE3D57">
        <w:tblPrEx>
          <w:tblW w:w="0" w:type="auto"/>
          <w:tblInd w:w="720" w:type="dxa"/>
          <w:tblLook w:val="04A0"/>
        </w:tblPrEx>
        <w:tc>
          <w:tcPr>
            <w:tcW w:w="2203" w:type="dxa"/>
            <w:shd w:val="clear" w:color="auto" w:fill="auto"/>
          </w:tcPr>
          <w:p w:rsidR="00627C94" w:rsidP="00627C94" w14:paraId="5F8E429F" w14:textId="798624A5">
            <w:pPr>
              <w:pStyle w:val="ParaNum"/>
              <w:numPr>
                <w:ilvl w:val="0"/>
                <w:numId w:val="0"/>
              </w:numPr>
            </w:pPr>
            <w:r>
              <w:t>CenturyLink—wireline</w:t>
            </w:r>
          </w:p>
        </w:tc>
        <w:tc>
          <w:tcPr>
            <w:tcW w:w="2271" w:type="dxa"/>
            <w:shd w:val="clear" w:color="auto" w:fill="auto"/>
          </w:tcPr>
          <w:p w:rsidR="00627C94" w:rsidP="00627C94" w14:paraId="2A38D005" w14:textId="33DFD9A0">
            <w:pPr>
              <w:pStyle w:val="ParaNum"/>
              <w:numPr>
                <w:ilvl w:val="0"/>
                <w:numId w:val="0"/>
              </w:numPr>
            </w:pPr>
            <w:r>
              <w:t>Network-</w:t>
            </w:r>
            <w:r>
              <w:t>level blocking</w:t>
            </w:r>
          </w:p>
          <w:p w:rsidR="00627C94" w:rsidP="00627C94" w14:paraId="60910FE1" w14:textId="77777777">
            <w:pPr>
              <w:pStyle w:val="ParaNum"/>
              <w:numPr>
                <w:ilvl w:val="0"/>
                <w:numId w:val="0"/>
              </w:numPr>
            </w:pPr>
            <w:r>
              <w:t>VoIP customers can sign up for free Nomorobo blocking service</w:t>
            </w:r>
          </w:p>
          <w:p w:rsidR="00627C94" w:rsidP="00627C94" w14:paraId="6F9EC98A" w14:textId="381B1031">
            <w:pPr>
              <w:pStyle w:val="ParaNum"/>
              <w:numPr>
                <w:ilvl w:val="0"/>
                <w:numId w:val="0"/>
              </w:numPr>
            </w:pPr>
            <w:r>
              <w:t xml:space="preserve">Other end user options for some customers </w:t>
            </w:r>
          </w:p>
        </w:tc>
        <w:tc>
          <w:tcPr>
            <w:tcW w:w="2142" w:type="dxa"/>
            <w:shd w:val="clear" w:color="auto" w:fill="auto"/>
          </w:tcPr>
          <w:p w:rsidR="00627C94" w:rsidP="00627C94" w14:paraId="39A6B609" w14:textId="77777777">
            <w:pPr>
              <w:pStyle w:val="ParaNum"/>
              <w:numPr>
                <w:ilvl w:val="0"/>
                <w:numId w:val="0"/>
              </w:numPr>
            </w:pPr>
          </w:p>
        </w:tc>
        <w:tc>
          <w:tcPr>
            <w:tcW w:w="2240" w:type="dxa"/>
            <w:shd w:val="clear" w:color="auto" w:fill="auto"/>
          </w:tcPr>
          <w:p w:rsidR="00627C94" w:rsidP="00627C94" w14:paraId="0148FF65" w14:textId="77777777">
            <w:pPr>
              <w:pStyle w:val="ParaNum"/>
              <w:numPr>
                <w:ilvl w:val="0"/>
                <w:numId w:val="0"/>
              </w:numPr>
            </w:pPr>
            <w:r>
              <w:t>Default</w:t>
            </w:r>
          </w:p>
          <w:p w:rsidR="00627C94" w:rsidP="00627C94" w14:paraId="687A8621" w14:textId="77777777">
            <w:pPr>
              <w:pStyle w:val="ParaNum"/>
              <w:numPr>
                <w:ilvl w:val="0"/>
                <w:numId w:val="0"/>
              </w:numPr>
            </w:pPr>
          </w:p>
          <w:p w:rsidR="00627C94" w:rsidP="00627C94" w14:paraId="4BA23755" w14:textId="3F7881EC">
            <w:pPr>
              <w:pStyle w:val="ParaNum"/>
              <w:numPr>
                <w:ilvl w:val="0"/>
                <w:numId w:val="0"/>
              </w:numPr>
            </w:pPr>
            <w:r>
              <w:t xml:space="preserve">End-user blocking is </w:t>
            </w:r>
            <w:r>
              <w:t>opt</w:t>
            </w:r>
            <w:r>
              <w:t xml:space="preserve"> in</w:t>
            </w:r>
          </w:p>
        </w:tc>
      </w:tr>
      <w:tr w14:paraId="33A34B9B" w14:textId="77777777" w:rsidTr="00BE3D57">
        <w:tblPrEx>
          <w:tblW w:w="0" w:type="auto"/>
          <w:tblInd w:w="720" w:type="dxa"/>
          <w:tblLook w:val="04A0"/>
        </w:tblPrEx>
        <w:tc>
          <w:tcPr>
            <w:tcW w:w="2203" w:type="dxa"/>
            <w:shd w:val="clear" w:color="auto" w:fill="auto"/>
          </w:tcPr>
          <w:p w:rsidR="00627C94" w:rsidP="00627C94" w14:paraId="3CB95F9F" w14:textId="6DDC4281">
            <w:pPr>
              <w:pStyle w:val="ParaNum"/>
              <w:numPr>
                <w:ilvl w:val="0"/>
                <w:numId w:val="0"/>
              </w:numPr>
            </w:pPr>
            <w:r>
              <w:t>Charter—wireline</w:t>
            </w:r>
          </w:p>
        </w:tc>
        <w:tc>
          <w:tcPr>
            <w:tcW w:w="2271" w:type="dxa"/>
            <w:shd w:val="clear" w:color="auto" w:fill="auto"/>
          </w:tcPr>
          <w:p w:rsidR="00627C94" w:rsidP="00627C94" w14:paraId="35F03F7B" w14:textId="51039E1F">
            <w:pPr>
              <w:pStyle w:val="ParaNum"/>
              <w:numPr>
                <w:ilvl w:val="0"/>
                <w:numId w:val="0"/>
              </w:numPr>
            </w:pPr>
            <w:r>
              <w:t>Network-</w:t>
            </w:r>
            <w:r>
              <w:t>level blocking</w:t>
            </w:r>
          </w:p>
          <w:p w:rsidR="00627C94" w:rsidP="00627C94" w14:paraId="2E963B51" w14:textId="5CC02BD2">
            <w:pPr>
              <w:pStyle w:val="ParaNum"/>
              <w:numPr>
                <w:ilvl w:val="0"/>
                <w:numId w:val="0"/>
              </w:numPr>
            </w:pPr>
            <w:r>
              <w:t>Customers can sign up for Nomorobo blocking service, free.</w:t>
            </w:r>
          </w:p>
        </w:tc>
        <w:tc>
          <w:tcPr>
            <w:tcW w:w="2142" w:type="dxa"/>
            <w:shd w:val="clear" w:color="auto" w:fill="auto"/>
          </w:tcPr>
          <w:p w:rsidR="00627C94" w:rsidP="00627C94" w14:paraId="546E631F" w14:textId="77777777">
            <w:pPr>
              <w:pStyle w:val="ParaNum"/>
              <w:numPr>
                <w:ilvl w:val="0"/>
                <w:numId w:val="0"/>
              </w:numPr>
            </w:pPr>
          </w:p>
        </w:tc>
        <w:tc>
          <w:tcPr>
            <w:tcW w:w="2240" w:type="dxa"/>
            <w:shd w:val="clear" w:color="auto" w:fill="auto"/>
          </w:tcPr>
          <w:p w:rsidR="00627C94" w:rsidP="00627C94" w14:paraId="535E04D5" w14:textId="77777777">
            <w:pPr>
              <w:pStyle w:val="ParaNum"/>
              <w:numPr>
                <w:ilvl w:val="0"/>
                <w:numId w:val="0"/>
              </w:numPr>
            </w:pPr>
            <w:r>
              <w:t>Default</w:t>
            </w:r>
          </w:p>
          <w:p w:rsidR="00627C94" w:rsidP="00627C94" w14:paraId="58EC4EA5" w14:textId="77777777">
            <w:pPr>
              <w:pStyle w:val="ParaNum"/>
              <w:numPr>
                <w:ilvl w:val="0"/>
                <w:numId w:val="0"/>
              </w:numPr>
            </w:pPr>
          </w:p>
          <w:p w:rsidR="00627C94" w:rsidP="00627C94" w14:paraId="29DD8E28" w14:textId="7C920606">
            <w:pPr>
              <w:pStyle w:val="ParaNum"/>
              <w:numPr>
                <w:ilvl w:val="0"/>
                <w:numId w:val="0"/>
              </w:numPr>
            </w:pPr>
            <w:r>
              <w:t>Opt</w:t>
            </w:r>
            <w:r>
              <w:t xml:space="preserve"> in</w:t>
            </w:r>
          </w:p>
        </w:tc>
      </w:tr>
      <w:tr w14:paraId="278412F3" w14:textId="77777777" w:rsidTr="00BE3D57">
        <w:tblPrEx>
          <w:tblW w:w="0" w:type="auto"/>
          <w:tblInd w:w="720" w:type="dxa"/>
          <w:tblLook w:val="04A0"/>
        </w:tblPrEx>
        <w:tc>
          <w:tcPr>
            <w:tcW w:w="2203" w:type="dxa"/>
            <w:shd w:val="clear" w:color="auto" w:fill="auto"/>
          </w:tcPr>
          <w:p w:rsidR="00627C94" w:rsidP="00627C94" w14:paraId="27F51B18" w14:textId="3CD8931B">
            <w:pPr>
              <w:pStyle w:val="ParaNum"/>
              <w:numPr>
                <w:ilvl w:val="0"/>
                <w:numId w:val="0"/>
              </w:numPr>
            </w:pPr>
            <w:r>
              <w:t>Comcast—wireline</w:t>
            </w:r>
          </w:p>
        </w:tc>
        <w:tc>
          <w:tcPr>
            <w:tcW w:w="2271" w:type="dxa"/>
            <w:shd w:val="clear" w:color="auto" w:fill="auto"/>
          </w:tcPr>
          <w:p w:rsidR="00627C94" w:rsidP="00627C94" w14:paraId="5B903B43" w14:textId="33B73D20">
            <w:pPr>
              <w:pStyle w:val="ParaNum"/>
              <w:numPr>
                <w:ilvl w:val="0"/>
                <w:numId w:val="0"/>
              </w:numPr>
            </w:pPr>
            <w:r>
              <w:t>Network-</w:t>
            </w:r>
            <w:r>
              <w:t xml:space="preserve">level blocking </w:t>
            </w:r>
          </w:p>
          <w:p w:rsidR="00627C94" w:rsidP="00627C94" w14:paraId="473E6BFB" w14:textId="77777777">
            <w:pPr>
              <w:pStyle w:val="ParaNum"/>
              <w:numPr>
                <w:ilvl w:val="0"/>
                <w:numId w:val="0"/>
              </w:numPr>
            </w:pPr>
            <w:r>
              <w:t>Anonymous Call Rejection, Selective Call Rejection, free</w:t>
            </w:r>
          </w:p>
          <w:p w:rsidR="00627C94" w:rsidP="00627C94" w14:paraId="011D2E61" w14:textId="40C15294">
            <w:pPr>
              <w:pStyle w:val="ParaNum"/>
              <w:numPr>
                <w:ilvl w:val="0"/>
                <w:numId w:val="0"/>
              </w:numPr>
            </w:pPr>
            <w:r>
              <w:t>Customers can sign up for Nomorobo blocking service, free</w:t>
            </w:r>
          </w:p>
        </w:tc>
        <w:tc>
          <w:tcPr>
            <w:tcW w:w="2142" w:type="dxa"/>
            <w:shd w:val="clear" w:color="auto" w:fill="auto"/>
          </w:tcPr>
          <w:p w:rsidR="00627C94" w:rsidP="00627C94" w14:paraId="5389BBCD" w14:textId="17B0C8FF">
            <w:pPr>
              <w:pStyle w:val="ParaNum"/>
              <w:numPr>
                <w:ilvl w:val="0"/>
                <w:numId w:val="0"/>
              </w:numPr>
            </w:pPr>
            <w:r>
              <w:t>Over 158 million calls blocked in Dec. 2019</w:t>
            </w:r>
          </w:p>
          <w:p w:rsidR="00627C94" w:rsidP="00627C94" w14:paraId="5788FDBA" w14:textId="65F67E9D">
            <w:pPr>
              <w:pStyle w:val="ParaNum"/>
              <w:numPr>
                <w:ilvl w:val="0"/>
                <w:numId w:val="0"/>
              </w:numPr>
            </w:pPr>
            <w:r>
              <w:t>Anonymous Call Rejection blocked nearly 37 million calls in Dec. 2019.  Selective Call Rejection blocked over five million calls in Dec. 2019.</w:t>
            </w:r>
          </w:p>
        </w:tc>
        <w:tc>
          <w:tcPr>
            <w:tcW w:w="2240" w:type="dxa"/>
            <w:shd w:val="clear" w:color="auto" w:fill="auto"/>
          </w:tcPr>
          <w:p w:rsidR="00627C94" w:rsidP="00627C94" w14:paraId="3C643064" w14:textId="77777777">
            <w:pPr>
              <w:pStyle w:val="ParaNum"/>
              <w:numPr>
                <w:ilvl w:val="0"/>
                <w:numId w:val="0"/>
              </w:numPr>
            </w:pPr>
            <w:r>
              <w:t>Default</w:t>
            </w:r>
          </w:p>
          <w:p w:rsidR="00627C94" w:rsidP="00627C94" w14:paraId="6AA1409F" w14:textId="77777777">
            <w:pPr>
              <w:pStyle w:val="ParaNum"/>
              <w:numPr>
                <w:ilvl w:val="0"/>
                <w:numId w:val="0"/>
              </w:numPr>
            </w:pPr>
          </w:p>
          <w:p w:rsidR="00627C94" w:rsidP="00627C94" w14:paraId="4738FADD" w14:textId="741BA657">
            <w:pPr>
              <w:pStyle w:val="ParaNum"/>
              <w:numPr>
                <w:ilvl w:val="0"/>
                <w:numId w:val="0"/>
              </w:numPr>
            </w:pPr>
            <w:r>
              <w:t xml:space="preserve">Anonymous Call Rejection is </w:t>
            </w:r>
            <w:r>
              <w:t>opt</w:t>
            </w:r>
            <w:r>
              <w:t xml:space="preserve"> in, but will be offered opt out</w:t>
            </w:r>
          </w:p>
          <w:p w:rsidR="00627C94" w:rsidP="00627C94" w14:paraId="6FFCC7B9" w14:textId="63C9514A">
            <w:pPr>
              <w:pStyle w:val="ParaNum"/>
              <w:numPr>
                <w:ilvl w:val="0"/>
                <w:numId w:val="0"/>
              </w:numPr>
            </w:pPr>
            <w:r>
              <w:t xml:space="preserve">Selective Call Rejection is </w:t>
            </w:r>
            <w:r>
              <w:t>opt</w:t>
            </w:r>
            <w:r>
              <w:t xml:space="preserve"> in</w:t>
            </w:r>
          </w:p>
          <w:p w:rsidR="00627C94" w:rsidP="00627C94" w14:paraId="3D7AB525" w14:textId="3D405D1F">
            <w:pPr>
              <w:pStyle w:val="ParaNum"/>
              <w:numPr>
                <w:ilvl w:val="0"/>
                <w:numId w:val="0"/>
              </w:numPr>
            </w:pPr>
            <w:r>
              <w:t>Nomorobo is opt in</w:t>
            </w:r>
          </w:p>
        </w:tc>
      </w:tr>
      <w:tr w14:paraId="54B68F91" w14:textId="77777777" w:rsidTr="00BE3D57">
        <w:tblPrEx>
          <w:tblW w:w="0" w:type="auto"/>
          <w:tblInd w:w="720" w:type="dxa"/>
          <w:tblLook w:val="04A0"/>
        </w:tblPrEx>
        <w:tc>
          <w:tcPr>
            <w:tcW w:w="2203" w:type="dxa"/>
            <w:shd w:val="clear" w:color="auto" w:fill="auto"/>
          </w:tcPr>
          <w:p w:rsidR="00792A62" w:rsidP="00792A62" w14:paraId="6C801D3B" w14:textId="7D056442">
            <w:pPr>
              <w:pStyle w:val="ParaNum"/>
              <w:numPr>
                <w:ilvl w:val="0"/>
                <w:numId w:val="0"/>
              </w:numPr>
            </w:pPr>
            <w:r>
              <w:t>Comcast—wireless</w:t>
            </w:r>
          </w:p>
        </w:tc>
        <w:tc>
          <w:tcPr>
            <w:tcW w:w="2271" w:type="dxa"/>
            <w:shd w:val="clear" w:color="auto" w:fill="auto"/>
          </w:tcPr>
          <w:p w:rsidR="00792A62" w:rsidP="00792A62" w14:paraId="09EE42AB" w14:textId="52E42479">
            <w:pPr>
              <w:pStyle w:val="ParaNum"/>
              <w:numPr>
                <w:ilvl w:val="0"/>
                <w:numId w:val="0"/>
              </w:numPr>
            </w:pPr>
            <w:r>
              <w:t>Customers can download Hiya app to block calls.</w:t>
            </w:r>
          </w:p>
        </w:tc>
        <w:tc>
          <w:tcPr>
            <w:tcW w:w="2142" w:type="dxa"/>
            <w:shd w:val="clear" w:color="auto" w:fill="auto"/>
          </w:tcPr>
          <w:p w:rsidR="00792A62" w:rsidP="00792A62" w14:paraId="148052B2" w14:textId="77777777">
            <w:pPr>
              <w:pStyle w:val="ParaNum"/>
              <w:numPr>
                <w:ilvl w:val="0"/>
                <w:numId w:val="0"/>
              </w:numPr>
            </w:pPr>
          </w:p>
        </w:tc>
        <w:tc>
          <w:tcPr>
            <w:tcW w:w="2240" w:type="dxa"/>
            <w:shd w:val="clear" w:color="auto" w:fill="auto"/>
          </w:tcPr>
          <w:p w:rsidR="00792A62" w:rsidP="00792A62" w14:paraId="19F12F76" w14:textId="77777777">
            <w:pPr>
              <w:pStyle w:val="ParaNum"/>
              <w:numPr>
                <w:ilvl w:val="0"/>
                <w:numId w:val="0"/>
              </w:numPr>
            </w:pPr>
          </w:p>
        </w:tc>
      </w:tr>
      <w:tr w14:paraId="32A59430" w14:textId="77777777" w:rsidTr="000434F8">
        <w:tblPrEx>
          <w:tblW w:w="0" w:type="auto"/>
          <w:tblInd w:w="720" w:type="dxa"/>
          <w:tblLook w:val="04A0"/>
        </w:tblPrEx>
        <w:tc>
          <w:tcPr>
            <w:tcW w:w="2203" w:type="dxa"/>
            <w:shd w:val="clear" w:color="auto" w:fill="auto"/>
          </w:tcPr>
          <w:p w:rsidR="00792A62" w:rsidP="000434F8" w14:paraId="62DF970E" w14:textId="77777777">
            <w:pPr>
              <w:pStyle w:val="ParaNum"/>
              <w:numPr>
                <w:ilvl w:val="0"/>
                <w:numId w:val="0"/>
              </w:numPr>
            </w:pPr>
            <w:r>
              <w:t>Cox—wireline</w:t>
            </w:r>
          </w:p>
        </w:tc>
        <w:tc>
          <w:tcPr>
            <w:tcW w:w="2271" w:type="dxa"/>
            <w:shd w:val="clear" w:color="auto" w:fill="auto"/>
          </w:tcPr>
          <w:p w:rsidR="00792A62" w:rsidP="000434F8" w14:paraId="36B2E8D3" w14:textId="3544F508">
            <w:pPr>
              <w:pStyle w:val="ParaNum"/>
              <w:numPr>
                <w:ilvl w:val="0"/>
                <w:numId w:val="0"/>
              </w:numPr>
            </w:pPr>
            <w:r>
              <w:t>Edge</w:t>
            </w:r>
            <w:r>
              <w:t xml:space="preserve"> Blocking, free</w:t>
            </w:r>
          </w:p>
          <w:p w:rsidR="00792A62" w:rsidP="000434F8" w14:paraId="089AC058" w14:textId="77777777">
            <w:pPr>
              <w:pStyle w:val="ParaNum"/>
              <w:numPr>
                <w:ilvl w:val="0"/>
                <w:numId w:val="0"/>
              </w:numPr>
            </w:pPr>
            <w:r>
              <w:t>Anonymous Call Rejection, Selective Call Rejection, free</w:t>
            </w:r>
          </w:p>
          <w:p w:rsidR="00792A62" w:rsidP="000434F8" w14:paraId="33D1B3B4" w14:textId="77777777">
            <w:pPr>
              <w:pStyle w:val="ParaNum"/>
              <w:numPr>
                <w:ilvl w:val="0"/>
                <w:numId w:val="0"/>
              </w:numPr>
            </w:pPr>
            <w:r>
              <w:t>Customers can sign up for Nomorobo blocking service, free.</w:t>
            </w:r>
          </w:p>
        </w:tc>
        <w:tc>
          <w:tcPr>
            <w:tcW w:w="2142" w:type="dxa"/>
            <w:shd w:val="clear" w:color="auto" w:fill="auto"/>
          </w:tcPr>
          <w:p w:rsidR="00792A62" w:rsidP="000434F8" w14:paraId="0EE7E207" w14:textId="694154E9">
            <w:pPr>
              <w:pStyle w:val="ParaNum"/>
              <w:numPr>
                <w:ilvl w:val="0"/>
                <w:numId w:val="0"/>
              </w:numPr>
            </w:pPr>
            <w:r>
              <w:t>14.6</w:t>
            </w:r>
            <w:r w:rsidR="00597245">
              <w:t xml:space="preserve">% </w:t>
            </w:r>
            <w:r>
              <w:t>of calls are blocked through one of these tools; Edge blocking is 65% of the blocked calls and Anonymous call rejection is 29%t.</w:t>
            </w:r>
          </w:p>
        </w:tc>
        <w:tc>
          <w:tcPr>
            <w:tcW w:w="2240" w:type="dxa"/>
            <w:shd w:val="clear" w:color="auto" w:fill="auto"/>
          </w:tcPr>
          <w:p w:rsidR="00792A62" w:rsidP="000434F8" w14:paraId="70D6CDA7" w14:textId="77777777">
            <w:pPr>
              <w:pStyle w:val="ParaNum"/>
              <w:numPr>
                <w:ilvl w:val="0"/>
                <w:numId w:val="0"/>
              </w:numPr>
            </w:pPr>
            <w:r>
              <w:t>Opt</w:t>
            </w:r>
            <w:r>
              <w:t xml:space="preserve"> out network blocking</w:t>
            </w:r>
          </w:p>
          <w:p w:rsidR="00792A62" w:rsidP="000434F8" w14:paraId="7B9C78D3" w14:textId="77777777">
            <w:pPr>
              <w:pStyle w:val="ParaNum"/>
              <w:numPr>
                <w:ilvl w:val="0"/>
                <w:numId w:val="0"/>
              </w:numPr>
            </w:pPr>
          </w:p>
          <w:p w:rsidR="00792A62" w:rsidP="000434F8" w14:paraId="3CD42BEA" w14:textId="77777777">
            <w:pPr>
              <w:pStyle w:val="ParaNum"/>
              <w:numPr>
                <w:ilvl w:val="0"/>
                <w:numId w:val="0"/>
              </w:numPr>
            </w:pPr>
            <w:r>
              <w:t>Opt</w:t>
            </w:r>
            <w:r>
              <w:t xml:space="preserve"> in</w:t>
            </w:r>
          </w:p>
        </w:tc>
      </w:tr>
      <w:tr w14:paraId="64FA4515" w14:textId="77777777" w:rsidTr="00BE3D57">
        <w:tblPrEx>
          <w:tblW w:w="0" w:type="auto"/>
          <w:tblInd w:w="720" w:type="dxa"/>
          <w:tblLook w:val="04A0"/>
        </w:tblPrEx>
        <w:tc>
          <w:tcPr>
            <w:tcW w:w="2203" w:type="dxa"/>
            <w:shd w:val="clear" w:color="auto" w:fill="auto"/>
          </w:tcPr>
          <w:p w:rsidR="00182643" w:rsidP="00182643" w14:paraId="301DE312" w14:textId="41BEE872">
            <w:pPr>
              <w:pStyle w:val="ParaNum"/>
              <w:numPr>
                <w:ilvl w:val="0"/>
                <w:numId w:val="0"/>
              </w:numPr>
            </w:pPr>
            <w:r>
              <w:t>Frontier—wireline</w:t>
            </w:r>
          </w:p>
        </w:tc>
        <w:tc>
          <w:tcPr>
            <w:tcW w:w="2271" w:type="dxa"/>
            <w:shd w:val="clear" w:color="auto" w:fill="auto"/>
          </w:tcPr>
          <w:p w:rsidR="00182643" w:rsidP="00182643" w14:paraId="53E8383A" w14:textId="3E2F86C8">
            <w:pPr>
              <w:pStyle w:val="ParaNum"/>
              <w:numPr>
                <w:ilvl w:val="0"/>
                <w:numId w:val="0"/>
              </w:numPr>
            </w:pPr>
            <w:r>
              <w:t>Network-</w:t>
            </w:r>
            <w:r>
              <w:t>level blocking</w:t>
            </w:r>
          </w:p>
          <w:p w:rsidR="00182643" w:rsidP="00182643" w14:paraId="0EC1E89B" w14:textId="77777777">
            <w:pPr>
              <w:pStyle w:val="ParaNum"/>
              <w:numPr>
                <w:ilvl w:val="0"/>
                <w:numId w:val="0"/>
              </w:numPr>
            </w:pPr>
            <w:r>
              <w:t>Anonymous Call Rejection, Selective Call Rejection, Selective Call Acceptance, free</w:t>
            </w:r>
          </w:p>
          <w:p w:rsidR="00182643" w:rsidP="00182643" w14:paraId="40054C7D" w14:textId="77777777">
            <w:pPr>
              <w:pStyle w:val="ParaNum"/>
              <w:numPr>
                <w:ilvl w:val="0"/>
                <w:numId w:val="0"/>
              </w:numPr>
            </w:pPr>
            <w:r>
              <w:t>Advanced Caller ID</w:t>
            </w:r>
          </w:p>
          <w:p w:rsidR="00182643" w:rsidP="00182643" w14:paraId="059CE603" w14:textId="26542A82">
            <w:pPr>
              <w:pStyle w:val="ParaNum"/>
              <w:numPr>
                <w:ilvl w:val="0"/>
                <w:numId w:val="0"/>
              </w:numPr>
            </w:pPr>
            <w:r>
              <w:t>VoIP customers can sign up for free Nomorobo</w:t>
            </w:r>
          </w:p>
        </w:tc>
        <w:tc>
          <w:tcPr>
            <w:tcW w:w="2142" w:type="dxa"/>
            <w:shd w:val="clear" w:color="auto" w:fill="auto"/>
          </w:tcPr>
          <w:p w:rsidR="00182643" w:rsidP="00182643" w14:paraId="6F30A49A" w14:textId="77777777">
            <w:pPr>
              <w:pStyle w:val="ParaNum"/>
              <w:numPr>
                <w:ilvl w:val="0"/>
                <w:numId w:val="0"/>
              </w:numPr>
            </w:pPr>
          </w:p>
        </w:tc>
        <w:tc>
          <w:tcPr>
            <w:tcW w:w="2240" w:type="dxa"/>
            <w:shd w:val="clear" w:color="auto" w:fill="auto"/>
          </w:tcPr>
          <w:p w:rsidR="00182643" w:rsidP="00182643" w14:paraId="05EF8191" w14:textId="77777777">
            <w:pPr>
              <w:pStyle w:val="ParaNum"/>
              <w:numPr>
                <w:ilvl w:val="0"/>
                <w:numId w:val="0"/>
              </w:numPr>
            </w:pPr>
            <w:r>
              <w:t>Default</w:t>
            </w:r>
          </w:p>
          <w:p w:rsidR="00182643" w:rsidP="00182643" w14:paraId="504A3DF7" w14:textId="77777777">
            <w:pPr>
              <w:pStyle w:val="ParaNum"/>
              <w:numPr>
                <w:ilvl w:val="0"/>
                <w:numId w:val="0"/>
              </w:numPr>
            </w:pPr>
          </w:p>
          <w:p w:rsidR="00182643" w:rsidP="00182643" w14:paraId="4B37FF9A" w14:textId="77777777">
            <w:pPr>
              <w:pStyle w:val="ParaNum"/>
              <w:numPr>
                <w:ilvl w:val="0"/>
                <w:numId w:val="0"/>
              </w:numPr>
            </w:pPr>
            <w:r>
              <w:t>Opt</w:t>
            </w:r>
            <w:r>
              <w:t xml:space="preserve"> in</w:t>
            </w:r>
          </w:p>
          <w:p w:rsidR="00182643" w:rsidP="00182643" w14:paraId="3E558CBD" w14:textId="77777777">
            <w:pPr>
              <w:pStyle w:val="ParaNum"/>
              <w:numPr>
                <w:ilvl w:val="0"/>
                <w:numId w:val="0"/>
              </w:numPr>
            </w:pPr>
          </w:p>
          <w:p w:rsidR="00182643" w:rsidP="00182643" w14:paraId="730507AC" w14:textId="77777777">
            <w:pPr>
              <w:pStyle w:val="ParaNum"/>
              <w:numPr>
                <w:ilvl w:val="0"/>
                <w:numId w:val="0"/>
              </w:numPr>
            </w:pPr>
          </w:p>
          <w:p w:rsidR="00182643" w:rsidP="00182643" w14:paraId="23044999" w14:textId="77777777">
            <w:pPr>
              <w:pStyle w:val="ParaNum"/>
              <w:numPr>
                <w:ilvl w:val="0"/>
                <w:numId w:val="0"/>
              </w:numPr>
            </w:pPr>
            <w:r>
              <w:t>Opt</w:t>
            </w:r>
            <w:r>
              <w:t xml:space="preserve"> in</w:t>
            </w:r>
          </w:p>
          <w:p w:rsidR="00182643" w:rsidP="00182643" w14:paraId="3827ABE5" w14:textId="76882CA6">
            <w:pPr>
              <w:pStyle w:val="ParaNum"/>
              <w:numPr>
                <w:ilvl w:val="0"/>
                <w:numId w:val="0"/>
              </w:numPr>
            </w:pPr>
            <w:r>
              <w:t>Opt</w:t>
            </w:r>
            <w:r>
              <w:t xml:space="preserve"> in</w:t>
            </w:r>
          </w:p>
        </w:tc>
      </w:tr>
      <w:tr w14:paraId="6AAEC316" w14:textId="77777777" w:rsidTr="00BE3D57">
        <w:tblPrEx>
          <w:tblW w:w="0" w:type="auto"/>
          <w:tblInd w:w="720" w:type="dxa"/>
          <w:tblLook w:val="04A0"/>
        </w:tblPrEx>
        <w:tc>
          <w:tcPr>
            <w:tcW w:w="2203" w:type="dxa"/>
            <w:shd w:val="clear" w:color="auto" w:fill="auto"/>
          </w:tcPr>
          <w:p w:rsidR="00182643" w:rsidP="00182643" w14:paraId="21FAF81F" w14:textId="5A5052A5">
            <w:pPr>
              <w:pStyle w:val="ParaNum"/>
              <w:numPr>
                <w:ilvl w:val="0"/>
                <w:numId w:val="0"/>
              </w:numPr>
            </w:pPr>
            <w:r>
              <w:t>Sprint—wireless</w:t>
            </w:r>
          </w:p>
        </w:tc>
        <w:tc>
          <w:tcPr>
            <w:tcW w:w="2271" w:type="dxa"/>
            <w:shd w:val="clear" w:color="auto" w:fill="auto"/>
          </w:tcPr>
          <w:p w:rsidR="00182643" w:rsidP="00182643" w14:paraId="567F651F" w14:textId="37B97E14">
            <w:pPr>
              <w:pStyle w:val="ParaNum"/>
              <w:numPr>
                <w:ilvl w:val="0"/>
                <w:numId w:val="0"/>
              </w:numPr>
            </w:pPr>
            <w:r>
              <w:t>Network-</w:t>
            </w:r>
            <w:r>
              <w:t>level blocking</w:t>
            </w:r>
          </w:p>
          <w:p w:rsidR="00182643" w:rsidP="00182643" w14:paraId="705746A7" w14:textId="77777777">
            <w:pPr>
              <w:pStyle w:val="ParaNum"/>
              <w:numPr>
                <w:ilvl w:val="0"/>
                <w:numId w:val="0"/>
              </w:numPr>
            </w:pPr>
            <w:r>
              <w:t>Call Screener, free</w:t>
            </w:r>
          </w:p>
          <w:p w:rsidR="00182643" w:rsidP="00182643" w14:paraId="5F3E6030" w14:textId="77777777">
            <w:pPr>
              <w:pStyle w:val="ParaNum"/>
              <w:numPr>
                <w:ilvl w:val="0"/>
                <w:numId w:val="0"/>
              </w:numPr>
            </w:pPr>
            <w:r>
              <w:t>Call Screener Plus</w:t>
            </w:r>
          </w:p>
          <w:p w:rsidR="00182643" w:rsidP="00182643" w14:paraId="340D80EC" w14:textId="76FD0473">
            <w:pPr>
              <w:pStyle w:val="ParaNum"/>
              <w:numPr>
                <w:ilvl w:val="0"/>
                <w:numId w:val="0"/>
              </w:numPr>
            </w:pPr>
            <w:r>
              <w:t>Block Calls, through “My Sprint” account</w:t>
            </w:r>
          </w:p>
        </w:tc>
        <w:tc>
          <w:tcPr>
            <w:tcW w:w="2142" w:type="dxa"/>
            <w:shd w:val="clear" w:color="auto" w:fill="auto"/>
          </w:tcPr>
          <w:p w:rsidR="00182643" w:rsidP="00182643" w14:paraId="0517B867" w14:textId="77777777">
            <w:pPr>
              <w:pStyle w:val="ParaNum"/>
              <w:numPr>
                <w:ilvl w:val="0"/>
                <w:numId w:val="0"/>
              </w:numPr>
            </w:pPr>
          </w:p>
        </w:tc>
        <w:tc>
          <w:tcPr>
            <w:tcW w:w="2240" w:type="dxa"/>
            <w:shd w:val="clear" w:color="auto" w:fill="auto"/>
          </w:tcPr>
          <w:p w:rsidR="00182643" w:rsidP="00182643" w14:paraId="63A0A902" w14:textId="77777777">
            <w:pPr>
              <w:pStyle w:val="ParaNum"/>
              <w:numPr>
                <w:ilvl w:val="0"/>
                <w:numId w:val="0"/>
              </w:numPr>
            </w:pPr>
            <w:r>
              <w:t>Default</w:t>
            </w:r>
          </w:p>
          <w:p w:rsidR="00182643" w:rsidP="00182643" w14:paraId="2580AE09" w14:textId="62268D32">
            <w:pPr>
              <w:pStyle w:val="ParaNum"/>
              <w:numPr>
                <w:ilvl w:val="0"/>
                <w:numId w:val="0"/>
              </w:numPr>
            </w:pPr>
            <w:r>
              <w:t xml:space="preserve">Call Screener is </w:t>
            </w:r>
            <w:r>
              <w:t>opt</w:t>
            </w:r>
            <w:r>
              <w:t xml:space="preserve"> out for Android, opt in for iOS</w:t>
            </w:r>
          </w:p>
          <w:p w:rsidR="00182643" w:rsidP="00182643" w14:paraId="54A14FDB" w14:textId="77777777">
            <w:pPr>
              <w:pStyle w:val="ParaNum"/>
              <w:numPr>
                <w:ilvl w:val="0"/>
                <w:numId w:val="0"/>
              </w:numPr>
            </w:pPr>
            <w:r>
              <w:t>Opt</w:t>
            </w:r>
            <w:r>
              <w:t xml:space="preserve"> in</w:t>
            </w:r>
          </w:p>
          <w:p w:rsidR="00182643" w:rsidP="00182643" w14:paraId="7A09F2A6" w14:textId="4B81746D">
            <w:pPr>
              <w:pStyle w:val="ParaNum"/>
              <w:numPr>
                <w:ilvl w:val="0"/>
                <w:numId w:val="0"/>
              </w:numPr>
            </w:pPr>
            <w:r>
              <w:t>Opt</w:t>
            </w:r>
            <w:r>
              <w:t xml:space="preserve"> in</w:t>
            </w:r>
          </w:p>
        </w:tc>
      </w:tr>
      <w:tr w14:paraId="09EB3A25" w14:textId="77777777" w:rsidTr="00BE3D57">
        <w:tblPrEx>
          <w:tblW w:w="0" w:type="auto"/>
          <w:tblInd w:w="720" w:type="dxa"/>
          <w:tblLook w:val="04A0"/>
        </w:tblPrEx>
        <w:tc>
          <w:tcPr>
            <w:tcW w:w="2203" w:type="dxa"/>
            <w:shd w:val="clear" w:color="auto" w:fill="auto"/>
          </w:tcPr>
          <w:p w:rsidR="00182643" w:rsidP="00182643" w14:paraId="7A3817ED" w14:textId="0DED9740">
            <w:pPr>
              <w:pStyle w:val="ParaNum"/>
              <w:numPr>
                <w:ilvl w:val="0"/>
                <w:numId w:val="0"/>
              </w:numPr>
            </w:pPr>
            <w:r>
              <w:t>T-Mobile—wireless</w:t>
            </w:r>
          </w:p>
        </w:tc>
        <w:tc>
          <w:tcPr>
            <w:tcW w:w="2271" w:type="dxa"/>
            <w:shd w:val="clear" w:color="auto" w:fill="auto"/>
          </w:tcPr>
          <w:p w:rsidR="00182643" w:rsidP="00182643" w14:paraId="6ED01C48" w14:textId="77777777">
            <w:pPr>
              <w:pStyle w:val="ParaNum"/>
              <w:numPr>
                <w:ilvl w:val="0"/>
                <w:numId w:val="0"/>
              </w:numPr>
            </w:pPr>
            <w:r>
              <w:t>Scam ID, free</w:t>
            </w:r>
          </w:p>
          <w:p w:rsidR="00182643" w:rsidP="00182643" w14:paraId="40D9F28A" w14:textId="77777777">
            <w:pPr>
              <w:pStyle w:val="ParaNum"/>
              <w:numPr>
                <w:ilvl w:val="0"/>
                <w:numId w:val="0"/>
              </w:numPr>
            </w:pPr>
            <w:r>
              <w:t>Scam Block, free</w:t>
            </w:r>
          </w:p>
          <w:p w:rsidR="00182643" w:rsidP="00182643" w14:paraId="54FACD9E" w14:textId="043A5FB1">
            <w:pPr>
              <w:pStyle w:val="ParaNum"/>
              <w:numPr>
                <w:ilvl w:val="0"/>
                <w:numId w:val="0"/>
              </w:numPr>
            </w:pPr>
            <w:r>
              <w:t>Name ID, free for some plans</w:t>
            </w:r>
          </w:p>
        </w:tc>
        <w:tc>
          <w:tcPr>
            <w:tcW w:w="2142" w:type="dxa"/>
            <w:shd w:val="clear" w:color="auto" w:fill="auto"/>
          </w:tcPr>
          <w:p w:rsidR="00182643" w:rsidP="00182643" w14:paraId="34AEFD3E" w14:textId="4E75CEAF">
            <w:pPr>
              <w:pStyle w:val="ParaNum"/>
              <w:numPr>
                <w:ilvl w:val="0"/>
                <w:numId w:val="0"/>
              </w:numPr>
            </w:pPr>
            <w:r>
              <w:t>Since 2017, identified over 21 billion scam calls and blocked over 5 billion of those calls.</w:t>
            </w:r>
          </w:p>
        </w:tc>
        <w:tc>
          <w:tcPr>
            <w:tcW w:w="2240" w:type="dxa"/>
            <w:shd w:val="clear" w:color="auto" w:fill="auto"/>
          </w:tcPr>
          <w:p w:rsidR="00182643" w:rsidP="00182643" w14:paraId="1886F10F" w14:textId="77777777">
            <w:pPr>
              <w:pStyle w:val="ParaNum"/>
              <w:numPr>
                <w:ilvl w:val="0"/>
                <w:numId w:val="0"/>
              </w:numPr>
            </w:pPr>
            <w:r>
              <w:t xml:space="preserve">Scam ID is </w:t>
            </w:r>
            <w:r>
              <w:t>opt</w:t>
            </w:r>
            <w:r>
              <w:t xml:space="preserve"> out for post-paid customers</w:t>
            </w:r>
          </w:p>
          <w:p w:rsidR="00182643" w:rsidP="00182643" w14:paraId="0BDA8BFE" w14:textId="77777777">
            <w:pPr>
              <w:pStyle w:val="ParaNum"/>
              <w:numPr>
                <w:ilvl w:val="0"/>
                <w:numId w:val="0"/>
              </w:numPr>
            </w:pPr>
            <w:r>
              <w:t xml:space="preserve">Scam Block is </w:t>
            </w:r>
            <w:r>
              <w:t>opt</w:t>
            </w:r>
            <w:r>
              <w:t xml:space="preserve"> in</w:t>
            </w:r>
          </w:p>
          <w:p w:rsidR="00182643" w:rsidP="00182643" w14:paraId="3835FB01" w14:textId="77777777">
            <w:pPr>
              <w:pStyle w:val="ParaNum"/>
              <w:numPr>
                <w:ilvl w:val="0"/>
                <w:numId w:val="0"/>
              </w:numPr>
            </w:pPr>
          </w:p>
        </w:tc>
      </w:tr>
      <w:tr w14:paraId="2D9757A2" w14:textId="77777777" w:rsidTr="00BE3D57">
        <w:tblPrEx>
          <w:tblW w:w="0" w:type="auto"/>
          <w:tblInd w:w="720" w:type="dxa"/>
          <w:tblLook w:val="04A0"/>
        </w:tblPrEx>
        <w:tc>
          <w:tcPr>
            <w:tcW w:w="2203" w:type="dxa"/>
            <w:shd w:val="clear" w:color="auto" w:fill="auto"/>
          </w:tcPr>
          <w:p w:rsidR="00182643" w:rsidP="00182643" w14:paraId="3F128092" w14:textId="77777777">
            <w:pPr>
              <w:pStyle w:val="ParaNum"/>
              <w:numPr>
                <w:ilvl w:val="0"/>
                <w:numId w:val="0"/>
              </w:numPr>
            </w:pPr>
            <w:r>
              <w:t>Verizon—wireless</w:t>
            </w:r>
          </w:p>
        </w:tc>
        <w:tc>
          <w:tcPr>
            <w:tcW w:w="2271" w:type="dxa"/>
            <w:shd w:val="clear" w:color="auto" w:fill="auto"/>
          </w:tcPr>
          <w:p w:rsidR="00182643" w:rsidP="00182643" w14:paraId="43DB3735" w14:textId="32068C35">
            <w:pPr>
              <w:pStyle w:val="ParaNum"/>
              <w:numPr>
                <w:ilvl w:val="0"/>
                <w:numId w:val="0"/>
              </w:numPr>
            </w:pPr>
            <w:r>
              <w:t>Network-</w:t>
            </w:r>
            <w:r>
              <w:t>level blocking</w:t>
            </w:r>
          </w:p>
          <w:p w:rsidR="00182643" w:rsidP="00182643" w14:paraId="4BE1C1BF" w14:textId="77777777">
            <w:pPr>
              <w:pStyle w:val="ParaNum"/>
              <w:numPr>
                <w:ilvl w:val="0"/>
                <w:numId w:val="0"/>
              </w:numPr>
            </w:pPr>
            <w:r>
              <w:t>Call Filter, free</w:t>
            </w:r>
          </w:p>
        </w:tc>
        <w:tc>
          <w:tcPr>
            <w:tcW w:w="2142" w:type="dxa"/>
            <w:shd w:val="clear" w:color="auto" w:fill="auto"/>
          </w:tcPr>
          <w:p w:rsidR="00182643" w:rsidP="00182643" w14:paraId="2ED29FE5" w14:textId="4B44A750">
            <w:pPr>
              <w:pStyle w:val="ParaNum"/>
              <w:numPr>
                <w:ilvl w:val="0"/>
                <w:numId w:val="0"/>
              </w:numPr>
            </w:pPr>
            <w:r>
              <w:t xml:space="preserve">Since 2017, blocked hundreds of millions of calls. </w:t>
            </w:r>
          </w:p>
        </w:tc>
        <w:tc>
          <w:tcPr>
            <w:tcW w:w="2240" w:type="dxa"/>
            <w:shd w:val="clear" w:color="auto" w:fill="auto"/>
          </w:tcPr>
          <w:p w:rsidR="00182643" w:rsidP="00182643" w14:paraId="614CD00F" w14:textId="77777777">
            <w:pPr>
              <w:pStyle w:val="ParaNum"/>
              <w:numPr>
                <w:ilvl w:val="0"/>
                <w:numId w:val="0"/>
              </w:numPr>
            </w:pPr>
            <w:r>
              <w:t>Default</w:t>
            </w:r>
          </w:p>
          <w:p w:rsidR="00182643" w:rsidP="00182643" w14:paraId="5AD6AE4F" w14:textId="77777777">
            <w:pPr>
              <w:pStyle w:val="ParaNum"/>
              <w:numPr>
                <w:ilvl w:val="0"/>
                <w:numId w:val="0"/>
              </w:numPr>
            </w:pPr>
          </w:p>
          <w:p w:rsidR="00182643" w:rsidP="00182643" w14:paraId="3FFED0A6" w14:textId="0ED9C2B1">
            <w:pPr>
              <w:pStyle w:val="ParaNum"/>
              <w:numPr>
                <w:ilvl w:val="0"/>
                <w:numId w:val="0"/>
              </w:numPr>
            </w:pPr>
            <w:r>
              <w:t xml:space="preserve">Call Filter is </w:t>
            </w:r>
            <w:r>
              <w:t>opt</w:t>
            </w:r>
            <w:r>
              <w:t xml:space="preserve"> out</w:t>
            </w:r>
          </w:p>
        </w:tc>
      </w:tr>
      <w:tr w14:paraId="0DC0439A" w14:textId="77777777" w:rsidTr="00BE3D57">
        <w:tblPrEx>
          <w:tblW w:w="0" w:type="auto"/>
          <w:tblInd w:w="720" w:type="dxa"/>
          <w:tblLook w:val="04A0"/>
        </w:tblPrEx>
        <w:tc>
          <w:tcPr>
            <w:tcW w:w="2203" w:type="dxa"/>
            <w:shd w:val="clear" w:color="auto" w:fill="auto"/>
          </w:tcPr>
          <w:p w:rsidR="00182643" w:rsidP="00182643" w14:paraId="2209A7D6" w14:textId="77777777">
            <w:pPr>
              <w:pStyle w:val="ParaNum"/>
              <w:numPr>
                <w:ilvl w:val="0"/>
                <w:numId w:val="0"/>
              </w:numPr>
            </w:pPr>
            <w:r>
              <w:t>Verizon—wireline</w:t>
            </w:r>
          </w:p>
        </w:tc>
        <w:tc>
          <w:tcPr>
            <w:tcW w:w="2271" w:type="dxa"/>
            <w:shd w:val="clear" w:color="auto" w:fill="auto"/>
          </w:tcPr>
          <w:p w:rsidR="00182643" w:rsidP="00182643" w14:paraId="6778893E" w14:textId="149CBF4C">
            <w:pPr>
              <w:pStyle w:val="ParaNum"/>
              <w:numPr>
                <w:ilvl w:val="0"/>
                <w:numId w:val="0"/>
              </w:numPr>
            </w:pPr>
            <w:r>
              <w:t>Network-</w:t>
            </w:r>
            <w:r>
              <w:t>level blocking</w:t>
            </w:r>
          </w:p>
          <w:p w:rsidR="00182643" w:rsidP="00182643" w14:paraId="1635FAD3" w14:textId="77777777">
            <w:pPr>
              <w:pStyle w:val="ParaNum"/>
              <w:numPr>
                <w:ilvl w:val="0"/>
                <w:numId w:val="0"/>
              </w:numPr>
            </w:pPr>
            <w:r>
              <w:t>Spam Alert, free</w:t>
            </w:r>
          </w:p>
          <w:p w:rsidR="00182643" w:rsidP="00182643" w14:paraId="2FE42853" w14:textId="77777777">
            <w:pPr>
              <w:pStyle w:val="ParaNum"/>
              <w:numPr>
                <w:ilvl w:val="0"/>
                <w:numId w:val="0"/>
              </w:numPr>
            </w:pPr>
            <w:r>
              <w:t>VoIP customers can sign up for Nomorobo blocking service, free</w:t>
            </w:r>
          </w:p>
        </w:tc>
        <w:tc>
          <w:tcPr>
            <w:tcW w:w="2142" w:type="dxa"/>
            <w:shd w:val="clear" w:color="auto" w:fill="auto"/>
          </w:tcPr>
          <w:p w:rsidR="00182643" w:rsidP="00182643" w14:paraId="5EEBD06B" w14:textId="77777777">
            <w:pPr>
              <w:pStyle w:val="ParaNum"/>
              <w:numPr>
                <w:ilvl w:val="0"/>
                <w:numId w:val="0"/>
              </w:numPr>
            </w:pPr>
            <w:r>
              <w:t xml:space="preserve">Since 2017, blocked hundreds of millions of calls </w:t>
            </w:r>
          </w:p>
        </w:tc>
        <w:tc>
          <w:tcPr>
            <w:tcW w:w="2240" w:type="dxa"/>
            <w:shd w:val="clear" w:color="auto" w:fill="auto"/>
          </w:tcPr>
          <w:p w:rsidR="00182643" w:rsidP="00182643" w14:paraId="17A771AA" w14:textId="3365DCDD">
            <w:pPr>
              <w:pStyle w:val="ParaNum"/>
              <w:numPr>
                <w:ilvl w:val="0"/>
                <w:numId w:val="0"/>
              </w:numPr>
            </w:pPr>
            <w:r>
              <w:t>Default</w:t>
            </w:r>
          </w:p>
        </w:tc>
      </w:tr>
    </w:tbl>
    <w:p w:rsidR="005172EC" w:rsidRPr="005172EC" w14:paraId="3987CAF0" w14:textId="14540013">
      <w:pPr>
        <w:pStyle w:val="ParaNum"/>
        <w:numPr>
          <w:ilvl w:val="0"/>
          <w:numId w:val="0"/>
        </w:numPr>
      </w:pPr>
    </w:p>
    <w:sectPr w:rsidSect="0055614C">
      <w:headerReference w:type="default" r:id="rId19"/>
      <w:footerReference w:type="even" r:id="rId20"/>
      <w:footerReference w:type="default" r:id="rId21"/>
      <w:headerReference w:type="first" r:id="rId22"/>
      <w:footerReference w:type="first" r:id="rId23"/>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TimesNewRomanPSMT">
    <w:altName w:val="Yu Gothic"/>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2A7B" w:rsidP="0055614C" w14:paraId="71F4AD8C" w14:textId="77777777">
    <w:pPr>
      <w:pStyle w:val="Footer"/>
      <w:framePr w:wrap="around" w:vAnchor="text" w:hAnchor="margin" w:xAlign="center" w:y="1"/>
    </w:pPr>
    <w:r>
      <w:fldChar w:fldCharType="begin"/>
    </w:r>
    <w:r>
      <w:instrText xml:space="preserve">PAGE  </w:instrText>
    </w:r>
    <w:r>
      <w:fldChar w:fldCharType="separate"/>
    </w:r>
    <w:r>
      <w:fldChar w:fldCharType="end"/>
    </w:r>
  </w:p>
  <w:p w:rsidR="007B2A7B" w14:paraId="52B2CAB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2A7B" w14:paraId="7A60E8D7" w14:textId="77777777">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rsidR="007B2A7B" w:rsidP="008E0FE6" w14:paraId="6BB5571D" w14:textId="1D96FEB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2A7B" w14:paraId="25F65912" w14:textId="769CF50B">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24DCA" w14:paraId="73B46541" w14:textId="77777777">
      <w:r>
        <w:separator/>
      </w:r>
    </w:p>
  </w:footnote>
  <w:footnote w:type="continuationSeparator" w:id="1">
    <w:p w:rsidR="00024DCA" w:rsidP="00C721AC" w14:paraId="31F69906" w14:textId="77777777">
      <w:pPr>
        <w:spacing w:before="120"/>
        <w:rPr>
          <w:sz w:val="20"/>
        </w:rPr>
      </w:pPr>
      <w:r>
        <w:rPr>
          <w:sz w:val="20"/>
        </w:rPr>
        <w:t xml:space="preserve">(Continued from previous page)  </w:t>
      </w:r>
      <w:r>
        <w:rPr>
          <w:sz w:val="20"/>
        </w:rPr>
        <w:separator/>
      </w:r>
    </w:p>
  </w:footnote>
  <w:footnote w:type="continuationNotice" w:id="2">
    <w:p w:rsidR="00024DCA" w:rsidP="00C721AC" w14:paraId="6AA68C68" w14:textId="77777777">
      <w:pPr>
        <w:jc w:val="right"/>
        <w:rPr>
          <w:sz w:val="20"/>
        </w:rPr>
      </w:pPr>
      <w:r>
        <w:rPr>
          <w:sz w:val="20"/>
        </w:rPr>
        <w:t>(continued….)</w:t>
      </w:r>
    </w:p>
  </w:footnote>
  <w:footnote w:id="3">
    <w:p w:rsidR="007B2A7B" w:rsidP="00F96EA1" w14:paraId="6A837754" w14:textId="4E20AEDF">
      <w:pPr>
        <w:pStyle w:val="FootnoteText"/>
      </w:pPr>
      <w:r>
        <w:rPr>
          <w:rStyle w:val="FootnoteReference"/>
        </w:rPr>
        <w:footnoteRef/>
      </w:r>
      <w:r>
        <w:t xml:space="preserve"> Robocalls are calls made with an autodialer or that contain a message made with a prerecorded or artificial voice.  </w:t>
      </w:r>
      <w:r w:rsidRPr="0002396B">
        <w:rPr>
          <w:i/>
          <w:iCs/>
        </w:rPr>
        <w:t>See</w:t>
      </w:r>
      <w:r>
        <w:t xml:space="preserve"> FCC, </w:t>
      </w:r>
      <w:r w:rsidRPr="0015341A">
        <w:rPr>
          <w:i/>
          <w:iCs/>
        </w:rPr>
        <w:t>Stop Unwanted Robocalls and Texts</w:t>
      </w:r>
      <w:r>
        <w:t xml:space="preserve">, </w:t>
      </w:r>
      <w:r w:rsidRPr="00591925">
        <w:t>https://www.fcc.gov/consumers/guides/stop-unwanted-robocalls-and-texts</w:t>
      </w:r>
      <w:r>
        <w:t xml:space="preserve"> (last visited May 18, 2020).  Helpful robocalls include those from schools notifying parents of school closings or from pharmacies notifying customers that their prescriptions are ready.</w:t>
      </w:r>
    </w:p>
  </w:footnote>
  <w:footnote w:id="4">
    <w:p w:rsidR="007B2A7B" w:rsidP="00F96EA1" w14:paraId="5085BD30" w14:textId="1297B049">
      <w:pPr>
        <w:pStyle w:val="FootnoteText"/>
      </w:pPr>
      <w:r>
        <w:rPr>
          <w:rStyle w:val="FootnoteReference"/>
        </w:rPr>
        <w:footnoteRef/>
      </w:r>
      <w:r>
        <w:t xml:space="preserve"> Scammers often use spoofing, i.e., altering the caller ID information that appears on the called party’s phone display, to maliciously impersonate businesses or governmental agencies.  However, there are legitimate reasons for displaying a different number than the number from which a call is made.  For example, businesses may </w:t>
      </w:r>
      <w:r>
        <w:t>prefer to have</w:t>
      </w:r>
      <w:r>
        <w:t xml:space="preserve"> their name and main office number on caller ID instead of an employee’s name and individual line.</w:t>
      </w:r>
    </w:p>
  </w:footnote>
  <w:footnote w:id="5">
    <w:p w:rsidR="007B2A7B" w:rsidP="009671AE" w14:paraId="3A24A8B0" w14:textId="32615214">
      <w:pPr>
        <w:pStyle w:val="FootnoteText"/>
      </w:pPr>
      <w:r>
        <w:rPr>
          <w:rStyle w:val="FootnoteReference"/>
        </w:rPr>
        <w:footnoteRef/>
      </w:r>
      <w:r>
        <w:t xml:space="preserve"> </w:t>
      </w:r>
      <w:r w:rsidRPr="00D66B5E">
        <w:rPr>
          <w:i/>
          <w:iCs/>
        </w:rPr>
        <w:t>See</w:t>
      </w:r>
      <w:r>
        <w:t xml:space="preserve"> </w:t>
      </w:r>
      <w:r w:rsidRPr="00174881">
        <w:rPr>
          <w:rFonts w:ascii="TimesNewRoman,Italic" w:eastAsia="Calibri" w:hAnsi="TimesNewRoman,Italic" w:cs="TimesNewRoman,Italic"/>
          <w:i/>
          <w:iCs/>
        </w:rPr>
        <w:t>Advanced Methods to Target and Eliminate Unlawful Robocalls</w:t>
      </w:r>
      <w:r w:rsidRPr="00174881">
        <w:rPr>
          <w:rFonts w:eastAsia="Calibri"/>
        </w:rPr>
        <w:t xml:space="preserve">, </w:t>
      </w:r>
      <w:r>
        <w:rPr>
          <w:rFonts w:eastAsia="Calibri"/>
        </w:rPr>
        <w:t xml:space="preserve">CG Docket No. 17-59, WC Docket No. 17-97, Report and Order and Further </w:t>
      </w:r>
      <w:r w:rsidRPr="00174881">
        <w:rPr>
          <w:rFonts w:eastAsia="Calibri"/>
        </w:rPr>
        <w:t>Notice of Proposed Rulemakin</w:t>
      </w:r>
      <w:r>
        <w:rPr>
          <w:rFonts w:eastAsia="Calibri"/>
        </w:rPr>
        <w:t>g, 32 FCC Rcd 9706 (2017) (</w:t>
      </w:r>
      <w:r w:rsidRPr="00D1765C">
        <w:rPr>
          <w:rFonts w:eastAsia="Calibri"/>
          <w:i/>
          <w:iCs/>
        </w:rPr>
        <w:t>2017</w:t>
      </w:r>
      <w:r>
        <w:rPr>
          <w:rFonts w:eastAsia="Calibri"/>
        </w:rPr>
        <w:t xml:space="preserve"> </w:t>
      </w:r>
      <w:r w:rsidRPr="00A0041A">
        <w:rPr>
          <w:rFonts w:eastAsia="Calibri"/>
          <w:i/>
        </w:rPr>
        <w:t>Call Blocking Report and Order</w:t>
      </w:r>
      <w:r>
        <w:rPr>
          <w:rFonts w:eastAsia="Calibri"/>
        </w:rPr>
        <w:t xml:space="preserve">); </w:t>
      </w:r>
      <w:r w:rsidRPr="00174881">
        <w:rPr>
          <w:rFonts w:ascii="TimesNewRoman,Italic" w:eastAsia="Calibri" w:hAnsi="TimesNewRoman,Italic" w:cs="TimesNewRoman,Italic"/>
          <w:i/>
          <w:iCs/>
        </w:rPr>
        <w:t>Advanced Methods to Target and Eliminate Unlawful Robocalls</w:t>
      </w:r>
      <w:r w:rsidRPr="00174881">
        <w:rPr>
          <w:rFonts w:eastAsia="Calibri"/>
        </w:rPr>
        <w:t xml:space="preserve">, </w:t>
      </w:r>
      <w:r w:rsidRPr="003F20BB">
        <w:rPr>
          <w:rFonts w:eastAsia="Calibri"/>
          <w:i/>
        </w:rPr>
        <w:t>Call Authentication Trust Anchor</w:t>
      </w:r>
      <w:r>
        <w:rPr>
          <w:rFonts w:eastAsia="Calibri"/>
        </w:rPr>
        <w:t>,</w:t>
      </w:r>
      <w:r w:rsidRPr="00314531">
        <w:rPr>
          <w:rFonts w:eastAsia="Calibri"/>
        </w:rPr>
        <w:t xml:space="preserve"> </w:t>
      </w:r>
      <w:r>
        <w:rPr>
          <w:rFonts w:eastAsia="Calibri"/>
        </w:rPr>
        <w:t xml:space="preserve">CG Docket No. 17-59, WC Docket No. 17-97, Declaratory Ruling and Third Further </w:t>
      </w:r>
      <w:r w:rsidRPr="00174881">
        <w:rPr>
          <w:rFonts w:eastAsia="Calibri"/>
        </w:rPr>
        <w:t>Notice of Proposed Rulemakin</w:t>
      </w:r>
      <w:r>
        <w:rPr>
          <w:rFonts w:eastAsia="Calibri"/>
        </w:rPr>
        <w:t>g, 34 FCC Rcd 4876, 4886-88, paras. 33-34 (2019) (</w:t>
      </w:r>
      <w:r w:rsidRPr="00D1765C">
        <w:rPr>
          <w:rFonts w:eastAsia="Calibri"/>
          <w:i/>
          <w:iCs/>
        </w:rPr>
        <w:t>2019</w:t>
      </w:r>
      <w:r>
        <w:rPr>
          <w:rFonts w:eastAsia="Calibri"/>
        </w:rPr>
        <w:t xml:space="preserve"> </w:t>
      </w:r>
      <w:r w:rsidRPr="00C16A5B">
        <w:rPr>
          <w:rFonts w:eastAsia="Calibri"/>
          <w:i/>
        </w:rPr>
        <w:t xml:space="preserve">Call Blocking </w:t>
      </w:r>
      <w:r>
        <w:rPr>
          <w:rFonts w:eastAsia="Calibri"/>
          <w:i/>
        </w:rPr>
        <w:t>Declaratory Ruling</w:t>
      </w:r>
      <w:r>
        <w:rPr>
          <w:rFonts w:eastAsia="Calibri"/>
        </w:rPr>
        <w:t>).</w:t>
      </w:r>
    </w:p>
  </w:footnote>
  <w:footnote w:id="6">
    <w:p w:rsidR="007B2A7B" w:rsidRPr="008440F5" w:rsidP="00E56F26" w14:paraId="74A794B6" w14:textId="4315BAA3">
      <w:pPr>
        <w:pStyle w:val="FootnoteText"/>
        <w:rPr>
          <w:iCs/>
        </w:rPr>
      </w:pPr>
      <w:r>
        <w:rPr>
          <w:rStyle w:val="FootnoteReference"/>
        </w:rPr>
        <w:footnoteRef/>
      </w:r>
      <w:r>
        <w:t xml:space="preserve"> </w:t>
      </w:r>
      <w:r w:rsidRPr="004661F6">
        <w:rPr>
          <w:i/>
          <w:iCs/>
        </w:rPr>
        <w:t>See</w:t>
      </w:r>
      <w:r>
        <w:t xml:space="preserve"> </w:t>
      </w:r>
      <w:r w:rsidRPr="008C3A4E">
        <w:rPr>
          <w:i/>
          <w:iCs/>
        </w:rPr>
        <w:t>Call Authentication Trust Anchor, Implementation of TRACED Act Section 6(a)—Knowledge of Customers by Entities with Access to Numbering Resources</w:t>
      </w:r>
      <w:r>
        <w:t>, WC Docket Nos. 17-97, 20-67, Report and Order and Further Notice of Proposed Rulemaking, 35 FCC Rcd 3241 (2020) (</w:t>
      </w:r>
      <w:r w:rsidRPr="00252D81">
        <w:rPr>
          <w:i/>
          <w:iCs/>
        </w:rPr>
        <w:t>STIR/SHAKEN Order</w:t>
      </w:r>
      <w:r>
        <w:t>)</w:t>
      </w:r>
      <w:r w:rsidRPr="006A2D18">
        <w:rPr>
          <w:rFonts w:eastAsia="Calibri"/>
        </w:rPr>
        <w:t>;</w:t>
      </w:r>
      <w:r>
        <w:rPr>
          <w:rFonts w:eastAsia="Calibri"/>
          <w:i/>
          <w:iCs/>
        </w:rPr>
        <w:t xml:space="preserve"> </w:t>
      </w:r>
      <w:r w:rsidRPr="00D1765C">
        <w:rPr>
          <w:rFonts w:eastAsia="Calibri"/>
          <w:i/>
          <w:iCs/>
        </w:rPr>
        <w:t>2019</w:t>
      </w:r>
      <w:r>
        <w:rPr>
          <w:rFonts w:eastAsia="Calibri"/>
        </w:rPr>
        <w:t xml:space="preserve"> </w:t>
      </w:r>
      <w:r w:rsidRPr="00C16A5B">
        <w:rPr>
          <w:rFonts w:eastAsia="Calibri"/>
          <w:i/>
        </w:rPr>
        <w:t xml:space="preserve">Call Blocking </w:t>
      </w:r>
      <w:r>
        <w:rPr>
          <w:rFonts w:eastAsia="Calibri"/>
          <w:i/>
        </w:rPr>
        <w:t>Declaratory Ruling</w:t>
      </w:r>
      <w:r w:rsidRPr="006A2D18">
        <w:t xml:space="preserve">; </w:t>
      </w:r>
      <w:r w:rsidRPr="003E2EB3">
        <w:rPr>
          <w:i/>
          <w:iCs/>
        </w:rPr>
        <w:t>Advanced Methods to Target and Eliminate Unlawful Robocalls</w:t>
      </w:r>
      <w:r>
        <w:t xml:space="preserve">, </w:t>
      </w:r>
      <w:r>
        <w:rPr>
          <w:rFonts w:eastAsia="Calibri"/>
        </w:rPr>
        <w:t>CG Docket No. 17-59, WC Docket No. 17-97</w:t>
      </w:r>
      <w:r>
        <w:t>, Second Report and Order, 33 FCC Rcd 12024 (2018) (</w:t>
      </w:r>
      <w:r w:rsidRPr="00E63B7D">
        <w:rPr>
          <w:i/>
          <w:iCs/>
        </w:rPr>
        <w:t>Robocall Second Report and Order</w:t>
      </w:r>
      <w:r>
        <w:t xml:space="preserve">); </w:t>
      </w:r>
      <w:r w:rsidRPr="00D1765C">
        <w:rPr>
          <w:rFonts w:eastAsia="Calibri"/>
          <w:i/>
          <w:iCs/>
        </w:rPr>
        <w:t>2017</w:t>
      </w:r>
      <w:r>
        <w:rPr>
          <w:rFonts w:eastAsia="Calibri"/>
        </w:rPr>
        <w:t xml:space="preserve"> </w:t>
      </w:r>
      <w:r w:rsidRPr="00A0041A">
        <w:rPr>
          <w:rFonts w:eastAsia="Calibri"/>
          <w:i/>
        </w:rPr>
        <w:t>Call Blocking Report and Order</w:t>
      </w:r>
      <w:r>
        <w:rPr>
          <w:rFonts w:eastAsia="Calibri"/>
          <w:i/>
        </w:rPr>
        <w:t xml:space="preserve">.  </w:t>
      </w:r>
      <w:r>
        <w:t xml:space="preserve">The Commission has taken action to address the problem of unwanted calls to reassigned numbers.  When a consumer cancels service with a voice service provider, the voice service provider may reassign the number to a new consumer.  If a caller is unaware of the reassignment, it might make calls that are unwanted by the new consumer and missed by the previous consumer, while wasting the time and effort of the caller.  In December 2018, the Commission authorized the creation of a reassigned numbers database to enable callers to verify whether a telephone number has been permanently disconnected, and is therefore eligible for reassignment, before calling that number, thereby helping to protect consumers with reassigned numbers from receiving unwanted calls.  </w:t>
      </w:r>
      <w:r w:rsidRPr="00E63B7D">
        <w:rPr>
          <w:i/>
          <w:iCs/>
        </w:rPr>
        <w:t>See Robocall Second Report and Order</w:t>
      </w:r>
      <w:r>
        <w:t>, 33 FCC Rcd at 12029-35, paras. 11-27.</w:t>
      </w:r>
    </w:p>
  </w:footnote>
  <w:footnote w:id="7">
    <w:p w:rsidR="007B2A7B" w:rsidP="00E56F26" w14:paraId="2C2CDD9C" w14:textId="11AE0776">
      <w:pPr>
        <w:pStyle w:val="FootnoteText"/>
      </w:pPr>
      <w:r>
        <w:rPr>
          <w:rStyle w:val="FootnoteReference"/>
        </w:rPr>
        <w:footnoteRef/>
      </w:r>
      <w:r>
        <w:t xml:space="preserve"> </w:t>
      </w:r>
      <w:r w:rsidRPr="001B6576">
        <w:rPr>
          <w:i/>
          <w:iCs/>
        </w:rPr>
        <w:t xml:space="preserve">2017 </w:t>
      </w:r>
      <w:r w:rsidRPr="00A0041A">
        <w:rPr>
          <w:rFonts w:eastAsia="Calibri"/>
          <w:i/>
        </w:rPr>
        <w:t>Call Blocking Report and Order</w:t>
      </w:r>
      <w:r>
        <w:rPr>
          <w:rFonts w:eastAsia="Calibri"/>
        </w:rPr>
        <w:t xml:space="preserve">, 32 FCC Rcd at 9710-21, paras. 10-40.  Phone numbers that are only used by their subscribers to receive inbound calls can be placed on a DNO list.  These subscribers are generally government and enterprise users with call centers that receive calls on a specific toll-free number that is not used to make outbound calls.  When the subscriber’s number is spoofed by a </w:t>
      </w:r>
      <w:r>
        <w:rPr>
          <w:rFonts w:eastAsia="Calibri"/>
        </w:rPr>
        <w:t>robocaller</w:t>
      </w:r>
      <w:r>
        <w:rPr>
          <w:rFonts w:eastAsia="Calibri"/>
        </w:rPr>
        <w:t xml:space="preserve"> without the subscriber’s consent, the calls purporting to be from that number are most likely illegal.  </w:t>
      </w:r>
      <w:r w:rsidRPr="00E742F3">
        <w:rPr>
          <w:rFonts w:eastAsia="Calibri"/>
          <w:i/>
          <w:iCs/>
        </w:rPr>
        <w:t>Id</w:t>
      </w:r>
      <w:r>
        <w:rPr>
          <w:rFonts w:eastAsia="Calibri"/>
        </w:rPr>
        <w:t>. at 9710, para. 10.</w:t>
      </w:r>
    </w:p>
  </w:footnote>
  <w:footnote w:id="8">
    <w:p w:rsidR="007B2A7B" w:rsidP="00E56F26" w14:paraId="503E7C3E" w14:textId="04A3729C">
      <w:pPr>
        <w:pStyle w:val="FootnoteText"/>
      </w:pPr>
      <w:r>
        <w:rPr>
          <w:rStyle w:val="FootnoteReference"/>
        </w:rPr>
        <w:footnoteRef/>
      </w:r>
      <w:r>
        <w:t xml:space="preserve"> </w:t>
      </w:r>
      <w:r w:rsidRPr="000C1743">
        <w:rPr>
          <w:i/>
          <w:iCs/>
        </w:rPr>
        <w:t xml:space="preserve">2019 </w:t>
      </w:r>
      <w:r w:rsidRPr="00ED361D">
        <w:rPr>
          <w:i/>
        </w:rPr>
        <w:t>Call Blocking Declaratory Ruling</w:t>
      </w:r>
      <w:r>
        <w:t>, 34 FCC Rcd at 4886-88, paras. 33-34;</w:t>
      </w:r>
      <w:r>
        <w:rPr>
          <w:i/>
          <w:iCs/>
        </w:rPr>
        <w:t xml:space="preserve"> s</w:t>
      </w:r>
      <w:r w:rsidRPr="0002396B">
        <w:rPr>
          <w:i/>
          <w:iCs/>
        </w:rPr>
        <w:t>ee</w:t>
      </w:r>
      <w:r w:rsidRPr="008E0FE6">
        <w:rPr>
          <w:i/>
        </w:rPr>
        <w:t>,</w:t>
      </w:r>
      <w:r w:rsidRPr="0002396B">
        <w:rPr>
          <w:i/>
          <w:iCs/>
        </w:rPr>
        <w:t xml:space="preserve"> e.g</w:t>
      </w:r>
      <w:r>
        <w:t xml:space="preserve">., Letter from Joan Marsh, Executive Vice President, AT&amp;T Services, Inc., to Mika Savir, Attorney, FCC Consumer and Governmental Affairs Bureau, CG Docket No. 17-59, at 4-5 (Feb. 28, 2020) (AT&amp;T Letter); Letter from David C. Bartlett, Vice President, Federal Government Affairs, CenturyLink, to G. Patrick Webre, Chief, FCC Consumer and Governmental Affairs Bureau, CG Docket No. 17-59, at 2 (Feb. 28, 2020) (CenturyLink Letter); Letter from Christopher D. </w:t>
      </w:r>
      <w:r>
        <w:t>Oatway</w:t>
      </w:r>
      <w:r>
        <w:t>, Associate General Counsel, Verizon, to G. Patrick Webre, Chief, FCC Consumer and Governmental Affairs Bureau, CG Docket No. 17-59, at 2-3 (Feb. 28, 2020) (Verizon Letter).</w:t>
      </w:r>
    </w:p>
  </w:footnote>
  <w:footnote w:id="9">
    <w:p w:rsidR="007B2A7B" w:rsidP="00E56F26" w14:paraId="083136CF" w14:textId="77777777">
      <w:pPr>
        <w:pStyle w:val="FootnoteText"/>
      </w:pPr>
      <w:r>
        <w:rPr>
          <w:rStyle w:val="FootnoteReference"/>
        </w:rPr>
        <w:footnoteRef/>
      </w:r>
      <w:r>
        <w:t xml:space="preserve"> </w:t>
      </w:r>
      <w:r w:rsidRPr="009204C5">
        <w:rPr>
          <w:i/>
          <w:iCs/>
        </w:rPr>
        <w:t>2019</w:t>
      </w:r>
      <w:r>
        <w:t xml:space="preserve"> </w:t>
      </w:r>
      <w:r w:rsidRPr="00ED361D">
        <w:rPr>
          <w:i/>
        </w:rPr>
        <w:t>Call Blocking Declaratory Ruling</w:t>
      </w:r>
      <w:r>
        <w:t xml:space="preserve">, 34 FCC Rcd at 4884-90, paras. 26-42.  To opt out is to affirmatively choose not to participate.  In this context, the consumer is automatically enrolled in the call-blocking service but can elect to not subscribe to that service.  In the </w:t>
      </w:r>
      <w:r w:rsidRPr="00236D31">
        <w:rPr>
          <w:i/>
        </w:rPr>
        <w:t>2019 Declaratory Ruling</w:t>
      </w:r>
      <w:r>
        <w:t xml:space="preserve">, the Commission also clarified that voice service providers may offer white list programs on an opt-in basis, i.e., blocking calls from numbers not in a consumer’s contacts list.  </w:t>
      </w:r>
      <w:r>
        <w:rPr>
          <w:i/>
          <w:iCs/>
        </w:rPr>
        <w:t>Id.</w:t>
      </w:r>
      <w:r>
        <w:t xml:space="preserve"> at 4890-91, paras. 43-46.</w:t>
      </w:r>
    </w:p>
  </w:footnote>
  <w:footnote w:id="10">
    <w:p w:rsidR="007B2A7B" w:rsidRPr="001F27B5" w:rsidP="00DA0395" w14:paraId="707FE73A" w14:textId="357A7A60">
      <w:pPr>
        <w:pStyle w:val="FootnoteText"/>
        <w:rPr>
          <w:i/>
          <w:iCs/>
        </w:rPr>
      </w:pPr>
      <w:r>
        <w:rPr>
          <w:rStyle w:val="FootnoteReference"/>
        </w:rPr>
        <w:footnoteRef/>
      </w:r>
      <w:r>
        <w:t xml:space="preserve"> </w:t>
      </w:r>
      <w:r w:rsidRPr="00CD6D67">
        <w:rPr>
          <w:i/>
          <w:iCs/>
        </w:rPr>
        <w:t>See</w:t>
      </w:r>
      <w:r w:rsidRPr="00236D31">
        <w:rPr>
          <w:i/>
        </w:rPr>
        <w:t>,</w:t>
      </w:r>
      <w:r w:rsidRPr="00CD6D67">
        <w:rPr>
          <w:i/>
          <w:iCs/>
        </w:rPr>
        <w:t xml:space="preserve"> e.g.</w:t>
      </w:r>
      <w:r w:rsidRPr="00E22254">
        <w:t>,</w:t>
      </w:r>
      <w:r w:rsidRPr="00CD6D67">
        <w:rPr>
          <w:i/>
          <w:iCs/>
        </w:rPr>
        <w:t xml:space="preserve"> </w:t>
      </w:r>
      <w:r w:rsidRPr="00DA0395">
        <w:rPr>
          <w:i/>
          <w:iCs/>
        </w:rPr>
        <w:t>John C. Spiller; Jakob A. Mears; Rising Eagle</w:t>
      </w:r>
      <w:r>
        <w:rPr>
          <w:i/>
          <w:iCs/>
        </w:rPr>
        <w:t xml:space="preserve"> </w:t>
      </w:r>
      <w:r w:rsidRPr="00DA0395">
        <w:rPr>
          <w:i/>
          <w:iCs/>
        </w:rPr>
        <w:t>Capital Group LLC, et. al.,</w:t>
      </w:r>
      <w:r>
        <w:t xml:space="preserve"> Notice of Apparent Liability for Forfeiture, FCC 20-74 (Jun. 10, 2020), </w:t>
      </w:r>
      <w:hyperlink r:id="rId1" w:history="1">
        <w:r w:rsidRPr="003A2EB8">
          <w:rPr>
            <w:rStyle w:val="Hyperlink"/>
          </w:rPr>
          <w:t>https://docs.fcc.gov/public/attachments/FCC-20-74A1.pdf</w:t>
        </w:r>
      </w:hyperlink>
      <w:r>
        <w:t xml:space="preserve"> (proposing the largest forfeiture in FCC history, $225,000,000, against persons apparently responsible for making </w:t>
      </w:r>
      <w:r w:rsidRPr="00EA2C46">
        <w:t>approximately one billion spoofed robocalls in the first four-and-a-half months of 2019</w:t>
      </w:r>
      <w:r>
        <w:t xml:space="preserve"> that included prerecorded messages falsely claiming affiliation with major health insurance providers in the United States);</w:t>
      </w:r>
      <w:r>
        <w:rPr>
          <w:i/>
          <w:iCs/>
        </w:rPr>
        <w:t xml:space="preserve"> </w:t>
      </w:r>
      <w:r w:rsidRPr="00CD6D67">
        <w:rPr>
          <w:i/>
          <w:iCs/>
        </w:rPr>
        <w:t>Kenneth Moser dba Marketing Support Systems</w:t>
      </w:r>
      <w:r>
        <w:t xml:space="preserve">, Notice of Apparent Liability for Forfeiture, 34 FCC Rcd 12753 (2019) (proposing a forfeiture of $9,997,750 for calls made spoofing the telephone number of another telemarketing company, with a prerecorded message containing false statements critical of a state assembly candidate); </w:t>
      </w:r>
      <w:r w:rsidRPr="00CD6D67">
        <w:rPr>
          <w:i/>
          <w:iCs/>
        </w:rPr>
        <w:t xml:space="preserve">Scott Rhodes a.k.a. Scott David Rhodes, Scott D. Rhodes, Scott </w:t>
      </w:r>
      <w:r w:rsidRPr="00CD6D67">
        <w:rPr>
          <w:i/>
          <w:iCs/>
        </w:rPr>
        <w:t>Platek</w:t>
      </w:r>
      <w:r w:rsidRPr="00CD6D67">
        <w:rPr>
          <w:i/>
          <w:iCs/>
        </w:rPr>
        <w:t xml:space="preserve">, Scott P. </w:t>
      </w:r>
      <w:r w:rsidRPr="00CD6D67">
        <w:rPr>
          <w:i/>
          <w:iCs/>
        </w:rPr>
        <w:t>Platek</w:t>
      </w:r>
      <w:r>
        <w:t xml:space="preserve">, Notice of Apparent Liability for Forfeiture, 35 FCC Rcd 882 (2020) (proposing a forfeiture of $12,910,000 for spoofed robocalls in six campaigns with hate speech and racist, anti-Semitic, or anti-immigrant language, using spoofed numbers belonging to innocent parties that matched the locality of the called party). </w:t>
      </w:r>
    </w:p>
  </w:footnote>
  <w:footnote w:id="11">
    <w:p w:rsidR="007B2A7B" w:rsidRPr="001C1D01" w:rsidP="001C1D01" w14:paraId="6CC47B5F" w14:textId="1B72DBBC">
      <w:pPr>
        <w:pStyle w:val="FootnoteText"/>
      </w:pPr>
      <w:r>
        <w:rPr>
          <w:rStyle w:val="FootnoteReference"/>
        </w:rPr>
        <w:footnoteRef/>
      </w:r>
      <w:r>
        <w:t xml:space="preserve"> </w:t>
      </w:r>
      <w:r>
        <w:rPr>
          <w:i/>
          <w:iCs/>
        </w:rPr>
        <w:t>See</w:t>
      </w:r>
      <w:r>
        <w:t xml:space="preserve"> Tony </w:t>
      </w:r>
      <w:r>
        <w:t>Romm</w:t>
      </w:r>
      <w:r>
        <w:t xml:space="preserve">, </w:t>
      </w:r>
      <w:r w:rsidRPr="001C1D01">
        <w:rPr>
          <w:i/>
          <w:iCs/>
        </w:rPr>
        <w:t>‘That can actually kill somebody’: Scam robocalls are pitching fake coronavirus tests to vulnerable Americans</w:t>
      </w:r>
      <w:r>
        <w:t xml:space="preserve">, </w:t>
      </w:r>
      <w:r w:rsidRPr="005F2912">
        <w:rPr>
          <w:smallCaps/>
        </w:rPr>
        <w:t>Washington Post</w:t>
      </w:r>
      <w:r>
        <w:t xml:space="preserve"> (Mar. 19, 2020), </w:t>
      </w:r>
      <w:hyperlink r:id="rId2" w:history="1">
        <w:r w:rsidRPr="00574FCE">
          <w:rPr>
            <w:rStyle w:val="Hyperlink"/>
          </w:rPr>
          <w:t>https://www.washingtonpost.com/technology/2020/03/19/robocalls-coronavirus-test/</w:t>
        </w:r>
      </w:hyperlink>
      <w:r>
        <w:t xml:space="preserve">.  </w:t>
      </w:r>
    </w:p>
  </w:footnote>
  <w:footnote w:id="12">
    <w:p w:rsidR="007B2A7B" w:rsidP="0051412D" w14:paraId="4170B178" w14:textId="7C31FB77">
      <w:pPr>
        <w:pStyle w:val="FootnoteText"/>
      </w:pPr>
      <w:r>
        <w:rPr>
          <w:rStyle w:val="FootnoteReference"/>
        </w:rPr>
        <w:footnoteRef/>
      </w:r>
      <w:r>
        <w:t xml:space="preserve"> </w:t>
      </w:r>
      <w:r>
        <w:rPr>
          <w:i/>
          <w:iCs/>
        </w:rPr>
        <w:t>See</w:t>
      </w:r>
      <w:r>
        <w:t xml:space="preserve"> News Release, FCC, FTC Demand Gateway Providers Cut Off </w:t>
      </w:r>
      <w:r>
        <w:t>Robocallers</w:t>
      </w:r>
      <w:r>
        <w:t xml:space="preserve"> Perpetrating Coronavirus-Related Scams from United States Telephone Network (Apr. 3, 2020), </w:t>
      </w:r>
      <w:hyperlink r:id="rId3" w:history="1">
        <w:r w:rsidRPr="00C57FFA">
          <w:rPr>
            <w:rStyle w:val="Hyperlink"/>
          </w:rPr>
          <w:t>https://www.fcc.gov/document/fcc-ftc-demand-gateway-providers-cut-covid-19-robocall-scammers</w:t>
        </w:r>
      </w:hyperlink>
      <w:r>
        <w:t xml:space="preserve">; News Release, </w:t>
      </w:r>
      <w:r w:rsidRPr="004B793C">
        <w:t>FCC, FTC Demand Robocall-Enabling Service Providers Cut Off Scammers</w:t>
      </w:r>
      <w:r>
        <w:t xml:space="preserve"> (May 20, 2020), </w:t>
      </w:r>
      <w:hyperlink r:id="rId4" w:history="1">
        <w:r w:rsidRPr="00574FCE">
          <w:rPr>
            <w:rStyle w:val="Hyperlink"/>
          </w:rPr>
          <w:t>https://www.fcc.gov/document/fcc-ftc-demand-robocall-enabling-service-providers-cut-scammers</w:t>
        </w:r>
      </w:hyperlink>
      <w:r>
        <w:t>.</w:t>
      </w:r>
    </w:p>
  </w:footnote>
  <w:footnote w:id="13">
    <w:p w:rsidR="007B2A7B" w:rsidRPr="0009567B" w:rsidP="002B3548" w14:paraId="4D28300D" w14:textId="77777777">
      <w:pPr>
        <w:pStyle w:val="FootnoteText"/>
      </w:pPr>
      <w:r>
        <w:rPr>
          <w:rStyle w:val="FootnoteReference"/>
        </w:rPr>
        <w:footnoteRef/>
      </w:r>
      <w:r>
        <w:t xml:space="preserve"> The FCC and FTC also sent letters</w:t>
      </w:r>
      <w:r w:rsidRPr="0009567B">
        <w:t xml:space="preserve"> to </w:t>
      </w:r>
      <w:r w:rsidRPr="0009567B">
        <w:t>USTelecom</w:t>
      </w:r>
      <w:r w:rsidRPr="0009567B">
        <w:t xml:space="preserve"> thanking the Industry Traceback Group for its </w:t>
      </w:r>
      <w:r>
        <w:t>assistance</w:t>
      </w:r>
      <w:r w:rsidRPr="0009567B">
        <w:t xml:space="preserve"> in identifying the robocalls.</w:t>
      </w:r>
      <w:r>
        <w:t xml:space="preserve">  </w:t>
      </w:r>
      <w:r>
        <w:rPr>
          <w:i/>
          <w:iCs/>
        </w:rPr>
        <w:t>See id.</w:t>
      </w:r>
      <w:r>
        <w:t xml:space="preserve"> </w:t>
      </w:r>
    </w:p>
  </w:footnote>
  <w:footnote w:id="14">
    <w:p w:rsidR="007B2A7B" w:rsidP="00236D31" w14:paraId="43547EAC" w14:textId="77777777">
      <w:pPr>
        <w:pStyle w:val="FootnoteText"/>
      </w:pPr>
      <w:r>
        <w:rPr>
          <w:rStyle w:val="FootnoteReference"/>
        </w:rPr>
        <w:footnoteRef/>
      </w:r>
      <w:r>
        <w:t xml:space="preserve"> FCC, </w:t>
      </w:r>
      <w:r w:rsidRPr="00AF7612">
        <w:rPr>
          <w:i/>
          <w:iCs/>
        </w:rPr>
        <w:t>Consumer Complaint Data Center</w:t>
      </w:r>
      <w:r>
        <w:t xml:space="preserve">, </w:t>
      </w:r>
      <w:hyperlink r:id="rId5" w:history="1">
        <w:r w:rsidRPr="00275ED1">
          <w:rPr>
            <w:rStyle w:val="Hyperlink"/>
          </w:rPr>
          <w:t>https://www.fcc.gov/consumer-help-center-data</w:t>
        </w:r>
      </w:hyperlink>
      <w:r>
        <w:t xml:space="preserve"> (last visited June 9, 2020); FCC, </w:t>
      </w:r>
      <w:r w:rsidRPr="00AF7612">
        <w:rPr>
          <w:i/>
          <w:iCs/>
        </w:rPr>
        <w:t>Consumer Complaints Data—Unwanted Calls</w:t>
      </w:r>
      <w:r>
        <w:t xml:space="preserve">, </w:t>
      </w:r>
      <w:hyperlink r:id="rId6" w:history="1">
        <w:r>
          <w:rPr>
            <w:rStyle w:val="Hyperlink"/>
          </w:rPr>
          <w:t>https://opendata.fcc.gov/Consumer/Consumer-Complaints-Data-Unwanted-Calls/vakf-fz8e</w:t>
        </w:r>
      </w:hyperlink>
      <w:r>
        <w:t xml:space="preserve"> (last visited June 9, 2020).</w:t>
      </w:r>
    </w:p>
  </w:footnote>
  <w:footnote w:id="15">
    <w:p w:rsidR="007B2A7B" w:rsidRPr="00F16CCC" w:rsidP="00236D31" w14:paraId="1B8C698C" w14:textId="77777777">
      <w:pPr>
        <w:pStyle w:val="FootnoteText"/>
      </w:pPr>
      <w:r>
        <w:rPr>
          <w:rStyle w:val="FootnoteReference"/>
        </w:rPr>
        <w:footnoteRef/>
      </w:r>
      <w:r>
        <w:t xml:space="preserve"> </w:t>
      </w:r>
      <w:r w:rsidRPr="0059298F">
        <w:t xml:space="preserve">FCC, </w:t>
      </w:r>
      <w:r w:rsidRPr="00295F75">
        <w:rPr>
          <w:i/>
          <w:iCs/>
        </w:rPr>
        <w:t>Consumer Complaint Data Center</w:t>
      </w:r>
      <w:r w:rsidRPr="0059298F">
        <w:t xml:space="preserve">, </w:t>
      </w:r>
      <w:hyperlink r:id="rId5" w:history="1">
        <w:r w:rsidRPr="0059298F">
          <w:rPr>
            <w:rStyle w:val="Hyperlink"/>
          </w:rPr>
          <w:t>https://www.fcc.gov/consumer-help-center-data</w:t>
        </w:r>
      </w:hyperlink>
      <w:r w:rsidRPr="0059298F">
        <w:t xml:space="preserve"> (last visited </w:t>
      </w:r>
      <w:r>
        <w:t>June 9</w:t>
      </w:r>
      <w:r w:rsidRPr="0059298F">
        <w:t>, 2020).</w:t>
      </w:r>
      <w:r>
        <w:t xml:space="preserve"> </w:t>
      </w:r>
      <w:r>
        <w:rPr>
          <w:i/>
          <w:iCs/>
        </w:rPr>
        <w:t xml:space="preserve"> </w:t>
      </w:r>
      <w:r>
        <w:t>The government shutdown in January 2019 likely depressed the totals for 2019.</w:t>
      </w:r>
    </w:p>
  </w:footnote>
  <w:footnote w:id="16">
    <w:p w:rsidR="007B2A7B" w:rsidRPr="0059298F" w:rsidP="00236D31" w14:paraId="74B9EA43" w14:textId="77777777">
      <w:pPr>
        <w:pStyle w:val="FootnoteText"/>
      </w:pPr>
      <w:r w:rsidRPr="0059298F">
        <w:rPr>
          <w:rStyle w:val="FootnoteReference"/>
        </w:rPr>
        <w:footnoteRef/>
      </w:r>
      <w:r w:rsidRPr="0059298F">
        <w:t xml:space="preserve"> </w:t>
      </w:r>
      <w:r>
        <w:t>The FTC provides Congress with a biennial report on the operation of the National Do Not Call Registry.  FTC</w:t>
      </w:r>
      <w:r w:rsidRPr="0059298F">
        <w:t xml:space="preserve">, Biennial Report to Congress </w:t>
      </w:r>
      <w:r>
        <w:t>u</w:t>
      </w:r>
      <w:r w:rsidRPr="0059298F">
        <w:t xml:space="preserve">nder the Do Not Call Registry Fee Extension Act of 2007 </w:t>
      </w:r>
      <w:r>
        <w:t xml:space="preserve">at 3 </w:t>
      </w:r>
      <w:r w:rsidRPr="0059298F">
        <w:t xml:space="preserve">(2019), </w:t>
      </w:r>
      <w:hyperlink r:id="rId7" w:history="1">
        <w:r w:rsidRPr="0059298F">
          <w:rPr>
            <w:rStyle w:val="Hyperlink"/>
          </w:rPr>
          <w:t>https://www.ftc.gov/system/files/documents/reports/biennial-report-congress-under-do-not-call-registry-fee-extension-act-2007-operation-national-do-not/p034305dncreport2019.pdf</w:t>
        </w:r>
      </w:hyperlink>
      <w:r w:rsidRPr="0059298F">
        <w:t>.</w:t>
      </w:r>
      <w:r>
        <w:t xml:space="preserve">  The FTC also tracks consumer complaint data and makes the information available on its Do Not Call (DNC) Reported Calls Data page.</w:t>
      </w:r>
      <w:r w:rsidRPr="00C20E50">
        <w:t xml:space="preserve"> </w:t>
      </w:r>
      <w:r>
        <w:t xml:space="preserve"> </w:t>
      </w:r>
      <w:r w:rsidRPr="0059298F">
        <w:t xml:space="preserve">FTC, </w:t>
      </w:r>
      <w:r w:rsidRPr="0053674C">
        <w:rPr>
          <w:i/>
          <w:iCs/>
        </w:rPr>
        <w:t>Do Not Call Reported Calls Data</w:t>
      </w:r>
      <w:r w:rsidRPr="0059298F">
        <w:t xml:space="preserve">, </w:t>
      </w:r>
      <w:hyperlink r:id="rId8" w:history="1">
        <w:r w:rsidRPr="0059298F">
          <w:rPr>
            <w:rStyle w:val="Hyperlink"/>
          </w:rPr>
          <w:t>https://www.ftc.gov/site-information/open-government/data-sets/do-not-call-data</w:t>
        </w:r>
      </w:hyperlink>
      <w:r w:rsidRPr="0059298F">
        <w:t xml:space="preserve"> (last visited </w:t>
      </w:r>
      <w:r>
        <w:t>June 9</w:t>
      </w:r>
      <w:r w:rsidRPr="0059298F">
        <w:t>, 20</w:t>
      </w:r>
      <w:r>
        <w:t>20</w:t>
      </w:r>
      <w:r w:rsidRPr="0059298F">
        <w:t>).</w:t>
      </w:r>
      <w:r>
        <w:t xml:space="preserve">  </w:t>
      </w:r>
    </w:p>
  </w:footnote>
  <w:footnote w:id="17">
    <w:p w:rsidR="007B2A7B" w:rsidP="00236D31" w14:paraId="1B5CF458" w14:textId="77777777">
      <w:pPr>
        <w:pStyle w:val="FootnoteText"/>
      </w:pPr>
      <w:r>
        <w:rPr>
          <w:rStyle w:val="FootnoteReference"/>
        </w:rPr>
        <w:footnoteRef/>
      </w:r>
      <w:r>
        <w:t xml:space="preserve"> Lois Greisman, FTC, </w:t>
      </w:r>
      <w:r w:rsidRPr="00AC541A">
        <w:rPr>
          <w:i/>
          <w:iCs/>
        </w:rPr>
        <w:t>Robocall Reports Still Down, FTC Still Fighting</w:t>
      </w:r>
      <w:r>
        <w:t xml:space="preserve"> (June 15, 2020), </w:t>
      </w:r>
      <w:hyperlink r:id="rId9" w:history="1">
        <w:r>
          <w:rPr>
            <w:rStyle w:val="Hyperlink"/>
          </w:rPr>
          <w:t>https://www.consumer.ftc.gov/blog/2020/06/robocall-reports-still-down-ftc-still-fighting</w:t>
        </w:r>
      </w:hyperlink>
      <w:r>
        <w:t xml:space="preserve">; </w:t>
      </w:r>
      <w:r w:rsidRPr="008C78D5">
        <w:rPr>
          <w:i/>
          <w:iCs/>
        </w:rPr>
        <w:t>see</w:t>
      </w:r>
      <w:r w:rsidRPr="00334DBF">
        <w:rPr>
          <w:i/>
          <w:iCs/>
        </w:rPr>
        <w:t xml:space="preserve"> also</w:t>
      </w:r>
      <w:r>
        <w:t xml:space="preserve"> FTC, </w:t>
      </w:r>
      <w:r w:rsidRPr="00334DBF">
        <w:rPr>
          <w:i/>
          <w:iCs/>
        </w:rPr>
        <w:t>National Do Not Call Registry, All DNC Complaints October 2016-March 2020</w:t>
      </w:r>
      <w:r>
        <w:t xml:space="preserve">, </w:t>
      </w:r>
      <w:hyperlink r:id="rId10" w:anchor="!/vizhome/DoNotCallComplaints/Maps" w:history="1">
        <w:r>
          <w:rPr>
            <w:rStyle w:val="Hyperlink"/>
          </w:rPr>
          <w:t>https://public.tableau.com/profile/federal.trade.commission#!/vizhome/DoNotCallComplaints/Maps</w:t>
        </w:r>
      </w:hyperlink>
      <w:r>
        <w:t xml:space="preserve"> (last visited June 16, 2020).</w:t>
      </w:r>
    </w:p>
  </w:footnote>
  <w:footnote w:id="18">
    <w:p w:rsidR="007B2A7B" w:rsidRPr="0059298F" w:rsidP="00236D31" w14:paraId="58168BF0" w14:textId="77777777">
      <w:pPr>
        <w:pStyle w:val="FootnoteText"/>
      </w:pPr>
      <w:r w:rsidRPr="0059298F">
        <w:rPr>
          <w:rStyle w:val="FootnoteReference"/>
        </w:rPr>
        <w:footnoteRef/>
      </w:r>
      <w:r w:rsidRPr="0059298F">
        <w:t xml:space="preserve"> </w:t>
      </w:r>
      <w:r w:rsidRPr="0059298F">
        <w:t>YouMail</w:t>
      </w:r>
      <w:r w:rsidRPr="0059298F">
        <w:t xml:space="preserve"> and other</w:t>
      </w:r>
      <w:r>
        <w:t xml:space="preserve"> similar</w:t>
      </w:r>
      <w:r w:rsidRPr="0059298F">
        <w:t xml:space="preserve"> companies extrapolate the data they collect from their user bases to estimate the entire volume of calls in the United States.  </w:t>
      </w:r>
      <w:r w:rsidRPr="0059298F">
        <w:t>YouMail</w:t>
      </w:r>
      <w:r w:rsidRPr="0059298F">
        <w:t xml:space="preserve">, </w:t>
      </w:r>
      <w:r>
        <w:rPr>
          <w:i/>
          <w:iCs/>
        </w:rPr>
        <w:t>May</w:t>
      </w:r>
      <w:r w:rsidRPr="0053674C">
        <w:rPr>
          <w:i/>
          <w:iCs/>
        </w:rPr>
        <w:t xml:space="preserve"> 2020 Nationwide Robocall Data</w:t>
      </w:r>
      <w:r w:rsidRPr="0059298F">
        <w:t xml:space="preserve">, </w:t>
      </w:r>
      <w:hyperlink r:id="rId11" w:history="1">
        <w:r>
          <w:rPr>
            <w:rStyle w:val="Hyperlink"/>
          </w:rPr>
          <w:t>https://robocallindex.com/</w:t>
        </w:r>
      </w:hyperlink>
      <w:r w:rsidRPr="0059298F">
        <w:t xml:space="preserve"> (last visited </w:t>
      </w:r>
      <w:r>
        <w:t>June 9, 2020</w:t>
      </w:r>
      <w:r w:rsidRPr="0059298F">
        <w:t xml:space="preserve">); Hiya, </w:t>
      </w:r>
      <w:r w:rsidRPr="0053674C">
        <w:rPr>
          <w:i/>
          <w:iCs/>
        </w:rPr>
        <w:t xml:space="preserve">State of the Call, </w:t>
      </w:r>
      <w:hyperlink r:id="rId12" w:history="1">
        <w:r>
          <w:rPr>
            <w:rStyle w:val="Hyperlink"/>
          </w:rPr>
          <w:t>https://hiya.com/state-of-the-call</w:t>
        </w:r>
      </w:hyperlink>
      <w:r w:rsidRPr="0059298F">
        <w:t xml:space="preserve"> (last visited</w:t>
      </w:r>
      <w:r>
        <w:t xml:space="preserve"> June 9, 2020</w:t>
      </w:r>
      <w:r w:rsidRPr="0059298F">
        <w:t xml:space="preserve">); Press Release, First Orion, </w:t>
      </w:r>
      <w:r w:rsidRPr="001900D0">
        <w:t>Nearly 50% of U.S. Mobile Traffic Will Be Scam Calls by 2019</w:t>
      </w:r>
      <w:r w:rsidRPr="0059298F">
        <w:t xml:space="preserve"> (Sept. 12, 2018), </w:t>
      </w:r>
      <w:hyperlink r:id="rId13" w:history="1">
        <w:r w:rsidRPr="0059298F">
          <w:rPr>
            <w:rStyle w:val="Hyperlink"/>
          </w:rPr>
          <w:t>https://firstorion.com/nearly-50-of-u-s-mobile-traffic-will-be-scam-calls-by-2019</w:t>
        </w:r>
      </w:hyperlink>
      <w:r w:rsidRPr="0059298F">
        <w:t>.</w:t>
      </w:r>
      <w:r>
        <w:t xml:space="preserve">  </w:t>
      </w:r>
    </w:p>
  </w:footnote>
  <w:footnote w:id="19">
    <w:p w:rsidR="007B2A7B" w:rsidRPr="0059298F" w:rsidP="00236D31" w14:paraId="74036A53" w14:textId="77777777">
      <w:pPr>
        <w:pStyle w:val="FootnoteText"/>
      </w:pPr>
      <w:r w:rsidRPr="0059298F">
        <w:rPr>
          <w:rStyle w:val="FootnoteReference"/>
        </w:rPr>
        <w:footnoteRef/>
      </w:r>
      <w:r w:rsidRPr="0059298F">
        <w:t xml:space="preserve"> Hiya, </w:t>
      </w:r>
      <w:r w:rsidRPr="000C4F55">
        <w:rPr>
          <w:i/>
        </w:rPr>
        <w:t>State of the Call</w:t>
      </w:r>
      <w:r w:rsidRPr="0059298F">
        <w:t xml:space="preserve">, </w:t>
      </w:r>
      <w:hyperlink r:id="rId12" w:history="1">
        <w:r w:rsidRPr="0059298F">
          <w:rPr>
            <w:rStyle w:val="Hyperlink"/>
          </w:rPr>
          <w:t>https://hiya.com/state-of-the-call</w:t>
        </w:r>
      </w:hyperlink>
      <w:r w:rsidRPr="0059298F">
        <w:t xml:space="preserve"> (</w:t>
      </w:r>
      <w:r>
        <w:t>last visited June 9</w:t>
      </w:r>
      <w:r w:rsidRPr="0059298F">
        <w:t>, 2020).</w:t>
      </w:r>
      <w:r>
        <w:t xml:space="preserve">  </w:t>
      </w:r>
    </w:p>
  </w:footnote>
  <w:footnote w:id="20">
    <w:p w:rsidR="007B2A7B" w:rsidRPr="0059298F" w:rsidP="00236D31" w14:paraId="4212E0D2" w14:textId="77777777">
      <w:pPr>
        <w:pStyle w:val="FootnoteText"/>
      </w:pPr>
      <w:r w:rsidRPr="0059298F">
        <w:rPr>
          <w:rStyle w:val="FootnoteReference"/>
        </w:rPr>
        <w:footnoteRef/>
      </w:r>
      <w:r w:rsidRPr="0059298F">
        <w:t xml:space="preserve"> </w:t>
      </w:r>
      <w:r w:rsidRPr="0059298F">
        <w:t>YouMail</w:t>
      </w:r>
      <w:r w:rsidRPr="0059298F">
        <w:t xml:space="preserve">, </w:t>
      </w:r>
      <w:r w:rsidRPr="0053674C">
        <w:rPr>
          <w:i/>
          <w:iCs/>
        </w:rPr>
        <w:t>Historical Robocalls By Time</w:t>
      </w:r>
      <w:r w:rsidRPr="0059298F">
        <w:t xml:space="preserve">, </w:t>
      </w:r>
      <w:hyperlink r:id="rId14" w:history="1">
        <w:r w:rsidRPr="0059298F">
          <w:rPr>
            <w:rStyle w:val="Hyperlink"/>
          </w:rPr>
          <w:t>https://robocallindex.com/history/time</w:t>
        </w:r>
      </w:hyperlink>
      <w:r w:rsidRPr="0059298F">
        <w:t xml:space="preserve"> (last</w:t>
      </w:r>
      <w:r>
        <w:t xml:space="preserve"> visited</w:t>
      </w:r>
      <w:r w:rsidRPr="0059298F">
        <w:t xml:space="preserve"> </w:t>
      </w:r>
      <w:r>
        <w:t>June 9,</w:t>
      </w:r>
      <w:r w:rsidRPr="0059298F">
        <w:t xml:space="preserve"> 2020).</w:t>
      </w:r>
      <w:r w:rsidRPr="004B32FD">
        <w:t xml:space="preserve"> </w:t>
      </w:r>
      <w:r>
        <w:t xml:space="preserve"> </w:t>
      </w:r>
    </w:p>
  </w:footnote>
  <w:footnote w:id="21">
    <w:p w:rsidR="007B2A7B" w14:paraId="7D15E406" w14:textId="131289A4">
      <w:pPr>
        <w:pStyle w:val="FootnoteText"/>
      </w:pPr>
      <w:r>
        <w:rPr>
          <w:rStyle w:val="FootnoteReference"/>
        </w:rPr>
        <w:footnoteRef/>
      </w:r>
      <w:r>
        <w:t xml:space="preserve"> </w:t>
      </w:r>
      <w:r w:rsidRPr="00A93882">
        <w:rPr>
          <w:i/>
          <w:iCs/>
        </w:rPr>
        <w:t>See</w:t>
      </w:r>
      <w:r>
        <w:t xml:space="preserve"> Government Accountability Office, Report to Congressional Committees, “Fake Caller ID Schemes, Information on Federal Agencies’ Efforts to Enforce the Laws, Educate the Public, and Support Technical Initiatives,” GAO 20-153, Dec. 2019, </w:t>
      </w:r>
      <w:hyperlink r:id="rId15" w:history="1">
        <w:r w:rsidRPr="00D35439">
          <w:rPr>
            <w:rStyle w:val="Hyperlink"/>
          </w:rPr>
          <w:t>https://www.gao.gov/assets/710/703362.pdf</w:t>
        </w:r>
      </w:hyperlink>
      <w:r>
        <w:t xml:space="preserve">. </w:t>
      </w:r>
    </w:p>
  </w:footnote>
  <w:footnote w:id="22">
    <w:p w:rsidR="007B2A7B" w:rsidP="00047CBF" w14:paraId="12E23ACC" w14:textId="25AC2F83">
      <w:pPr>
        <w:pStyle w:val="FootnoteText"/>
      </w:pPr>
      <w:r>
        <w:rPr>
          <w:rStyle w:val="FootnoteReference"/>
        </w:rPr>
        <w:footnoteRef/>
      </w:r>
      <w:r>
        <w:t xml:space="preserve"> FCC Consumer Guide, </w:t>
      </w:r>
      <w:r w:rsidRPr="00726BA4">
        <w:rPr>
          <w:i/>
          <w:iCs/>
        </w:rPr>
        <w:t>Stop Unwanted Robocalls and Texts</w:t>
      </w:r>
      <w:r>
        <w:t xml:space="preserve">, </w:t>
      </w:r>
      <w:hyperlink r:id="rId16" w:history="1">
        <w:r>
          <w:rPr>
            <w:rStyle w:val="Hyperlink"/>
          </w:rPr>
          <w:t>https://www.fcc.gov/consumers/guides/stop-unwanted-robocalls-and-texts</w:t>
        </w:r>
      </w:hyperlink>
      <w:r>
        <w:t xml:space="preserve"> (last visited June 10, 2020).</w:t>
      </w:r>
    </w:p>
  </w:footnote>
  <w:footnote w:id="23">
    <w:p w:rsidR="007B2A7B" w14:paraId="1D4E9C53" w14:textId="03B4D6A1">
      <w:pPr>
        <w:pStyle w:val="FootnoteText"/>
      </w:pPr>
      <w:r>
        <w:rPr>
          <w:rStyle w:val="FootnoteReference"/>
        </w:rPr>
        <w:footnoteRef/>
      </w:r>
      <w:r>
        <w:t xml:space="preserve"> FCC, </w:t>
      </w:r>
      <w:r w:rsidRPr="00E12B09">
        <w:rPr>
          <w:i/>
          <w:iCs/>
        </w:rPr>
        <w:t>Scam Glossary</w:t>
      </w:r>
      <w:r>
        <w:t xml:space="preserve">, </w:t>
      </w:r>
      <w:hyperlink r:id="rId17" w:history="1">
        <w:r>
          <w:rPr>
            <w:rStyle w:val="Hyperlink"/>
          </w:rPr>
          <w:t>https://www.fcc.gov/scam-glossary</w:t>
        </w:r>
      </w:hyperlink>
      <w:r>
        <w:t xml:space="preserve"> (last visited June 16, 2020).</w:t>
      </w:r>
    </w:p>
  </w:footnote>
  <w:footnote w:id="24">
    <w:p w:rsidR="007B2A7B" w14:paraId="5181F5C4" w14:textId="254386B3">
      <w:pPr>
        <w:pStyle w:val="FootnoteText"/>
      </w:pPr>
      <w:r>
        <w:rPr>
          <w:rStyle w:val="FootnoteReference"/>
        </w:rPr>
        <w:footnoteRef/>
      </w:r>
      <w:r>
        <w:t xml:space="preserve"> FCC, </w:t>
      </w:r>
      <w:r w:rsidRPr="004A1B8B">
        <w:rPr>
          <w:i/>
          <w:iCs/>
        </w:rPr>
        <w:t>Rural Tour Highlights—Arizona and New Mexico</w:t>
      </w:r>
      <w:r>
        <w:t xml:space="preserve">, </w:t>
      </w:r>
      <w:hyperlink r:id="rId18" w:history="1">
        <w:r w:rsidRPr="00D35439">
          <w:rPr>
            <w:rStyle w:val="Hyperlink"/>
          </w:rPr>
          <w:t>https://www.fcc.gov/rural-tour-dispatches</w:t>
        </w:r>
      </w:hyperlink>
      <w:r>
        <w:t xml:space="preserve"> (last visited June 16, 2020).</w:t>
      </w:r>
    </w:p>
  </w:footnote>
  <w:footnote w:id="25">
    <w:p w:rsidR="007B2A7B" w14:paraId="35780902" w14:textId="16AA478B">
      <w:pPr>
        <w:pStyle w:val="FootnoteText"/>
      </w:pPr>
      <w:r>
        <w:rPr>
          <w:rStyle w:val="FootnoteReference"/>
        </w:rPr>
        <w:footnoteRef/>
      </w:r>
      <w:r>
        <w:t xml:space="preserve"> </w:t>
      </w:r>
      <w:r w:rsidRPr="00D1765C">
        <w:rPr>
          <w:rFonts w:eastAsia="Calibri"/>
          <w:i/>
          <w:iCs/>
        </w:rPr>
        <w:t>2019</w:t>
      </w:r>
      <w:r>
        <w:rPr>
          <w:rFonts w:eastAsia="Calibri"/>
        </w:rPr>
        <w:t xml:space="preserve"> </w:t>
      </w:r>
      <w:r w:rsidRPr="00C16A5B">
        <w:rPr>
          <w:rFonts w:eastAsia="Calibri"/>
          <w:i/>
        </w:rPr>
        <w:t xml:space="preserve">Call Blocking </w:t>
      </w:r>
      <w:r>
        <w:rPr>
          <w:rFonts w:eastAsia="Calibri"/>
          <w:i/>
        </w:rPr>
        <w:t>Declaratory Ruling</w:t>
      </w:r>
      <w:r>
        <w:rPr>
          <w:rFonts w:eastAsia="Calibri"/>
          <w:iCs/>
        </w:rPr>
        <w:t xml:space="preserve">, 34 FCC Rcd at </w:t>
      </w:r>
      <w:r>
        <w:t>4904</w:t>
      </w:r>
      <w:r w:rsidRPr="00314531">
        <w:t>, para. 87.</w:t>
      </w:r>
    </w:p>
  </w:footnote>
  <w:footnote w:id="26">
    <w:p w:rsidR="007B2A7B" w:rsidP="009671AE" w14:paraId="4FD61BAA" w14:textId="77777777">
      <w:pPr>
        <w:pStyle w:val="FootnoteText"/>
      </w:pPr>
      <w:r>
        <w:rPr>
          <w:rStyle w:val="FootnoteReference"/>
        </w:rPr>
        <w:footnoteRef/>
      </w:r>
      <w:r>
        <w:rPr>
          <w:rFonts w:eastAsia="Calibri"/>
        </w:rPr>
        <w:t xml:space="preserve"> </w:t>
      </w:r>
      <w:r w:rsidRPr="00D1765C">
        <w:rPr>
          <w:rFonts w:eastAsia="Calibri"/>
          <w:i/>
          <w:iCs/>
        </w:rPr>
        <w:t>Consumer and Governmental Affairs Bureau Seeks Input for Report on Call Blocking</w:t>
      </w:r>
      <w:r w:rsidRPr="00174881">
        <w:rPr>
          <w:rFonts w:eastAsia="Calibri"/>
        </w:rPr>
        <w:t>,</w:t>
      </w:r>
      <w:r w:rsidRPr="0092370B">
        <w:rPr>
          <w:rFonts w:eastAsia="Calibri"/>
        </w:rPr>
        <w:t xml:space="preserve"> </w:t>
      </w:r>
      <w:r>
        <w:rPr>
          <w:rFonts w:eastAsia="Calibri"/>
        </w:rPr>
        <w:t>CG Docket No. 17-59, WC Docket No. 17-97, Public Notice,</w:t>
      </w:r>
      <w:r w:rsidRPr="00174881">
        <w:rPr>
          <w:rFonts w:eastAsia="Calibri"/>
        </w:rPr>
        <w:t xml:space="preserve"> </w:t>
      </w:r>
      <w:r>
        <w:rPr>
          <w:rFonts w:eastAsia="Calibri"/>
        </w:rPr>
        <w:t>34 FCC Rcd 12470 (CGB Dec. 20, 2019)</w:t>
      </w:r>
      <w:r w:rsidRPr="00174881">
        <w:rPr>
          <w:rFonts w:eastAsia="Calibri"/>
        </w:rPr>
        <w:t>.</w:t>
      </w:r>
      <w:r>
        <w:rPr>
          <w:rFonts w:eastAsia="Calibri"/>
        </w:rPr>
        <w:t xml:space="preserve">  A list of commenters is attached in Appendix A.</w:t>
      </w:r>
    </w:p>
  </w:footnote>
  <w:footnote w:id="27">
    <w:p w:rsidR="007B2A7B" w14:paraId="6405EB3B" w14:textId="46B214C0">
      <w:pPr>
        <w:pStyle w:val="FootnoteText"/>
      </w:pPr>
      <w:r>
        <w:rPr>
          <w:rStyle w:val="FootnoteReference"/>
        </w:rPr>
        <w:footnoteRef/>
      </w:r>
      <w:r>
        <w:t xml:space="preserve"> </w:t>
      </w:r>
      <w:r w:rsidRPr="00D1765C">
        <w:rPr>
          <w:rFonts w:eastAsia="Calibri"/>
          <w:i/>
          <w:iCs/>
        </w:rPr>
        <w:t>2019</w:t>
      </w:r>
      <w:r>
        <w:rPr>
          <w:rFonts w:eastAsia="Calibri"/>
        </w:rPr>
        <w:t xml:space="preserve"> </w:t>
      </w:r>
      <w:r w:rsidRPr="00C16A5B">
        <w:rPr>
          <w:rFonts w:eastAsia="Calibri"/>
          <w:i/>
        </w:rPr>
        <w:t xml:space="preserve">Call Blocking </w:t>
      </w:r>
      <w:r>
        <w:rPr>
          <w:rFonts w:eastAsia="Calibri"/>
          <w:i/>
        </w:rPr>
        <w:t>Declaratory Ruling</w:t>
      </w:r>
      <w:r>
        <w:rPr>
          <w:rFonts w:eastAsia="Calibri"/>
          <w:iCs/>
        </w:rPr>
        <w:t xml:space="preserve">, 34 FCC Rcd at </w:t>
      </w:r>
      <w:r>
        <w:t>4904</w:t>
      </w:r>
      <w:r w:rsidRPr="00314531">
        <w:t>, para. 87</w:t>
      </w:r>
      <w:r>
        <w:t>.</w:t>
      </w:r>
    </w:p>
  </w:footnote>
  <w:footnote w:id="28">
    <w:p w:rsidR="007B2A7B" w:rsidRPr="00C913F9" w:rsidP="003C6CC0" w14:paraId="10071F4A" w14:textId="7A2D09DE">
      <w:pPr>
        <w:pStyle w:val="FootnoteText"/>
      </w:pPr>
      <w:r>
        <w:rPr>
          <w:rStyle w:val="FootnoteReference"/>
        </w:rPr>
        <w:footnoteRef/>
      </w:r>
      <w:r>
        <w:rPr>
          <w:i/>
          <w:iCs/>
        </w:rPr>
        <w:t xml:space="preserve"> Id. </w:t>
      </w:r>
      <w:r>
        <w:t>at 4904, para. 89.</w:t>
      </w:r>
    </w:p>
  </w:footnote>
  <w:footnote w:id="29">
    <w:p w:rsidR="007B2A7B" w:rsidRPr="00A92708" w:rsidP="00053872" w14:paraId="7839C692" w14:textId="2344EFD5">
      <w:pPr>
        <w:pStyle w:val="FootnoteText"/>
      </w:pPr>
      <w:r>
        <w:rPr>
          <w:rStyle w:val="FootnoteReference"/>
        </w:rPr>
        <w:footnoteRef/>
      </w:r>
      <w:r>
        <w:t xml:space="preserve"> </w:t>
      </w:r>
      <w:r w:rsidRPr="001B6576">
        <w:rPr>
          <w:i/>
          <w:iCs/>
        </w:rPr>
        <w:t xml:space="preserve">2017 </w:t>
      </w:r>
      <w:r w:rsidRPr="00A0041A">
        <w:rPr>
          <w:rFonts w:eastAsia="Calibri"/>
          <w:i/>
        </w:rPr>
        <w:t>Call Blocking Report and Order</w:t>
      </w:r>
      <w:r>
        <w:rPr>
          <w:rFonts w:eastAsia="Calibri"/>
        </w:rPr>
        <w:t xml:space="preserve">, 32 FCC Rcd at 9710-21, paras. 10-40.  Phone numbers that are only used by their subscribers to receive inbound calls can be placed on a DNO list.  These subscribers are generally government and enterprise users with call centers that receive calls on a specific toll-free number that is not used to make outbound calls.  When the subscriber’s number is spoofed by a </w:t>
      </w:r>
      <w:r>
        <w:rPr>
          <w:rFonts w:eastAsia="Calibri"/>
        </w:rPr>
        <w:t>robocaller</w:t>
      </w:r>
      <w:r>
        <w:rPr>
          <w:rFonts w:eastAsia="Calibri"/>
        </w:rPr>
        <w:t xml:space="preserve"> without the subscriber’s consent, the calls purporting to be from that number are most likely illegal.  </w:t>
      </w:r>
      <w:r w:rsidRPr="00E742F3">
        <w:rPr>
          <w:rFonts w:eastAsia="Calibri"/>
          <w:i/>
          <w:iCs/>
        </w:rPr>
        <w:t>Id</w:t>
      </w:r>
      <w:r>
        <w:rPr>
          <w:rFonts w:eastAsia="Calibri"/>
        </w:rPr>
        <w:t>. at 9710, para. 10.</w:t>
      </w:r>
    </w:p>
  </w:footnote>
  <w:footnote w:id="30">
    <w:p w:rsidR="007B2A7B" w14:paraId="4F2DC599" w14:textId="5C4A0715">
      <w:pPr>
        <w:pStyle w:val="FootnoteText"/>
      </w:pPr>
      <w:r>
        <w:rPr>
          <w:rStyle w:val="FootnoteReference"/>
        </w:rPr>
        <w:footnoteRef/>
      </w:r>
      <w:r>
        <w:t xml:space="preserve"> </w:t>
      </w:r>
      <w:r>
        <w:rPr>
          <w:rFonts w:eastAsia="Calibri"/>
        </w:rPr>
        <w:t>A summary of the blocking and labeling offerings is listed in Appendix B.</w:t>
      </w:r>
    </w:p>
  </w:footnote>
  <w:footnote w:id="31">
    <w:p w:rsidR="007B2A7B" w14:paraId="3EF0AD96" w14:textId="0F9A1C9E">
      <w:pPr>
        <w:pStyle w:val="FootnoteText"/>
      </w:pPr>
      <w:r>
        <w:rPr>
          <w:rStyle w:val="FootnoteReference"/>
        </w:rPr>
        <w:footnoteRef/>
      </w:r>
      <w:r>
        <w:t xml:space="preserve"> Hiya also provides data on call answer rates, indicating that consumers are most likely to answer their phones when the number calling is saved to the phone’s contacts or identified as a business, and are least likely to answer calls from unidentified numbers and those marked as spam.  </w:t>
      </w:r>
      <w:r w:rsidRPr="0059298F">
        <w:t xml:space="preserve">Hiya, </w:t>
      </w:r>
      <w:r w:rsidRPr="00AF7612">
        <w:rPr>
          <w:i/>
          <w:iCs/>
        </w:rPr>
        <w:t xml:space="preserve">State of the </w:t>
      </w:r>
      <w:r>
        <w:rPr>
          <w:i/>
          <w:iCs/>
        </w:rPr>
        <w:t xml:space="preserve">Phone </w:t>
      </w:r>
      <w:r w:rsidRPr="00AF7612">
        <w:rPr>
          <w:i/>
          <w:iCs/>
        </w:rPr>
        <w:t>Call 2019</w:t>
      </w:r>
      <w:r w:rsidRPr="0059298F">
        <w:t xml:space="preserve"> at 4 (2019), </w:t>
      </w:r>
      <w:hyperlink r:id="rId19" w:history="1">
        <w:r w:rsidRPr="0059298F">
          <w:rPr>
            <w:rStyle w:val="Hyperlink"/>
          </w:rPr>
          <w:t>https://assets.hiya.com/public/pdf/HiyaStateOfTheCall2019.pdf?v=ff6a3203004af7328a696e57bcb949dd</w:t>
        </w:r>
      </w:hyperlink>
      <w:r w:rsidRPr="0059298F">
        <w:t xml:space="preserve">.  </w:t>
      </w:r>
      <w:r w:rsidRPr="0059298F">
        <w:t>Hiya’s</w:t>
      </w:r>
      <w:r w:rsidRPr="0059298F">
        <w:t xml:space="preserve"> data indicates that the average </w:t>
      </w:r>
      <w:r>
        <w:t>answer</w:t>
      </w:r>
      <w:r w:rsidRPr="0059298F">
        <w:t xml:space="preserve"> rate for incoming calls is 47%.  This jumps to 71% for calls from numbers saved in contacts, with the rate dropping slightly to 65% for calls that are identified as a business where the number is not saved in contacts.  Consumers only answer their phone </w:t>
      </w:r>
      <w:r>
        <w:t>9</w:t>
      </w:r>
      <w:r w:rsidRPr="0059298F">
        <w:t xml:space="preserve">% of the time when the call is marked as “spam” and 18% of the time when the call is not identified.  </w:t>
      </w:r>
      <w:r w:rsidRPr="0059298F">
        <w:rPr>
          <w:i/>
        </w:rPr>
        <w:t>Id.</w:t>
      </w:r>
      <w:r w:rsidRPr="0059298F">
        <w:t xml:space="preserve">  Consumers are also more likely to remain on the phone when the call is from a number in their contacts, with an average </w:t>
      </w:r>
      <w:r>
        <w:t>five</w:t>
      </w:r>
      <w:r w:rsidRPr="0059298F">
        <w:t xml:space="preserve"> minute 28 second call duration, or identified as a business, with an average </w:t>
      </w:r>
      <w:r>
        <w:t>two</w:t>
      </w:r>
      <w:r w:rsidRPr="0059298F">
        <w:t xml:space="preserve"> minute 58 second duration.  In contrast, customers spend an average of 45 seconds on the line for calls marked “spam” and 30 seconds on the line for unidentified calls. </w:t>
      </w:r>
      <w:r>
        <w:t xml:space="preserve"> </w:t>
      </w:r>
      <w:r w:rsidRPr="0059298F">
        <w:rPr>
          <w:i/>
        </w:rPr>
        <w:t>Id.</w:t>
      </w:r>
      <w:r w:rsidRPr="0059298F">
        <w:t xml:space="preserve"> at 5</w:t>
      </w:r>
      <w:r>
        <w:t>.</w:t>
      </w:r>
    </w:p>
  </w:footnote>
  <w:footnote w:id="32">
    <w:p w:rsidR="007B2A7B" w14:paraId="49B63604" w14:textId="027D7B1B">
      <w:pPr>
        <w:pStyle w:val="FootnoteText"/>
      </w:pPr>
      <w:r>
        <w:rPr>
          <w:rStyle w:val="FootnoteReference"/>
        </w:rPr>
        <w:footnoteRef/>
      </w:r>
      <w:r>
        <w:t xml:space="preserve"> </w:t>
      </w:r>
      <w:r w:rsidRPr="002C0DE5">
        <w:rPr>
          <w:i/>
          <w:iCs/>
        </w:rPr>
        <w:t>See</w:t>
      </w:r>
      <w:r>
        <w:t xml:space="preserve"> </w:t>
      </w:r>
      <w:r w:rsidRPr="00252D81">
        <w:rPr>
          <w:i/>
          <w:iCs/>
        </w:rPr>
        <w:t>STIR/SHAKEN</w:t>
      </w:r>
      <w:r w:rsidRPr="003066BF">
        <w:rPr>
          <w:i/>
          <w:iCs/>
        </w:rPr>
        <w:t xml:space="preserve"> </w:t>
      </w:r>
      <w:r w:rsidRPr="00167AE2">
        <w:rPr>
          <w:i/>
        </w:rPr>
        <w:t>Order</w:t>
      </w:r>
      <w:r>
        <w:t xml:space="preserve">, </w:t>
      </w:r>
      <w:r w:rsidRPr="00A02653">
        <w:t>35</w:t>
      </w:r>
      <w:r>
        <w:t xml:space="preserve"> FCC Rcd </w:t>
      </w:r>
      <w:r w:rsidRPr="008E0FE6">
        <w:t xml:space="preserve">at </w:t>
      </w:r>
      <w:r>
        <w:t xml:space="preserve">3264, </w:t>
      </w:r>
      <w:r>
        <w:rPr>
          <w:spacing w:val="-2"/>
        </w:rPr>
        <w:t>para. 50 (discussing impact of robocalls on emergency and healthcare communications).</w:t>
      </w:r>
    </w:p>
  </w:footnote>
  <w:footnote w:id="33">
    <w:p w:rsidR="007B2A7B" w14:paraId="1C35BB8E" w14:textId="5A67DFAD">
      <w:pPr>
        <w:pStyle w:val="FootnoteText"/>
      </w:pPr>
      <w:r>
        <w:rPr>
          <w:rStyle w:val="FootnoteReference"/>
        </w:rPr>
        <w:footnoteRef/>
      </w:r>
      <w:r>
        <w:t xml:space="preserve"> FCC, </w:t>
      </w:r>
      <w:r w:rsidRPr="0015341A">
        <w:rPr>
          <w:i/>
          <w:iCs/>
        </w:rPr>
        <w:t>Stop Unwanted Robocalls and Texts</w:t>
      </w:r>
      <w:r>
        <w:t xml:space="preserve">, </w:t>
      </w:r>
      <w:hyperlink r:id="rId20" w:anchor="call-blocking-resources" w:history="1">
        <w:r>
          <w:rPr>
            <w:rStyle w:val="Hyperlink"/>
          </w:rPr>
          <w:t>https://www.fcc.gov/consumers/guides/stop-unwanted-robocalls-and-texts?from=home#call-blocking-resources</w:t>
        </w:r>
      </w:hyperlink>
      <w:r>
        <w:t xml:space="preserve"> (last visited June 9, 2020); FCC, </w:t>
      </w:r>
      <w:r w:rsidRPr="00B51574">
        <w:rPr>
          <w:i/>
          <w:iCs/>
        </w:rPr>
        <w:t>The FCC’s Push to Combat Robocalls &amp; Spoofing</w:t>
      </w:r>
      <w:r>
        <w:t>,</w:t>
      </w:r>
      <w:r w:rsidRPr="00396E4A">
        <w:rPr>
          <w:color w:val="222222"/>
          <w:shd w:val="clear" w:color="auto" w:fill="FFFFFF"/>
        </w:rPr>
        <w:t> </w:t>
      </w:r>
      <w:hyperlink r:id="rId21" w:history="1">
        <w:r>
          <w:rPr>
            <w:rStyle w:val="Hyperlink"/>
          </w:rPr>
          <w:t>https://www.fcc.gov/about-fcc/fcc-initiatives/fccs-push-combat-robocalls-spoofing</w:t>
        </w:r>
      </w:hyperlink>
      <w:r>
        <w:t xml:space="preserve"> (last visited June 9, 2020).</w:t>
      </w:r>
    </w:p>
  </w:footnote>
  <w:footnote w:id="34">
    <w:p w:rsidR="007B2A7B" w14:paraId="29D9C66F" w14:textId="5DFCD42D">
      <w:pPr>
        <w:pStyle w:val="FootnoteText"/>
      </w:pPr>
      <w:r>
        <w:rPr>
          <w:rStyle w:val="FootnoteReference"/>
        </w:rPr>
        <w:footnoteRef/>
      </w:r>
      <w:r>
        <w:t xml:space="preserve"> </w:t>
      </w:r>
      <w:r w:rsidRPr="002C0DE5">
        <w:t>FCC</w:t>
      </w:r>
      <w:r>
        <w:t>,</w:t>
      </w:r>
      <w:r w:rsidRPr="00746D31">
        <w:rPr>
          <w:i/>
          <w:iCs/>
        </w:rPr>
        <w:t xml:space="preserve"> Consumer Help Center</w:t>
      </w:r>
      <w:r>
        <w:t xml:space="preserve">, </w:t>
      </w:r>
      <w:hyperlink r:id="rId22" w:history="1">
        <w:r>
          <w:rPr>
            <w:rStyle w:val="Hyperlink"/>
          </w:rPr>
          <w:t>https://www.fcc.gov/consumers</w:t>
        </w:r>
      </w:hyperlink>
      <w:r>
        <w:t xml:space="preserve"> (last visited June 9, 2020).</w:t>
      </w:r>
    </w:p>
  </w:footnote>
  <w:footnote w:id="35">
    <w:p w:rsidR="007B2A7B" w:rsidP="00B177E0" w14:paraId="499F6993" w14:textId="4764A481">
      <w:pPr>
        <w:pStyle w:val="FootnoteText"/>
      </w:pPr>
      <w:r>
        <w:rPr>
          <w:rStyle w:val="FootnoteReference"/>
        </w:rPr>
        <w:footnoteRef/>
      </w:r>
      <w:r>
        <w:t xml:space="preserve"> FCC, </w:t>
      </w:r>
      <w:r w:rsidRPr="0025483C">
        <w:rPr>
          <w:i/>
          <w:iCs/>
        </w:rPr>
        <w:t>COVID-19 Consumer Warnings and Safety Tips</w:t>
      </w:r>
      <w:r>
        <w:t xml:space="preserve">, </w:t>
      </w:r>
      <w:hyperlink r:id="rId23" w:history="1">
        <w:r>
          <w:rPr>
            <w:rStyle w:val="Hyperlink"/>
          </w:rPr>
          <w:t>https://www.fcc.gov/covid-scams</w:t>
        </w:r>
      </w:hyperlink>
      <w:r>
        <w:t xml:space="preserve"> (last visited June 9, 2020).</w:t>
      </w:r>
    </w:p>
  </w:footnote>
  <w:footnote w:id="36">
    <w:p w:rsidR="007B2A7B" w:rsidP="00EB7725" w14:paraId="71E91536" w14:textId="0D708E1C">
      <w:pPr>
        <w:pStyle w:val="FootnoteText"/>
      </w:pPr>
      <w:r>
        <w:rPr>
          <w:rStyle w:val="FootnoteReference"/>
        </w:rPr>
        <w:footnoteRef/>
      </w:r>
      <w:r>
        <w:t xml:space="preserve"> </w:t>
      </w:r>
      <w:r w:rsidRPr="009204C5">
        <w:rPr>
          <w:i/>
          <w:iCs/>
        </w:rPr>
        <w:t>2019</w:t>
      </w:r>
      <w:r>
        <w:rPr>
          <w:i/>
          <w:iCs/>
        </w:rPr>
        <w:t xml:space="preserve"> </w:t>
      </w:r>
      <w:r w:rsidRPr="00ED361D">
        <w:rPr>
          <w:i/>
        </w:rPr>
        <w:t>Call Blocking Declaratory Ruling</w:t>
      </w:r>
      <w:r>
        <w:t>, 34 FCC Rcd at 4884 n.47.</w:t>
      </w:r>
    </w:p>
  </w:footnote>
  <w:footnote w:id="37">
    <w:p w:rsidR="007B2A7B" w:rsidP="006F4B57" w14:paraId="507F7BA3" w14:textId="737A886C">
      <w:pPr>
        <w:pStyle w:val="FootnoteText"/>
      </w:pPr>
      <w:r>
        <w:rPr>
          <w:rStyle w:val="FootnoteReference"/>
        </w:rPr>
        <w:footnoteRef/>
      </w:r>
      <w:r>
        <w:t xml:space="preserve"> </w:t>
      </w:r>
      <w:r w:rsidRPr="00867FE5">
        <w:rPr>
          <w:i/>
          <w:iCs/>
        </w:rPr>
        <w:t>See</w:t>
      </w:r>
      <w:r w:rsidRPr="008E0FE6">
        <w:rPr>
          <w:i/>
        </w:rPr>
        <w:t>,</w:t>
      </w:r>
      <w:r w:rsidRPr="00867FE5">
        <w:rPr>
          <w:i/>
          <w:iCs/>
        </w:rPr>
        <w:t xml:space="preserve"> e.g.</w:t>
      </w:r>
      <w:r w:rsidRPr="00E22254">
        <w:t>,</w:t>
      </w:r>
      <w:r w:rsidRPr="00867FE5">
        <w:rPr>
          <w:i/>
          <w:iCs/>
        </w:rPr>
        <w:t xml:space="preserve"> Add a Block-Call &amp; Message Blocking-My Verizon Website</w:t>
      </w:r>
      <w:r>
        <w:t xml:space="preserve">, </w:t>
      </w:r>
      <w:hyperlink r:id="rId24" w:history="1">
        <w:r>
          <w:rPr>
            <w:rStyle w:val="Hyperlink"/>
          </w:rPr>
          <w:t>https://www.verizonwireless.com/support/knowledge-base-200867/</w:t>
        </w:r>
      </w:hyperlink>
      <w:r>
        <w:t xml:space="preserve"> (last visited June 9, 2020); </w:t>
      </w:r>
      <w:r w:rsidRPr="00E2023C">
        <w:rPr>
          <w:i/>
          <w:iCs/>
        </w:rPr>
        <w:t>Block Unwanted Wireless Calls and Messages</w:t>
      </w:r>
      <w:r>
        <w:t xml:space="preserve">, </w:t>
      </w:r>
      <w:hyperlink r:id="rId25" w:history="1">
        <w:r>
          <w:rPr>
            <w:rStyle w:val="Hyperlink"/>
          </w:rPr>
          <w:t>https://www.att.com/support/article/wireless/KM1009412/</w:t>
        </w:r>
      </w:hyperlink>
      <w:r>
        <w:t xml:space="preserve"> (last visited June 9, 2020).</w:t>
      </w:r>
    </w:p>
  </w:footnote>
  <w:footnote w:id="38">
    <w:p w:rsidR="007B2A7B" w:rsidP="00241B01" w14:paraId="415DB213" w14:textId="4761652B">
      <w:pPr>
        <w:pStyle w:val="FootnoteText"/>
      </w:pPr>
      <w:r>
        <w:rPr>
          <w:rStyle w:val="FootnoteReference"/>
        </w:rPr>
        <w:footnoteRef/>
      </w:r>
      <w:r>
        <w:t xml:space="preserve"> </w:t>
      </w:r>
      <w:r w:rsidRPr="00E22254">
        <w:rPr>
          <w:rFonts w:eastAsia="Calibri"/>
          <w:i/>
          <w:iCs/>
        </w:rPr>
        <w:t>2017</w:t>
      </w:r>
      <w:r>
        <w:rPr>
          <w:rFonts w:eastAsia="Calibri"/>
        </w:rPr>
        <w:t xml:space="preserve"> </w:t>
      </w:r>
      <w:r w:rsidRPr="00A0041A">
        <w:rPr>
          <w:rFonts w:eastAsia="Calibri"/>
          <w:i/>
        </w:rPr>
        <w:t xml:space="preserve">Call Blocking Report and </w:t>
      </w:r>
      <w:r w:rsidRPr="000C1743">
        <w:rPr>
          <w:rFonts w:eastAsia="Calibri"/>
          <w:i/>
        </w:rPr>
        <w:t>Order</w:t>
      </w:r>
      <w:r>
        <w:rPr>
          <w:rFonts w:eastAsia="Calibri"/>
          <w:iCs/>
        </w:rPr>
        <w:t xml:space="preserve">, 32 FCC Rcd 9706. </w:t>
      </w:r>
    </w:p>
  </w:footnote>
  <w:footnote w:id="39">
    <w:p w:rsidR="007B2A7B" w:rsidRPr="006A2D18" w:rsidP="00317EC0" w14:paraId="6225C33C" w14:textId="04CC7AC1">
      <w:pPr>
        <w:pStyle w:val="FootnoteText"/>
        <w:rPr>
          <w:i/>
        </w:rPr>
      </w:pPr>
      <w:r>
        <w:rPr>
          <w:rStyle w:val="FootnoteReference"/>
        </w:rPr>
        <w:footnoteRef/>
      </w:r>
      <w:r>
        <w:t xml:space="preserve"> </w:t>
      </w:r>
      <w:r w:rsidRPr="00F04E5E">
        <w:rPr>
          <w:i/>
          <w:iCs/>
        </w:rPr>
        <w:t>See</w:t>
      </w:r>
      <w:r w:rsidRPr="008E0FE6">
        <w:rPr>
          <w:i/>
        </w:rPr>
        <w:t>,</w:t>
      </w:r>
      <w:r w:rsidRPr="00F04E5E">
        <w:rPr>
          <w:i/>
          <w:iCs/>
        </w:rPr>
        <w:t xml:space="preserve"> e.g.</w:t>
      </w:r>
      <w:r w:rsidRPr="006A2D18">
        <w:t>,</w:t>
      </w:r>
      <w:r w:rsidRPr="00F04E5E">
        <w:rPr>
          <w:i/>
          <w:iCs/>
        </w:rPr>
        <w:t xml:space="preserve"> Connect America Fund, A National Broadband Plan for Our Future, Establishing Just and Reasonable Rates for Local Exchange Carriers, High-Cost Universal Service Support, Developing an Unified Intercarrier Compensation Regime, Federal-State Joint Board on Universal Service, Lifeline and Link-Up, Universal Service Reform-Mobility Fund</w:t>
      </w:r>
      <w:r w:rsidRPr="00F04E5E">
        <w:t xml:space="preserve">, Report and Order and Further Notice of Proposed Rulemaking, 26 FCC Rcd 17663, 17903, para. 734 (2011) (“The Commission has a longstanding prohibition on call blocking.”); </w:t>
      </w:r>
      <w:r w:rsidRPr="00F04E5E">
        <w:rPr>
          <w:i/>
          <w:iCs/>
        </w:rPr>
        <w:t>Establishing Just and Reasonable Rates for Local</w:t>
      </w:r>
      <w:r>
        <w:rPr>
          <w:i/>
          <w:iCs/>
        </w:rPr>
        <w:t xml:space="preserve"> </w:t>
      </w:r>
      <w:r w:rsidRPr="00F04E5E">
        <w:rPr>
          <w:i/>
          <w:iCs/>
        </w:rPr>
        <w:t>Exchange Carriers; Call Blocking by Carriers</w:t>
      </w:r>
      <w:r w:rsidRPr="00F04E5E">
        <w:t>, WC Docket No. 07-135, Declaratory Ruling and Order, 22 FCC Rcd 11629 (WCB 2007).</w:t>
      </w:r>
    </w:p>
  </w:footnote>
  <w:footnote w:id="40">
    <w:p w:rsidR="007B2A7B" w14:paraId="0E557874" w14:textId="64E7BD24">
      <w:pPr>
        <w:pStyle w:val="FootnoteText"/>
      </w:pPr>
      <w:r>
        <w:rPr>
          <w:rStyle w:val="FootnoteReference"/>
        </w:rPr>
        <w:footnoteRef/>
      </w:r>
      <w:r>
        <w:t xml:space="preserve"> </w:t>
      </w:r>
      <w:r w:rsidRPr="00E22254">
        <w:rPr>
          <w:rFonts w:eastAsia="Calibri"/>
          <w:i/>
          <w:iCs/>
        </w:rPr>
        <w:t>2017</w:t>
      </w:r>
      <w:r>
        <w:rPr>
          <w:rFonts w:eastAsia="Calibri"/>
        </w:rPr>
        <w:t xml:space="preserve"> </w:t>
      </w:r>
      <w:r w:rsidRPr="00A0041A">
        <w:rPr>
          <w:rFonts w:eastAsia="Calibri"/>
          <w:i/>
        </w:rPr>
        <w:t xml:space="preserve">Call Blocking Report and </w:t>
      </w:r>
      <w:r w:rsidRPr="000C1743">
        <w:rPr>
          <w:rFonts w:eastAsia="Calibri"/>
          <w:i/>
        </w:rPr>
        <w:t>Order</w:t>
      </w:r>
      <w:r>
        <w:rPr>
          <w:rFonts w:eastAsia="Calibri"/>
          <w:iCs/>
        </w:rPr>
        <w:t xml:space="preserve">, 32 FCC Rcd </w:t>
      </w:r>
      <w:r>
        <w:rPr>
          <w:rFonts w:eastAsia="Calibri"/>
        </w:rPr>
        <w:t>at 9709-10, paras. 9-10.</w:t>
      </w:r>
    </w:p>
  </w:footnote>
  <w:footnote w:id="41">
    <w:p w:rsidR="007B2A7B" w:rsidP="00661C0C" w14:paraId="2EB5738C" w14:textId="2F18BDEC">
      <w:pPr>
        <w:pStyle w:val="FootnoteText"/>
      </w:pPr>
      <w:r>
        <w:rPr>
          <w:rStyle w:val="FootnoteReference"/>
        </w:rPr>
        <w:footnoteRef/>
      </w:r>
      <w:r>
        <w:t xml:space="preserve"> </w:t>
      </w:r>
      <w:r w:rsidRPr="00C050FB">
        <w:rPr>
          <w:i/>
          <w:iCs/>
        </w:rPr>
        <w:t xml:space="preserve">2019 </w:t>
      </w:r>
      <w:r w:rsidRPr="00ED361D">
        <w:rPr>
          <w:i/>
        </w:rPr>
        <w:t>Call Blocking Declaratory Ruling</w:t>
      </w:r>
      <w:r>
        <w:t xml:space="preserve">, 34 FCC Rcd at 4884, para. 23 (citing </w:t>
      </w:r>
      <w:r w:rsidRPr="00C050FB">
        <w:rPr>
          <w:i/>
          <w:iCs/>
        </w:rPr>
        <w:t>2017</w:t>
      </w:r>
      <w:r>
        <w:t xml:space="preserve"> </w:t>
      </w:r>
      <w:r w:rsidRPr="009E668A">
        <w:rPr>
          <w:i/>
        </w:rPr>
        <w:t>Call Blocking Report and Order</w:t>
      </w:r>
      <w:r>
        <w:rPr>
          <w:i/>
        </w:rPr>
        <w:t>,</w:t>
      </w:r>
      <w:r w:rsidRPr="00B9489F">
        <w:rPr>
          <w:i/>
        </w:rPr>
        <w:t xml:space="preserve"> </w:t>
      </w:r>
      <w:r w:rsidRPr="009E668A">
        <w:t xml:space="preserve">32 FCC Rcd at </w:t>
      </w:r>
      <w:r w:rsidRPr="003E5896">
        <w:t>97</w:t>
      </w:r>
      <w:r>
        <w:t>09</w:t>
      </w:r>
      <w:r w:rsidRPr="003E5896">
        <w:t xml:space="preserve">, para. </w:t>
      </w:r>
      <w:r>
        <w:t xml:space="preserve">9).  </w:t>
      </w:r>
    </w:p>
  </w:footnote>
  <w:footnote w:id="42">
    <w:p w:rsidR="007B2A7B" w:rsidP="004B47C1" w14:paraId="08BF86E2" w14:textId="06BB5D44">
      <w:pPr>
        <w:pStyle w:val="FootnoteText"/>
      </w:pPr>
      <w:r>
        <w:rPr>
          <w:rStyle w:val="FootnoteReference"/>
        </w:rPr>
        <w:footnoteRef/>
      </w:r>
      <w:r>
        <w:t xml:space="preserve"> </w:t>
      </w:r>
      <w:r w:rsidRPr="00E80117">
        <w:rPr>
          <w:i/>
          <w:iCs/>
        </w:rPr>
        <w:t>See</w:t>
      </w:r>
      <w:r w:rsidRPr="008E0FE6">
        <w:rPr>
          <w:i/>
        </w:rPr>
        <w:t>,</w:t>
      </w:r>
      <w:r w:rsidRPr="00E80117">
        <w:rPr>
          <w:i/>
          <w:iCs/>
        </w:rPr>
        <w:t xml:space="preserve"> e.g</w:t>
      </w:r>
      <w:r>
        <w:t xml:space="preserve">., AT&amp;T Letter at 4-5; CenturyLink Letter at 2; Verizon Letter at 2-3. </w:t>
      </w:r>
    </w:p>
  </w:footnote>
  <w:footnote w:id="43">
    <w:p w:rsidR="007B2A7B" w:rsidP="004B47C1" w14:paraId="36A6328A" w14:textId="77777777">
      <w:pPr>
        <w:pStyle w:val="FootnoteText"/>
      </w:pPr>
      <w:r>
        <w:rPr>
          <w:rStyle w:val="FootnoteReference"/>
        </w:rPr>
        <w:footnoteRef/>
      </w:r>
      <w:r>
        <w:t xml:space="preserve"> </w:t>
      </w:r>
      <w:r w:rsidRPr="000C1743">
        <w:rPr>
          <w:i/>
          <w:iCs/>
        </w:rPr>
        <w:t xml:space="preserve">2019 </w:t>
      </w:r>
      <w:r w:rsidRPr="00ED361D">
        <w:rPr>
          <w:i/>
        </w:rPr>
        <w:t>Call Blocking Declaratory Ruling</w:t>
      </w:r>
      <w:r>
        <w:t>, 34 FCC Rcd at 4886-88, paras. 33-34;</w:t>
      </w:r>
      <w:r>
        <w:rPr>
          <w:i/>
          <w:iCs/>
        </w:rPr>
        <w:t xml:space="preserve"> s</w:t>
      </w:r>
      <w:r w:rsidRPr="0002396B">
        <w:rPr>
          <w:i/>
          <w:iCs/>
        </w:rPr>
        <w:t>ee</w:t>
      </w:r>
      <w:r w:rsidRPr="008E0FE6">
        <w:rPr>
          <w:i/>
        </w:rPr>
        <w:t>,</w:t>
      </w:r>
      <w:r w:rsidRPr="0002396B">
        <w:rPr>
          <w:i/>
          <w:iCs/>
        </w:rPr>
        <w:t xml:space="preserve"> e.g</w:t>
      </w:r>
      <w:r>
        <w:t>., AT&amp;T Letter at 4-5; CenturyLink Letter at 2; Verizon Letter at 2-3.</w:t>
      </w:r>
    </w:p>
  </w:footnote>
  <w:footnote w:id="44">
    <w:p w:rsidR="007B2A7B" w:rsidP="004B47C1" w14:paraId="20EDB8F1" w14:textId="5CF59E7E">
      <w:pPr>
        <w:pStyle w:val="FootnoteText"/>
      </w:pPr>
      <w:r>
        <w:rPr>
          <w:rStyle w:val="FootnoteReference"/>
        </w:rPr>
        <w:footnoteRef/>
      </w:r>
      <w:r>
        <w:t xml:space="preserve"> </w:t>
      </w:r>
      <w:r w:rsidRPr="000C1743">
        <w:rPr>
          <w:i/>
          <w:iCs/>
        </w:rPr>
        <w:t xml:space="preserve">2019 </w:t>
      </w:r>
      <w:r w:rsidRPr="00ED361D">
        <w:rPr>
          <w:i/>
        </w:rPr>
        <w:t>Call Blocking Declaratory Ruling</w:t>
      </w:r>
      <w:r>
        <w:t>, 34 FCC Rcd at 4884, n.47.</w:t>
      </w:r>
    </w:p>
  </w:footnote>
  <w:footnote w:id="45">
    <w:p w:rsidR="007B2A7B" w:rsidP="004B47C1" w14:paraId="5ADCC31A" w14:textId="77777777">
      <w:pPr>
        <w:pStyle w:val="FootnoteText"/>
      </w:pPr>
      <w:r>
        <w:rPr>
          <w:rStyle w:val="FootnoteReference"/>
        </w:rPr>
        <w:footnoteRef/>
      </w:r>
      <w:r>
        <w:t xml:space="preserve"> </w:t>
      </w:r>
      <w:r w:rsidRPr="006C1A80">
        <w:rPr>
          <w:i/>
          <w:iCs/>
        </w:rPr>
        <w:t>See CTIA Consumer Resources—How to Stop Robocalls</w:t>
      </w:r>
      <w:r>
        <w:t xml:space="preserve">, </w:t>
      </w:r>
      <w:hyperlink r:id="rId26" w:history="1">
        <w:r>
          <w:rPr>
            <w:rStyle w:val="Hyperlink"/>
          </w:rPr>
          <w:t>https://www.ctia.org/consumer-resources/how-to-stop-robocalls</w:t>
        </w:r>
      </w:hyperlink>
      <w:r>
        <w:t xml:space="preserve"> (last visited June 9, 2020). </w:t>
      </w:r>
    </w:p>
  </w:footnote>
  <w:footnote w:id="46">
    <w:p w:rsidR="007B2A7B" w:rsidP="004B47C1" w14:paraId="62359635" w14:textId="4E840B00">
      <w:pPr>
        <w:pStyle w:val="FootnoteText"/>
      </w:pPr>
      <w:r>
        <w:rPr>
          <w:rStyle w:val="FootnoteReference"/>
        </w:rPr>
        <w:footnoteRef/>
      </w:r>
      <w:r>
        <w:t xml:space="preserve"> </w:t>
      </w:r>
      <w:r w:rsidRPr="00E25CBD">
        <w:rPr>
          <w:rFonts w:eastAsia="Calibri"/>
        </w:rPr>
        <w:t xml:space="preserve">In the </w:t>
      </w:r>
      <w:r w:rsidRPr="00445AE9">
        <w:rPr>
          <w:rFonts w:eastAsia="Calibri"/>
          <w:i/>
          <w:iCs/>
        </w:rPr>
        <w:t>2017</w:t>
      </w:r>
      <w:r>
        <w:rPr>
          <w:rFonts w:eastAsia="Calibri"/>
        </w:rPr>
        <w:t xml:space="preserve"> </w:t>
      </w:r>
      <w:r w:rsidRPr="00E25CBD">
        <w:rPr>
          <w:rFonts w:eastAsia="Calibri"/>
          <w:i/>
        </w:rPr>
        <w:t xml:space="preserve">Call Blocking </w:t>
      </w:r>
      <w:r>
        <w:rPr>
          <w:rFonts w:eastAsia="Calibri"/>
          <w:i/>
        </w:rPr>
        <w:t xml:space="preserve">Report and </w:t>
      </w:r>
      <w:r w:rsidRPr="00E25CBD">
        <w:rPr>
          <w:rFonts w:eastAsia="Calibri"/>
          <w:i/>
        </w:rPr>
        <w:t>Order</w:t>
      </w:r>
      <w:r w:rsidRPr="00E25CBD">
        <w:rPr>
          <w:rFonts w:eastAsia="Calibri"/>
        </w:rPr>
        <w:t>, the Commission adopted rules to allow voice service providers to block calls from telephone numbers on a DNO list and calls that appear to be from invalid, unallocated, or unused numbers.</w:t>
      </w:r>
      <w:r>
        <w:rPr>
          <w:rFonts w:eastAsia="Calibri"/>
        </w:rPr>
        <w:t xml:space="preserve">  </w:t>
      </w:r>
      <w:r w:rsidRPr="00445AE9">
        <w:rPr>
          <w:rFonts w:eastAsia="Calibri"/>
          <w:i/>
          <w:iCs/>
        </w:rPr>
        <w:t>2017</w:t>
      </w:r>
      <w:r w:rsidRPr="00C5059D">
        <w:rPr>
          <w:rFonts w:eastAsia="Calibri"/>
          <w:i/>
        </w:rPr>
        <w:t xml:space="preserve"> </w:t>
      </w:r>
      <w:r w:rsidRPr="00A0041A">
        <w:rPr>
          <w:rFonts w:eastAsia="Calibri"/>
          <w:i/>
        </w:rPr>
        <w:t xml:space="preserve">Call Blocking </w:t>
      </w:r>
      <w:r>
        <w:rPr>
          <w:rFonts w:eastAsia="Calibri"/>
          <w:i/>
        </w:rPr>
        <w:t xml:space="preserve">Report and </w:t>
      </w:r>
      <w:r w:rsidRPr="00A0041A">
        <w:rPr>
          <w:rFonts w:eastAsia="Calibri"/>
          <w:i/>
        </w:rPr>
        <w:t>Order</w:t>
      </w:r>
      <w:r>
        <w:rPr>
          <w:rFonts w:eastAsia="Calibri"/>
        </w:rPr>
        <w:t xml:space="preserve">, 32 FCC Rcd at 9710-21, paras. 10-40.  </w:t>
      </w:r>
    </w:p>
  </w:footnote>
  <w:footnote w:id="47">
    <w:p w:rsidR="007B2A7B" w14:paraId="4F08B663" w14:textId="434CC93F">
      <w:pPr>
        <w:pStyle w:val="FootnoteText"/>
      </w:pPr>
      <w:r>
        <w:rPr>
          <w:rStyle w:val="FootnoteReference"/>
        </w:rPr>
        <w:footnoteRef/>
      </w:r>
      <w:r>
        <w:t xml:space="preserve"> </w:t>
      </w:r>
      <w:r w:rsidRPr="000C1743">
        <w:rPr>
          <w:i/>
          <w:iCs/>
        </w:rPr>
        <w:t xml:space="preserve">2019 </w:t>
      </w:r>
      <w:r w:rsidRPr="00ED361D">
        <w:rPr>
          <w:i/>
        </w:rPr>
        <w:t>Call Blocking Declaratory Ruling</w:t>
      </w:r>
      <w:r>
        <w:t>, 34 FCC Rcd at 4886-88, paras. 33-34.</w:t>
      </w:r>
    </w:p>
  </w:footnote>
  <w:footnote w:id="48">
    <w:p w:rsidR="007B2A7B" w:rsidP="009818BF" w14:paraId="4E29F76E" w14:textId="59E0E94E">
      <w:pPr>
        <w:pStyle w:val="FootnoteText"/>
      </w:pPr>
      <w:r>
        <w:rPr>
          <w:rStyle w:val="FootnoteReference"/>
        </w:rPr>
        <w:footnoteRef/>
      </w:r>
      <w:r>
        <w:t xml:space="preserve"> Pallone-Thune Telephone Robocall Abuse Criminal Enforcement and Deterrence Act, Pub. L. No. 116-105, 133 Stat. 3274 (2019) (TRACED Act).  The TRACED Act was adopted on Dec. 30, 2019.</w:t>
      </w:r>
    </w:p>
  </w:footnote>
  <w:footnote w:id="49">
    <w:p w:rsidR="007B2A7B" w14:paraId="45E85225" w14:textId="788A0F9A">
      <w:pPr>
        <w:pStyle w:val="FootnoteText"/>
      </w:pPr>
      <w:r>
        <w:rPr>
          <w:rStyle w:val="FootnoteReference"/>
        </w:rPr>
        <w:footnoteRef/>
      </w:r>
      <w:r>
        <w:t xml:space="preserve"> The Commission is charged with establishing the Hospital Robocall Protection Group in section 14 of the TRACED </w:t>
      </w:r>
      <w:r>
        <w:t>Act, and</w:t>
      </w:r>
      <w:r>
        <w:t xml:space="preserve"> is in the process of doing so.</w:t>
      </w:r>
      <w:r w:rsidRPr="00D9152D">
        <w:rPr>
          <w:i/>
          <w:iCs/>
          <w:spacing w:val="-2"/>
        </w:rPr>
        <w:t xml:space="preserve"> </w:t>
      </w:r>
      <w:r>
        <w:rPr>
          <w:i/>
          <w:iCs/>
          <w:spacing w:val="-2"/>
        </w:rPr>
        <w:t xml:space="preserve"> See FCC Announces the Establishment of the Hospital Robocall Protection Group and Seeks Nominations for Membership</w:t>
      </w:r>
      <w:r>
        <w:rPr>
          <w:spacing w:val="-2"/>
        </w:rPr>
        <w:t>, Public Notice, 35 FCC Rcd 2895 (CGB 2020).</w:t>
      </w:r>
    </w:p>
  </w:footnote>
  <w:footnote w:id="50">
    <w:p w:rsidR="007B2A7B" w14:paraId="34C7A552" w14:textId="2481D7B5">
      <w:pPr>
        <w:pStyle w:val="FootnoteText"/>
      </w:pPr>
      <w:r>
        <w:rPr>
          <w:rStyle w:val="FootnoteReference"/>
        </w:rPr>
        <w:footnoteRef/>
      </w:r>
      <w:r>
        <w:t xml:space="preserve"> In the one-ring scam, </w:t>
      </w:r>
      <w:r w:rsidRPr="00DB68B9">
        <w:rPr>
          <w:szCs w:val="22"/>
        </w:rPr>
        <w:t>consumer</w:t>
      </w:r>
      <w:r>
        <w:rPr>
          <w:szCs w:val="22"/>
        </w:rPr>
        <w:t>s</w:t>
      </w:r>
      <w:r w:rsidRPr="00DB68B9">
        <w:rPr>
          <w:szCs w:val="22"/>
        </w:rPr>
        <w:t xml:space="preserve"> in the United States</w:t>
      </w:r>
      <w:r>
        <w:rPr>
          <w:szCs w:val="22"/>
        </w:rPr>
        <w:t xml:space="preserve"> receive a call</w:t>
      </w:r>
      <w:r w:rsidRPr="00DB68B9">
        <w:rPr>
          <w:szCs w:val="22"/>
        </w:rPr>
        <w:t xml:space="preserve"> from a foreign country</w:t>
      </w:r>
      <w:r>
        <w:rPr>
          <w:szCs w:val="22"/>
        </w:rPr>
        <w:t>, and, a</w:t>
      </w:r>
      <w:r>
        <w:t xml:space="preserve">fter one ring, the scammer hangs up, causing the consumer to call back and incur significant phone charges.  </w:t>
      </w:r>
      <w:r w:rsidRPr="00BC74B7">
        <w:rPr>
          <w:i/>
          <w:iCs/>
        </w:rPr>
        <w:t xml:space="preserve">See </w:t>
      </w:r>
      <w:r>
        <w:t xml:space="preserve">FCC Consumer Guide, </w:t>
      </w:r>
      <w:r w:rsidRPr="00BC74B7">
        <w:rPr>
          <w:i/>
          <w:iCs/>
        </w:rPr>
        <w:t>“One Ring” Phone Scam</w:t>
      </w:r>
      <w:r>
        <w:t xml:space="preserve"> (May 15, 2019), </w:t>
      </w:r>
      <w:hyperlink r:id="rId27" w:history="1">
        <w:r>
          <w:rPr>
            <w:rStyle w:val="Hyperlink"/>
          </w:rPr>
          <w:t>https://www.fcc.gov/consumers/guides/one-ring-phone-scam</w:t>
        </w:r>
      </w:hyperlink>
      <w:r>
        <w:rPr>
          <w:rStyle w:val="Hyperlink"/>
        </w:rPr>
        <w:t>.</w:t>
      </w:r>
    </w:p>
  </w:footnote>
  <w:footnote w:id="51">
    <w:p w:rsidR="007B2A7B" w:rsidP="009818BF" w14:paraId="65079D48" w14:textId="78D3E943">
      <w:pPr>
        <w:pStyle w:val="FootnoteText"/>
      </w:pPr>
      <w:r>
        <w:rPr>
          <w:rStyle w:val="FootnoteReference"/>
        </w:rPr>
        <w:footnoteRef/>
      </w:r>
      <w:r>
        <w:t xml:space="preserve"> </w:t>
      </w:r>
      <w:r w:rsidRPr="00787638">
        <w:rPr>
          <w:i/>
          <w:iCs/>
          <w:spacing w:val="-2"/>
        </w:rPr>
        <w:t>STIR/SHAKEN Order</w:t>
      </w:r>
      <w:r>
        <w:rPr>
          <w:spacing w:val="-2"/>
        </w:rPr>
        <w:t xml:space="preserve">; </w:t>
      </w:r>
      <w:r>
        <w:rPr>
          <w:i/>
          <w:iCs/>
          <w:spacing w:val="-2"/>
        </w:rPr>
        <w:t>Implementing Section 13(d) of the Pallone-Thune Telephone Robocall Abuse Criminal Enforcement and Deterrence Act (TRACED Act)</w:t>
      </w:r>
      <w:r>
        <w:rPr>
          <w:spacing w:val="-2"/>
        </w:rPr>
        <w:t xml:space="preserve">, EB Docket No. 20-22, Report and Order and Further Notice of Proposed Rulemaking, 35 </w:t>
      </w:r>
      <w:r w:rsidRPr="006A2D18">
        <w:rPr>
          <w:spacing w:val="-2"/>
        </w:rPr>
        <w:t xml:space="preserve">FCC </w:t>
      </w:r>
      <w:r>
        <w:rPr>
          <w:spacing w:val="-2"/>
        </w:rPr>
        <w:t>Rcd 3113 (2020) (</w:t>
      </w:r>
      <w:r>
        <w:rPr>
          <w:i/>
          <w:iCs/>
          <w:spacing w:val="-2"/>
        </w:rPr>
        <w:t>Traceback Consortium Order</w:t>
      </w:r>
      <w:r>
        <w:rPr>
          <w:spacing w:val="-2"/>
        </w:rPr>
        <w:t>) (a</w:t>
      </w:r>
      <w:r w:rsidRPr="00FB4357">
        <w:rPr>
          <w:spacing w:val="-2"/>
        </w:rPr>
        <w:t>s required by the TRACED Act, the Commission adopted rules for a registration process for a consortium to conduct private-led traceback initiatives</w:t>
      </w:r>
      <w:r>
        <w:rPr>
          <w:spacing w:val="-2"/>
        </w:rPr>
        <w:t xml:space="preserve">); </w:t>
      </w:r>
      <w:r>
        <w:rPr>
          <w:i/>
          <w:iCs/>
          <w:spacing w:val="-2"/>
        </w:rPr>
        <w:t>FCC Announces the Establishment of the Hospital Robocall Protection Group and Seeks Nominations for Membership</w:t>
      </w:r>
      <w:r>
        <w:rPr>
          <w:spacing w:val="-2"/>
        </w:rPr>
        <w:t xml:space="preserve">, Public Notice, 35 FCC Rcd 2895 (CGB 2020); </w:t>
      </w:r>
      <w:r w:rsidRPr="0002396B">
        <w:rPr>
          <w:i/>
          <w:iCs/>
          <w:spacing w:val="-2"/>
        </w:rPr>
        <w:t>Protecting Consumers from One-Ring Scams</w:t>
      </w:r>
      <w:r>
        <w:rPr>
          <w:spacing w:val="-2"/>
        </w:rPr>
        <w:t xml:space="preserve">, CG Docket No. 20-93, Notice of Proposed Rulemaking, FCC 20-57 (rel. Apr. 28, 2020) (seeking comment on rules to prevent one-ring scams); </w:t>
      </w:r>
      <w:r w:rsidRPr="0002396B">
        <w:rPr>
          <w:i/>
          <w:iCs/>
          <w:spacing w:val="-2"/>
        </w:rPr>
        <w:t>Amendment of Section 1.80 of the Commission’s Rules</w:t>
      </w:r>
      <w:r>
        <w:rPr>
          <w:spacing w:val="-2"/>
        </w:rPr>
        <w:t>, Order, DA 20-460 (rel. May 1, 2020) (adopting stronger enforcement provisions for illegal robocalls).</w:t>
      </w:r>
    </w:p>
  </w:footnote>
  <w:footnote w:id="52">
    <w:p w:rsidR="007B2A7B" w14:paraId="69E99428" w14:textId="2C619F29">
      <w:pPr>
        <w:pStyle w:val="FootnoteText"/>
      </w:pPr>
      <w:r>
        <w:rPr>
          <w:rStyle w:val="FootnoteReference"/>
        </w:rPr>
        <w:footnoteRef/>
      </w:r>
      <w:r>
        <w:t xml:space="preserve"> </w:t>
      </w:r>
      <w:r w:rsidRPr="00634353">
        <w:t xml:space="preserve">Spoofing is when a caller deliberately falsifies the information transmitted to </w:t>
      </w:r>
      <w:r>
        <w:t>the c</w:t>
      </w:r>
      <w:r w:rsidRPr="00634353">
        <w:t xml:space="preserve">aller ID display to disguise their identity. </w:t>
      </w:r>
      <w:r>
        <w:t xml:space="preserve"> More information about spoofing can be found at FCC Consumer Guides, </w:t>
      </w:r>
      <w:r w:rsidRPr="00860553">
        <w:rPr>
          <w:i/>
          <w:iCs/>
        </w:rPr>
        <w:t>Caller ID Spoofing</w:t>
      </w:r>
      <w:r>
        <w:t xml:space="preserve">, </w:t>
      </w:r>
      <w:hyperlink r:id="rId28" w:history="1">
        <w:r w:rsidRPr="00C67979">
          <w:rPr>
            <w:rStyle w:val="Hyperlink"/>
          </w:rPr>
          <w:t>https://www.fcc.gov/consumers/guides/spoofing-and-caller-id</w:t>
        </w:r>
      </w:hyperlink>
      <w:r>
        <w:t xml:space="preserve"> (last visited June 9, 2020).</w:t>
      </w:r>
    </w:p>
  </w:footnote>
  <w:footnote w:id="53">
    <w:p w:rsidR="007B2A7B" w:rsidP="002A7D1F" w14:paraId="1C49E496" w14:textId="217AE0C7">
      <w:pPr>
        <w:pStyle w:val="FootnoteText"/>
      </w:pPr>
      <w:r>
        <w:rPr>
          <w:rStyle w:val="FootnoteReference"/>
        </w:rPr>
        <w:footnoteRef/>
      </w:r>
      <w:r>
        <w:t xml:space="preserve"> </w:t>
      </w:r>
      <w:r w:rsidRPr="000C1743">
        <w:rPr>
          <w:i/>
          <w:iCs/>
        </w:rPr>
        <w:t xml:space="preserve">2017 </w:t>
      </w:r>
      <w:r w:rsidRPr="00A0041A">
        <w:rPr>
          <w:rFonts w:eastAsia="Calibri"/>
          <w:i/>
        </w:rPr>
        <w:t xml:space="preserve">Call Blocking Report </w:t>
      </w:r>
      <w:r>
        <w:rPr>
          <w:rFonts w:eastAsia="Calibri"/>
          <w:i/>
        </w:rPr>
        <w:t>and</w:t>
      </w:r>
      <w:r w:rsidRPr="00A0041A">
        <w:rPr>
          <w:rFonts w:eastAsia="Calibri"/>
          <w:i/>
        </w:rPr>
        <w:t xml:space="preserve"> Order</w:t>
      </w:r>
      <w:r>
        <w:rPr>
          <w:rFonts w:eastAsia="Calibri"/>
        </w:rPr>
        <w:t>, 32 FCC Rcd at 9707, para. 3.</w:t>
      </w:r>
    </w:p>
  </w:footnote>
  <w:footnote w:id="54">
    <w:p w:rsidR="007B2A7B" w14:paraId="55091BFF" w14:textId="13DCC454">
      <w:pPr>
        <w:pStyle w:val="FootnoteText"/>
      </w:pPr>
      <w:r>
        <w:rPr>
          <w:rStyle w:val="FootnoteReference"/>
        </w:rPr>
        <w:footnoteRef/>
      </w:r>
      <w:r>
        <w:t xml:space="preserve"> </w:t>
      </w:r>
      <w:r w:rsidRPr="00844C12">
        <w:t>47 U.S.C. § 227(e).</w:t>
      </w:r>
    </w:p>
  </w:footnote>
  <w:footnote w:id="55">
    <w:p w:rsidR="007B2A7B" w14:paraId="59D30231" w14:textId="5CAB78CE">
      <w:pPr>
        <w:pStyle w:val="FootnoteText"/>
      </w:pPr>
      <w:r>
        <w:rPr>
          <w:rStyle w:val="FootnoteReference"/>
        </w:rPr>
        <w:footnoteRef/>
      </w:r>
      <w:r>
        <w:t xml:space="preserve"> FCC, </w:t>
      </w:r>
      <w:r w:rsidRPr="00E3618B">
        <w:rPr>
          <w:i/>
          <w:iCs/>
        </w:rPr>
        <w:t>Combatting Spoofed Robocalls with Caller ID Authentication</w:t>
      </w:r>
      <w:r>
        <w:t xml:space="preserve">, </w:t>
      </w:r>
      <w:hyperlink r:id="rId29" w:history="1">
        <w:r>
          <w:rPr>
            <w:rStyle w:val="Hyperlink"/>
          </w:rPr>
          <w:t>https://www.fcc.gov/call-authentication</w:t>
        </w:r>
      </w:hyperlink>
      <w:r>
        <w:t xml:space="preserve"> (last visited June 9, 2020).</w:t>
      </w:r>
    </w:p>
  </w:footnote>
  <w:footnote w:id="56">
    <w:p w:rsidR="007B2A7B" w:rsidP="000253A8" w14:paraId="3FD06E44" w14:textId="7A32F074">
      <w:pPr>
        <w:pStyle w:val="FootnoteText"/>
      </w:pPr>
      <w:r>
        <w:rPr>
          <w:rStyle w:val="FootnoteReference"/>
        </w:rPr>
        <w:footnoteRef/>
      </w:r>
      <w:r>
        <w:t xml:space="preserve"> </w:t>
      </w:r>
      <w:r w:rsidRPr="00035E64">
        <w:t>TRACED Act, § 4(b)(1)(A), (</w:t>
      </w:r>
      <w:r w:rsidRPr="00035E64">
        <w:rPr>
          <w:rFonts w:eastAsia="Segoe UI Emoji"/>
        </w:rPr>
        <w:t>B).</w:t>
      </w:r>
      <w:r>
        <w:rPr>
          <w:rFonts w:eastAsia="Segoe UI Emoji"/>
        </w:rPr>
        <w:t xml:space="preserve"> </w:t>
      </w:r>
      <w:r w:rsidRPr="00035E64">
        <w:t xml:space="preserve"> In addition, the TRACED Act provides that “[t]he Commission shall prohibit providers of voice service from adding any additional line</w:t>
      </w:r>
      <w:r>
        <w:t>-</w:t>
      </w:r>
      <w:r w:rsidRPr="00035E64">
        <w:t>item charges to consumer or small business customer subscribers for the effective call authentication technology required.”  TRACED Act, § 4(b)(6).</w:t>
      </w:r>
    </w:p>
  </w:footnote>
  <w:footnote w:id="57">
    <w:p w:rsidR="007B2A7B" w:rsidP="008B669B" w14:paraId="3A22F60E" w14:textId="55CE28BB">
      <w:pPr>
        <w:pStyle w:val="FootnoteText"/>
      </w:pPr>
      <w:r>
        <w:rPr>
          <w:rStyle w:val="FootnoteReference"/>
        </w:rPr>
        <w:footnoteRef/>
      </w:r>
      <w:r>
        <w:t xml:space="preserve"> </w:t>
      </w:r>
      <w:r w:rsidRPr="00907C11">
        <w:rPr>
          <w:i/>
          <w:iCs/>
        </w:rPr>
        <w:t>2019</w:t>
      </w:r>
      <w:r>
        <w:t xml:space="preserve"> </w:t>
      </w:r>
      <w:r w:rsidRPr="00ED361D">
        <w:rPr>
          <w:i/>
        </w:rPr>
        <w:t>Call Blocking Declaratory Ruling</w:t>
      </w:r>
      <w:r>
        <w:t>, 34 FCC Rcd at 4883, para. 21.</w:t>
      </w:r>
      <w:r w:rsidRPr="001E050C">
        <w:rPr>
          <w:rFonts w:eastAsia="Calibri"/>
        </w:rPr>
        <w:t xml:space="preserve"> </w:t>
      </w:r>
      <w:r>
        <w:rPr>
          <w:rFonts w:eastAsia="Calibri"/>
        </w:rPr>
        <w:t xml:space="preserve"> </w:t>
      </w:r>
      <w:r w:rsidRPr="005C51A6">
        <w:rPr>
          <w:rFonts w:eastAsia="Calibri"/>
        </w:rPr>
        <w:t xml:space="preserve">SHAKEN, or Signature-based Handling of Asserted information using </w:t>
      </w:r>
      <w:r w:rsidRPr="005C51A6">
        <w:rPr>
          <w:rFonts w:eastAsia="Calibri"/>
        </w:rPr>
        <w:t>toKENS</w:t>
      </w:r>
      <w:r w:rsidRPr="005C51A6">
        <w:rPr>
          <w:rFonts w:eastAsia="Calibri"/>
        </w:rPr>
        <w:t xml:space="preserve">, and STIR, or Secure Telephony Identity Revisited, uses public key cryptography to provide assurances that certain information about the transmitted </w:t>
      </w:r>
      <w:r>
        <w:rPr>
          <w:rFonts w:eastAsia="Calibri"/>
        </w:rPr>
        <w:t>c</w:t>
      </w:r>
      <w:r w:rsidRPr="005C51A6">
        <w:rPr>
          <w:rFonts w:eastAsia="Calibri"/>
        </w:rPr>
        <w:t>aller ID is accurate</w:t>
      </w:r>
      <w:r>
        <w:rPr>
          <w:rFonts w:eastAsia="Calibri"/>
        </w:rPr>
        <w:t>.</w:t>
      </w:r>
      <w:r w:rsidRPr="001E050C">
        <w:rPr>
          <w:i/>
        </w:rPr>
        <w:t xml:space="preserve"> </w:t>
      </w:r>
      <w:r>
        <w:rPr>
          <w:i/>
        </w:rPr>
        <w:t xml:space="preserve"> Id</w:t>
      </w:r>
      <w:r>
        <w:t>.</w:t>
      </w:r>
    </w:p>
  </w:footnote>
  <w:footnote w:id="58">
    <w:p w:rsidR="007B2A7B" w:rsidP="00434DAD" w14:paraId="6A463845" w14:textId="13EA8839">
      <w:pPr>
        <w:pStyle w:val="FootnoteText"/>
      </w:pPr>
      <w:r>
        <w:rPr>
          <w:rStyle w:val="FootnoteReference"/>
        </w:rPr>
        <w:footnoteRef/>
      </w:r>
      <w:r>
        <w:t xml:space="preserve"> </w:t>
      </w:r>
      <w:r>
        <w:rPr>
          <w:i/>
          <w:iCs/>
        </w:rPr>
        <w:t>Id</w:t>
      </w:r>
      <w:r>
        <w:t>.</w:t>
      </w:r>
    </w:p>
  </w:footnote>
  <w:footnote w:id="59">
    <w:p w:rsidR="007B2A7B" w:rsidP="00434DAD" w14:paraId="22E9B052" w14:textId="1931D715">
      <w:pPr>
        <w:pStyle w:val="FootnoteText"/>
      </w:pPr>
      <w:r>
        <w:rPr>
          <w:rStyle w:val="FootnoteReference"/>
        </w:rPr>
        <w:footnoteRef/>
      </w:r>
      <w:r>
        <w:t xml:space="preserve"> </w:t>
      </w:r>
      <w:r>
        <w:rPr>
          <w:i/>
          <w:iCs/>
        </w:rPr>
        <w:t>Id</w:t>
      </w:r>
      <w:r>
        <w:t>.</w:t>
      </w:r>
    </w:p>
  </w:footnote>
  <w:footnote w:id="60">
    <w:p w:rsidR="007B2A7B" w:rsidRPr="006D3479" w14:paraId="78E7F759" w14:textId="6D90ABC8">
      <w:pPr>
        <w:pStyle w:val="FootnoteText"/>
      </w:pPr>
      <w:r>
        <w:rPr>
          <w:rStyle w:val="FootnoteReference"/>
        </w:rPr>
        <w:footnoteRef/>
      </w:r>
      <w:r>
        <w:t xml:space="preserve"> </w:t>
      </w:r>
      <w:r w:rsidRPr="00787638">
        <w:rPr>
          <w:i/>
          <w:iCs/>
          <w:spacing w:val="-2"/>
        </w:rPr>
        <w:t>STIR/SHAKEN Order</w:t>
      </w:r>
      <w:r>
        <w:rPr>
          <w:spacing w:val="-2"/>
        </w:rPr>
        <w:t>, 35 FCC Rcd</w:t>
      </w:r>
      <w:r w:rsidRPr="008E0FE6">
        <w:rPr>
          <w:spacing w:val="-2"/>
        </w:rPr>
        <w:t xml:space="preserve"> </w:t>
      </w:r>
      <w:r>
        <w:rPr>
          <w:spacing w:val="-2"/>
        </w:rPr>
        <w:t>at 3245, para. 8.</w:t>
      </w:r>
    </w:p>
  </w:footnote>
  <w:footnote w:id="61">
    <w:p w:rsidR="007B2A7B" w14:paraId="7A1DF9ED" w14:textId="25C805D5">
      <w:pPr>
        <w:pStyle w:val="FootnoteText"/>
      </w:pPr>
      <w:r>
        <w:rPr>
          <w:rStyle w:val="FootnoteReference"/>
        </w:rPr>
        <w:footnoteRef/>
      </w:r>
      <w:r>
        <w:t xml:space="preserve"> </w:t>
      </w:r>
      <w:r w:rsidRPr="008C1D4F">
        <w:rPr>
          <w:i/>
          <w:iCs/>
        </w:rPr>
        <w:t>See</w:t>
      </w:r>
      <w:r w:rsidRPr="00D1765C">
        <w:t>,</w:t>
      </w:r>
      <w:r w:rsidRPr="008C1D4F">
        <w:rPr>
          <w:i/>
          <w:iCs/>
        </w:rPr>
        <w:t xml:space="preserve"> e.g</w:t>
      </w:r>
      <w:r>
        <w:t xml:space="preserve">., AT&amp;T, </w:t>
      </w:r>
      <w:r w:rsidRPr="0002396B">
        <w:rPr>
          <w:i/>
          <w:iCs/>
        </w:rPr>
        <w:t>AT&amp;T Activates Call Validation Displays</w:t>
      </w:r>
      <w:r>
        <w:t xml:space="preserve">, (Dec. 18, 2019), </w:t>
      </w:r>
      <w:hyperlink r:id="rId30" w:history="1">
        <w:r>
          <w:rPr>
            <w:rStyle w:val="Hyperlink"/>
          </w:rPr>
          <w:t>https://about.att.com/story/2019/call_validation_displays.html</w:t>
        </w:r>
      </w:hyperlink>
      <w:r>
        <w:t xml:space="preserve">; Verizon, </w:t>
      </w:r>
      <w:r w:rsidRPr="008C1D4F">
        <w:rPr>
          <w:i/>
          <w:iCs/>
        </w:rPr>
        <w:t>Helping our Customers Block Robocalls</w:t>
      </w:r>
      <w:r>
        <w:t xml:space="preserve">, </w:t>
      </w:r>
      <w:hyperlink r:id="rId31" w:history="1">
        <w:r>
          <w:rPr>
            <w:rStyle w:val="Hyperlink"/>
          </w:rPr>
          <w:t>https://www.verizon.com/about/responsibility/robocalls</w:t>
        </w:r>
      </w:hyperlink>
      <w:r>
        <w:t xml:space="preserve"> (last visited June 9, 2020); T-Mobile,</w:t>
      </w:r>
      <w:r w:rsidRPr="0011272E">
        <w:rPr>
          <w:i/>
          <w:iCs/>
        </w:rPr>
        <w:t xml:space="preserve"> </w:t>
      </w:r>
      <w:r w:rsidRPr="0011272E">
        <w:rPr>
          <w:i/>
          <w:iCs/>
        </w:rPr>
        <w:t>Mobile Security</w:t>
      </w:r>
      <w:r>
        <w:t xml:space="preserve">, </w:t>
      </w:r>
      <w:hyperlink r:id="rId32" w:history="1">
        <w:r>
          <w:rPr>
            <w:rStyle w:val="Hyperlink"/>
          </w:rPr>
          <w:t>https://www.t-mobile.com/customers/mobile-security</w:t>
        </w:r>
      </w:hyperlink>
      <w:r>
        <w:t xml:space="preserve"> (last visited June 9, 2020).    </w:t>
      </w:r>
    </w:p>
  </w:footnote>
  <w:footnote w:id="62">
    <w:p w:rsidR="007B2A7B" w:rsidRPr="0059298F" w:rsidP="0011159F" w14:paraId="59F4D07F" w14:textId="3F837E2F">
      <w:pPr>
        <w:pStyle w:val="FootnoteText"/>
      </w:pPr>
      <w:r w:rsidRPr="0059298F">
        <w:rPr>
          <w:rStyle w:val="FootnoteReference"/>
        </w:rPr>
        <w:footnoteRef/>
      </w:r>
      <w:r w:rsidRPr="0059298F">
        <w:t xml:space="preserve"> </w:t>
      </w:r>
      <w:r w:rsidRPr="0059298F">
        <w:rPr>
          <w:i/>
        </w:rPr>
        <w:t>Call Authentication Trust Anchor</w:t>
      </w:r>
      <w:r w:rsidRPr="0059298F">
        <w:t>, WC Docket No. 17-97, Notice of Inquiry, 32 FCC Rcd 5988 (2017) (</w:t>
      </w:r>
      <w:r w:rsidRPr="0059298F">
        <w:rPr>
          <w:i/>
        </w:rPr>
        <w:t>Call Authentication NOI</w:t>
      </w:r>
      <w:r w:rsidRPr="0059298F">
        <w:t>).</w:t>
      </w:r>
    </w:p>
  </w:footnote>
  <w:footnote w:id="63">
    <w:p w:rsidR="007B2A7B" w:rsidP="0011159F" w14:paraId="1FEF7367" w14:textId="77777777">
      <w:pPr>
        <w:pStyle w:val="FootnoteText"/>
      </w:pPr>
      <w:r>
        <w:rPr>
          <w:rStyle w:val="FootnoteReference"/>
        </w:rPr>
        <w:footnoteRef/>
      </w:r>
      <w:r>
        <w:t xml:space="preserve"> Call Authentication Trust Anchor Working Grp., N. Am. Numbering Council, </w:t>
      </w:r>
      <w:r w:rsidRPr="007F059B">
        <w:t>Report</w:t>
      </w:r>
      <w:r>
        <w:t xml:space="preserve"> </w:t>
      </w:r>
      <w:r w:rsidRPr="007F059B">
        <w:t>on</w:t>
      </w:r>
      <w:r>
        <w:t xml:space="preserve"> </w:t>
      </w:r>
      <w:r w:rsidRPr="007F059B">
        <w:t>Selection</w:t>
      </w:r>
      <w:r>
        <w:t xml:space="preserve"> </w:t>
      </w:r>
      <w:r w:rsidRPr="007F059B">
        <w:t>of</w:t>
      </w:r>
      <w:r>
        <w:t xml:space="preserve"> </w:t>
      </w:r>
      <w:r w:rsidRPr="007F059B">
        <w:t>Governance</w:t>
      </w:r>
      <w:r>
        <w:t xml:space="preserve"> </w:t>
      </w:r>
      <w:r w:rsidRPr="007F059B">
        <w:t>Authority</w:t>
      </w:r>
      <w:r>
        <w:t xml:space="preserve"> </w:t>
      </w:r>
      <w:r w:rsidRPr="007F059B">
        <w:t>and</w:t>
      </w:r>
      <w:r>
        <w:t xml:space="preserve"> </w:t>
      </w:r>
      <w:r w:rsidRPr="007F059B">
        <w:t>Timely</w:t>
      </w:r>
      <w:r>
        <w:t xml:space="preserve"> </w:t>
      </w:r>
      <w:r w:rsidRPr="007F059B">
        <w:t>Deployment</w:t>
      </w:r>
      <w:r>
        <w:t xml:space="preserve"> </w:t>
      </w:r>
      <w:r w:rsidRPr="007F059B">
        <w:t>of</w:t>
      </w:r>
      <w:r>
        <w:t xml:space="preserve"> </w:t>
      </w:r>
      <w:r w:rsidRPr="007F059B">
        <w:t>SHAKEN/STIR</w:t>
      </w:r>
      <w:r>
        <w:t xml:space="preserve"> at</w:t>
      </w:r>
      <w:r w:rsidRPr="007F059B">
        <w:t xml:space="preserve"> </w:t>
      </w:r>
      <w:r>
        <w:t xml:space="preserve">7 (2018), </w:t>
      </w:r>
      <w:hyperlink r:id="rId33" w:history="1">
        <w:r w:rsidRPr="00670E1E">
          <w:rPr>
            <w:rStyle w:val="Hyperlink"/>
          </w:rPr>
          <w:t>http://nanc-chair.org/docs/mtg_docs/May_18_Call_Authentication_Trust_Anchor_NANC_Final_Report.pdf</w:t>
        </w:r>
      </w:hyperlink>
      <w:r>
        <w:t xml:space="preserve"> (2018 NANC Working Group Report).</w:t>
      </w:r>
    </w:p>
  </w:footnote>
  <w:footnote w:id="64">
    <w:p w:rsidR="007B2A7B" w:rsidP="0011159F" w14:paraId="402AF309" w14:textId="3DA72254">
      <w:pPr>
        <w:pStyle w:val="FootnoteText"/>
      </w:pPr>
      <w:r>
        <w:rPr>
          <w:rStyle w:val="FootnoteReference"/>
        </w:rPr>
        <w:footnoteRef/>
      </w:r>
      <w:r>
        <w:t xml:space="preserve"> 2018 NANC Working Group Report at 17.</w:t>
      </w:r>
    </w:p>
  </w:footnote>
  <w:footnote w:id="65">
    <w:p w:rsidR="007B2A7B" w:rsidRPr="0059298F" w:rsidP="0011159F" w14:paraId="6E9DB955" w14:textId="38A5DA7D">
      <w:pPr>
        <w:pStyle w:val="FootnoteText"/>
      </w:pPr>
      <w:r w:rsidRPr="0059298F">
        <w:rPr>
          <w:rStyle w:val="FootnoteReference"/>
        </w:rPr>
        <w:footnoteRef/>
      </w:r>
      <w:r w:rsidRPr="0059298F">
        <w:t xml:space="preserve"> Press </w:t>
      </w:r>
      <w:r>
        <w:t>R</w:t>
      </w:r>
      <w:r w:rsidRPr="0059298F">
        <w:t>elease, FCC,</w:t>
      </w:r>
      <w:r>
        <w:t xml:space="preserve"> </w:t>
      </w:r>
      <w:r w:rsidRPr="0059298F">
        <w:t xml:space="preserve">Chairman Pai </w:t>
      </w:r>
      <w:r>
        <w:t xml:space="preserve">Calls on Industry to Adopt Anti-Spoofing Protocols to Help Consumers Combat Scam Robocalls </w:t>
      </w:r>
      <w:r w:rsidRPr="0059298F">
        <w:t xml:space="preserve">(Nov. 5, 2018), </w:t>
      </w:r>
      <w:hyperlink r:id="rId34" w:history="1">
        <w:r w:rsidRPr="0059298F">
          <w:rPr>
            <w:rStyle w:val="Hyperlink"/>
          </w:rPr>
          <w:t>https://www.fcc.gov/document/chairman-pai-demands-industry-adopt-protocols-end-illegal-spoofing</w:t>
        </w:r>
      </w:hyperlink>
      <w:r w:rsidRPr="0059298F">
        <w:t xml:space="preserve">; </w:t>
      </w:r>
      <w:r w:rsidRPr="0059298F">
        <w:rPr>
          <w:i/>
        </w:rPr>
        <w:t xml:space="preserve">see also </w:t>
      </w:r>
      <w:r w:rsidRPr="0059298F">
        <w:t xml:space="preserve">Press Release, FCC, Chairman Pai: </w:t>
      </w:r>
      <w:r>
        <w:t>Caller ID</w:t>
      </w:r>
      <w:r w:rsidRPr="0059298F">
        <w:t xml:space="preserve"> Authentication </w:t>
      </w:r>
      <w:r>
        <w:t>I</w:t>
      </w:r>
      <w:r w:rsidRPr="0059298F">
        <w:t xml:space="preserve">s Necessary for American Consumers in 2019 (Feb. 13, 2019), </w:t>
      </w:r>
      <w:hyperlink r:id="rId35" w:history="1">
        <w:r w:rsidRPr="0059298F">
          <w:rPr>
            <w:rStyle w:val="Hyperlink"/>
          </w:rPr>
          <w:t>https://docs.fcc.gov/public/attachments/DOC-356187A1.pdf</w:t>
        </w:r>
      </w:hyperlink>
      <w:r w:rsidRPr="0059298F">
        <w:t>.</w:t>
      </w:r>
    </w:p>
  </w:footnote>
  <w:footnote w:id="66">
    <w:p w:rsidR="007B2A7B" w:rsidRPr="0059298F" w:rsidP="0011159F" w14:paraId="33DBEDD0" w14:textId="0378446F">
      <w:pPr>
        <w:pStyle w:val="FootnoteText"/>
      </w:pPr>
      <w:r w:rsidRPr="0059298F">
        <w:rPr>
          <w:rStyle w:val="FootnoteReference"/>
        </w:rPr>
        <w:footnoteRef/>
      </w:r>
      <w:r w:rsidRPr="0059298F">
        <w:t xml:space="preserve"> </w:t>
      </w:r>
      <w:r w:rsidRPr="005B70AF">
        <w:rPr>
          <w:i/>
          <w:iCs/>
        </w:rPr>
        <w:t xml:space="preserve">2019 </w:t>
      </w:r>
      <w:r>
        <w:rPr>
          <w:i/>
        </w:rPr>
        <w:t>Call Blocking Declaratory Ruling</w:t>
      </w:r>
      <w:r w:rsidRPr="0059298F">
        <w:t xml:space="preserve">, 34 FCC Rcd </w:t>
      </w:r>
      <w:r>
        <w:t xml:space="preserve">at </w:t>
      </w:r>
      <w:r w:rsidRPr="0059298F">
        <w:t>4898-4902</w:t>
      </w:r>
      <w:r>
        <w:t>, paras. 71-82</w:t>
      </w:r>
      <w:r w:rsidRPr="0059298F">
        <w:t>.</w:t>
      </w:r>
    </w:p>
  </w:footnote>
  <w:footnote w:id="67">
    <w:p w:rsidR="007B2A7B" w:rsidP="0011159F" w14:paraId="173F08D3" w14:textId="43A7ADA4">
      <w:pPr>
        <w:pStyle w:val="FootnoteText"/>
      </w:pPr>
      <w:r>
        <w:rPr>
          <w:rStyle w:val="FootnoteReference"/>
        </w:rPr>
        <w:footnoteRef/>
      </w:r>
      <w:r>
        <w:t xml:space="preserve"> </w:t>
      </w:r>
      <w:r w:rsidRPr="00787638">
        <w:rPr>
          <w:i/>
          <w:iCs/>
          <w:spacing w:val="-2"/>
        </w:rPr>
        <w:t>STIR/SHAKEN Order</w:t>
      </w:r>
      <w:r>
        <w:t>, 35 FCC Rcd</w:t>
      </w:r>
      <w:r w:rsidRPr="008E0FE6">
        <w:t xml:space="preserve"> </w:t>
      </w:r>
      <w:r>
        <w:t>at 3252-68, paras. 24-56.</w:t>
      </w:r>
    </w:p>
  </w:footnote>
  <w:footnote w:id="68">
    <w:p w:rsidR="007B2A7B" w:rsidP="0011159F" w14:paraId="68424C55" w14:textId="12BD3B1B">
      <w:pPr>
        <w:pStyle w:val="FootnoteText"/>
      </w:pPr>
      <w:r>
        <w:rPr>
          <w:rStyle w:val="FootnoteReference"/>
        </w:rPr>
        <w:footnoteRef/>
      </w:r>
      <w:r>
        <w:t xml:space="preserve"> </w:t>
      </w:r>
      <w:r>
        <w:rPr>
          <w:i/>
          <w:iCs/>
          <w:spacing w:val="-2"/>
        </w:rPr>
        <w:t>Id.</w:t>
      </w:r>
      <w:r>
        <w:t xml:space="preserve"> at 3268-96, paras. 57-130.</w:t>
      </w:r>
    </w:p>
  </w:footnote>
  <w:footnote w:id="69">
    <w:p w:rsidR="007B2A7B" w:rsidP="004B47C1" w14:paraId="54F43565" w14:textId="0B6D0F68">
      <w:pPr>
        <w:pStyle w:val="FootnoteText"/>
      </w:pPr>
      <w:r>
        <w:rPr>
          <w:rStyle w:val="FootnoteReference"/>
        </w:rPr>
        <w:footnoteRef/>
      </w:r>
      <w:r>
        <w:t xml:space="preserve"> On April 1, 2020, T-Mobile and Sprint completed their merger.  </w:t>
      </w:r>
      <w:r w:rsidRPr="00D66CAE">
        <w:rPr>
          <w:i/>
          <w:iCs/>
        </w:rPr>
        <w:t>See</w:t>
      </w:r>
      <w:r>
        <w:t xml:space="preserve"> Press Release, T-Mobile Completes Merger </w:t>
      </w:r>
      <w:r>
        <w:t>With</w:t>
      </w:r>
      <w:r>
        <w:t xml:space="preserve"> Sprint to Create the New T-Mobile, (Apr. 1. 2020), </w:t>
      </w:r>
      <w:hyperlink r:id="rId36" w:history="1">
        <w:r>
          <w:rPr>
            <w:rStyle w:val="Hyperlink"/>
          </w:rPr>
          <w:t>https://investor.t-mobile.com/news-and-events/t-mobile-us-press-releases/press-release-details/2020/T-Mobile-Completes-Merger-with-Sprint-to-Create-the-New-T-Mobile/default.aspx</w:t>
        </w:r>
      </w:hyperlink>
      <w:r>
        <w:t>.  Currently, the Sprint brand still exists, as part of T-Mobile.</w:t>
      </w:r>
      <w:r w:rsidRPr="006C2CA4">
        <w:rPr>
          <w:i/>
          <w:iCs/>
        </w:rPr>
        <w:t xml:space="preserve"> </w:t>
      </w:r>
      <w:r>
        <w:rPr>
          <w:i/>
          <w:iCs/>
        </w:rPr>
        <w:t xml:space="preserve"> </w:t>
      </w:r>
      <w:r w:rsidRPr="006C2CA4">
        <w:rPr>
          <w:i/>
          <w:iCs/>
        </w:rPr>
        <w:t>See</w:t>
      </w:r>
      <w:r>
        <w:t xml:space="preserve"> </w:t>
      </w:r>
      <w:r w:rsidRPr="008E0FE6">
        <w:rPr>
          <w:i/>
        </w:rPr>
        <w:t>We’re Bringing Sprint into the Family</w:t>
      </w:r>
      <w:r>
        <w:t>,</w:t>
      </w:r>
      <w:r w:rsidRPr="006C2CA4">
        <w:t xml:space="preserve"> </w:t>
      </w:r>
      <w:hyperlink r:id="rId37" w:history="1">
        <w:r>
          <w:rPr>
            <w:rStyle w:val="Hyperlink"/>
          </w:rPr>
          <w:t>https://www.t-mobile.com/brand/t-mobile-sprint-merger-updates</w:t>
        </w:r>
      </w:hyperlink>
      <w:r>
        <w:t xml:space="preserve"> (last visited June 9, 2020).</w:t>
      </w:r>
    </w:p>
  </w:footnote>
  <w:footnote w:id="70">
    <w:p w:rsidR="007B2A7B" w:rsidP="004B47C1" w14:paraId="37B138F6" w14:textId="71CC8AE7">
      <w:pPr>
        <w:pStyle w:val="FootnoteText"/>
      </w:pPr>
      <w:r>
        <w:rPr>
          <w:rStyle w:val="FootnoteReference"/>
        </w:rPr>
        <w:footnoteRef/>
      </w:r>
      <w:r>
        <w:t xml:space="preserve"> </w:t>
      </w:r>
      <w:bookmarkStart w:id="3" w:name="_Hlk40347458"/>
      <w:r>
        <w:rPr>
          <w:rFonts w:eastAsia="Calibri"/>
        </w:rPr>
        <w:t>The Commission does not regulate third-party analytics companies and therefore does not have information on how many consumers subscribe to these services.</w:t>
      </w:r>
      <w:r w:rsidRPr="00F80ECE">
        <w:t xml:space="preserve"> </w:t>
      </w:r>
      <w:r>
        <w:t xml:space="preserve"> </w:t>
      </w:r>
      <w:r>
        <w:rPr>
          <w:rFonts w:eastAsia="Calibri"/>
        </w:rPr>
        <w:t>T</w:t>
      </w:r>
      <w:r w:rsidRPr="00F80ECE">
        <w:rPr>
          <w:rFonts w:eastAsia="Calibri"/>
        </w:rPr>
        <w:t>hose companies are not</w:t>
      </w:r>
      <w:r>
        <w:rPr>
          <w:rFonts w:eastAsia="Calibri"/>
        </w:rPr>
        <w:t xml:space="preserve"> </w:t>
      </w:r>
      <w:r w:rsidRPr="00F80ECE">
        <w:rPr>
          <w:rFonts w:eastAsia="Calibri"/>
        </w:rPr>
        <w:t>exempt from the FTC</w:t>
      </w:r>
      <w:r>
        <w:rPr>
          <w:rFonts w:eastAsia="Calibri"/>
        </w:rPr>
        <w:t>’</w:t>
      </w:r>
      <w:r w:rsidRPr="00F80ECE">
        <w:rPr>
          <w:rFonts w:eastAsia="Calibri"/>
        </w:rPr>
        <w:t>s plenary jurisdiction</w:t>
      </w:r>
      <w:r>
        <w:rPr>
          <w:rFonts w:eastAsia="Calibri"/>
        </w:rPr>
        <w:t xml:space="preserve">, however, and </w:t>
      </w:r>
      <w:r w:rsidRPr="00F80ECE">
        <w:rPr>
          <w:rFonts w:eastAsia="Calibri"/>
        </w:rPr>
        <w:t>are subject to the laws and regulations that the FTC enforces</w:t>
      </w:r>
      <w:bookmarkEnd w:id="3"/>
      <w:r w:rsidRPr="00F80ECE">
        <w:rPr>
          <w:rFonts w:eastAsia="Calibri"/>
        </w:rPr>
        <w:t xml:space="preserve">. </w:t>
      </w:r>
    </w:p>
  </w:footnote>
  <w:footnote w:id="71">
    <w:p w:rsidR="007B2A7B" w:rsidP="004B47C1" w14:paraId="24E303F8" w14:textId="74C225C1">
      <w:pPr>
        <w:pStyle w:val="FootnoteText"/>
      </w:pPr>
      <w:r>
        <w:rPr>
          <w:rStyle w:val="FootnoteReference"/>
        </w:rPr>
        <w:footnoteRef/>
      </w:r>
      <w:r>
        <w:t xml:space="preserve"> CTIA Comments at 9;</w:t>
      </w:r>
      <w:r w:rsidRPr="005E7ADA">
        <w:rPr>
          <w:i/>
          <w:iCs/>
        </w:rPr>
        <w:t xml:space="preserve"> </w:t>
      </w:r>
      <w:r>
        <w:rPr>
          <w:i/>
          <w:iCs/>
        </w:rPr>
        <w:t xml:space="preserve">see </w:t>
      </w:r>
      <w:r>
        <w:t>AT&amp;T,</w:t>
      </w:r>
      <w:r>
        <w:rPr>
          <w:i/>
          <w:iCs/>
        </w:rPr>
        <w:t xml:space="preserve"> </w:t>
      </w:r>
      <w:r w:rsidRPr="005F777B">
        <w:rPr>
          <w:i/>
          <w:iCs/>
        </w:rPr>
        <w:t>Block Robocalls and Other Unwanted Calls</w:t>
      </w:r>
      <w:r>
        <w:t xml:space="preserve">, </w:t>
      </w:r>
      <w:hyperlink r:id="rId38" w:history="1">
        <w:r w:rsidRPr="006A6E08">
          <w:rPr>
            <w:rStyle w:val="Hyperlink"/>
          </w:rPr>
          <w:t>https://www.att.com/help/robocalling.html</w:t>
        </w:r>
      </w:hyperlink>
      <w:r>
        <w:t xml:space="preserve"> (last visited June 9, 2020);</w:t>
      </w:r>
      <w:r w:rsidRPr="00034482">
        <w:rPr>
          <w:i/>
          <w:iCs/>
        </w:rPr>
        <w:t xml:space="preserve"> </w:t>
      </w:r>
      <w:r w:rsidRPr="005F777B">
        <w:rPr>
          <w:i/>
          <w:iCs/>
        </w:rPr>
        <w:t>AT&amp;T Call Protect Expands Service</w:t>
      </w:r>
      <w:r>
        <w:t xml:space="preserve">, (July 9, 2019) </w:t>
      </w:r>
      <w:hyperlink r:id="rId39" w:history="1">
        <w:r w:rsidRPr="008B37A7">
          <w:rPr>
            <w:rStyle w:val="Hyperlink"/>
          </w:rPr>
          <w:t>https://about.att.com/story/2019/att_call_protect.html</w:t>
        </w:r>
      </w:hyperlink>
      <w:r>
        <w:t>.</w:t>
      </w:r>
    </w:p>
  </w:footnote>
  <w:footnote w:id="72">
    <w:p w:rsidR="007B2A7B" w:rsidP="004B47C1" w14:paraId="341C0953" w14:textId="77777777">
      <w:pPr>
        <w:pStyle w:val="FootnoteText"/>
      </w:pPr>
      <w:r>
        <w:rPr>
          <w:rStyle w:val="FootnoteReference"/>
        </w:rPr>
        <w:footnoteRef/>
      </w:r>
      <w:r>
        <w:t xml:space="preserve"> CTIA Comments at 10; Letter from Charles Morgan, CEO and Chairman, First Orion, to G. Patrick Webre, Chief, FCC Consumer and Governmental Affairs Bureau, CG Docket No. 17-59, at 1 (Feb. 28, 2020) (First Orion Letter).</w:t>
      </w:r>
    </w:p>
  </w:footnote>
  <w:footnote w:id="73">
    <w:p w:rsidR="007B2A7B" w:rsidP="004B47C1" w14:paraId="329E92E4" w14:textId="4CF3D701">
      <w:pPr>
        <w:pStyle w:val="FootnoteText"/>
      </w:pPr>
      <w:r>
        <w:rPr>
          <w:rStyle w:val="FootnoteReference"/>
        </w:rPr>
        <w:footnoteRef/>
      </w:r>
      <w:r>
        <w:t xml:space="preserve"> CTIA Comments at 9;</w:t>
      </w:r>
      <w:r w:rsidRPr="005E7ADA">
        <w:rPr>
          <w:i/>
          <w:iCs/>
        </w:rPr>
        <w:t xml:space="preserve"> </w:t>
      </w:r>
      <w:r>
        <w:rPr>
          <w:i/>
          <w:iCs/>
        </w:rPr>
        <w:t xml:space="preserve">see </w:t>
      </w:r>
      <w:r>
        <w:t>Verizon,</w:t>
      </w:r>
      <w:r>
        <w:rPr>
          <w:i/>
          <w:iCs/>
        </w:rPr>
        <w:t xml:space="preserve"> </w:t>
      </w:r>
      <w:r w:rsidRPr="005F777B">
        <w:rPr>
          <w:i/>
          <w:iCs/>
        </w:rPr>
        <w:t>How to Block Numbers, Calls, Ads, Text Messages &amp; Emails</w:t>
      </w:r>
      <w:r>
        <w:t xml:space="preserve">, </w:t>
      </w:r>
      <w:hyperlink r:id="rId40" w:history="1">
        <w:r>
          <w:rPr>
            <w:rStyle w:val="Hyperlink"/>
          </w:rPr>
          <w:t>https://www.verizonwireless.com/support/block-numbers</w:t>
        </w:r>
      </w:hyperlink>
      <w:r w:rsidRPr="005F777B">
        <w:rPr>
          <w:rStyle w:val="Hyperlink"/>
          <w:u w:val="none"/>
        </w:rPr>
        <w:t xml:space="preserve"> </w:t>
      </w:r>
      <w:r>
        <w:t xml:space="preserve">(last visited June 9, 2020); </w:t>
      </w:r>
      <w:r w:rsidRPr="005F777B">
        <w:rPr>
          <w:i/>
          <w:iCs/>
        </w:rPr>
        <w:t>Verizon Offers New Ways to Battle Robocalls</w:t>
      </w:r>
      <w:r>
        <w:t xml:space="preserve"> (Mar. 28, 2019), </w:t>
      </w:r>
      <w:hyperlink r:id="rId41" w:history="1">
        <w:r>
          <w:rPr>
            <w:rStyle w:val="Hyperlink"/>
          </w:rPr>
          <w:t>https://www.verizon.com/about/news/verizon-offers-new-ways-battle-robocalls</w:t>
        </w:r>
      </w:hyperlink>
      <w:r w:rsidRPr="000001DC">
        <w:rPr>
          <w:rStyle w:val="Hyperlink"/>
          <w:u w:val="none"/>
        </w:rPr>
        <w:t>;</w:t>
      </w:r>
      <w:r w:rsidRPr="005E7ADA">
        <w:rPr>
          <w:rStyle w:val="Hyperlink"/>
          <w:i/>
          <w:iCs/>
          <w:color w:val="auto"/>
          <w:u w:val="none"/>
        </w:rPr>
        <w:t xml:space="preserve"> </w:t>
      </w:r>
      <w:r w:rsidRPr="00166E2D">
        <w:rPr>
          <w:rStyle w:val="Hyperlink"/>
          <w:i/>
          <w:iCs/>
          <w:color w:val="auto"/>
          <w:u w:val="none"/>
        </w:rPr>
        <w:t>Stop Unwanted Calls, Identify and Block Spam with Sprint Call Screener</w:t>
      </w:r>
      <w:r>
        <w:rPr>
          <w:rStyle w:val="Hyperlink"/>
          <w:color w:val="auto"/>
          <w:u w:val="none"/>
        </w:rPr>
        <w:t xml:space="preserve">, </w:t>
      </w:r>
      <w:hyperlink r:id="rId42" w:history="1">
        <w:r>
          <w:rPr>
            <w:rStyle w:val="Hyperlink"/>
          </w:rPr>
          <w:t>https://www.sprint.com/en/shop/services/screener.html</w:t>
        </w:r>
      </w:hyperlink>
      <w:r>
        <w:t xml:space="preserve"> (last visited June 9, 2020).</w:t>
      </w:r>
    </w:p>
  </w:footnote>
  <w:footnote w:id="74">
    <w:p w:rsidR="007B2A7B" w:rsidP="004B47C1" w14:paraId="0875F139" w14:textId="51D5DE2E">
      <w:pPr>
        <w:pStyle w:val="FootnoteText"/>
      </w:pPr>
      <w:r>
        <w:rPr>
          <w:rStyle w:val="FootnoteReference"/>
        </w:rPr>
        <w:footnoteRef/>
      </w:r>
      <w:r>
        <w:t xml:space="preserve"> Cox Comments at 1 (noting that, at no cost to customers, Cox provides Nomorobo service to residential customers); </w:t>
      </w:r>
      <w:r>
        <w:rPr>
          <w:i/>
          <w:iCs/>
        </w:rPr>
        <w:t>s</w:t>
      </w:r>
      <w:r w:rsidRPr="006D2D03">
        <w:rPr>
          <w:i/>
          <w:iCs/>
        </w:rPr>
        <w:t>ee</w:t>
      </w:r>
      <w:r>
        <w:t xml:space="preserve"> CenturyLink, </w:t>
      </w:r>
      <w:r>
        <w:rPr>
          <w:i/>
        </w:rPr>
        <w:t>How to Block Unwanted Calls on your Landline</w:t>
      </w:r>
      <w:r>
        <w:rPr>
          <w:iCs/>
        </w:rPr>
        <w:t>,</w:t>
      </w:r>
      <w:r w:rsidRPr="002075C6">
        <w:t xml:space="preserve"> </w:t>
      </w:r>
      <w:hyperlink r:id="rId43" w:history="1">
        <w:r>
          <w:rPr>
            <w:rStyle w:val="Hyperlink"/>
          </w:rPr>
          <w:t>https://www.centurylink.com/home/help/home-phone/calling-features/block-unwanted-calls-from-your-home-phone.html</w:t>
        </w:r>
      </w:hyperlink>
      <w:r>
        <w:t xml:space="preserve"> (last visited June 9, 2020); </w:t>
      </w:r>
      <w:r w:rsidRPr="00387066">
        <w:rPr>
          <w:i/>
          <w:iCs/>
        </w:rPr>
        <w:t xml:space="preserve">Call Types </w:t>
      </w:r>
      <w:r>
        <w:rPr>
          <w:i/>
          <w:iCs/>
        </w:rPr>
        <w:t>T</w:t>
      </w:r>
      <w:r w:rsidRPr="00387066">
        <w:rPr>
          <w:i/>
          <w:iCs/>
        </w:rPr>
        <w:t xml:space="preserve">hat </w:t>
      </w:r>
      <w:r>
        <w:rPr>
          <w:i/>
          <w:iCs/>
        </w:rPr>
        <w:t>C</w:t>
      </w:r>
      <w:r w:rsidRPr="00387066">
        <w:rPr>
          <w:i/>
          <w:iCs/>
        </w:rPr>
        <w:t xml:space="preserve">an </w:t>
      </w:r>
      <w:r>
        <w:rPr>
          <w:i/>
          <w:iCs/>
        </w:rPr>
        <w:t>B</w:t>
      </w:r>
      <w:r w:rsidRPr="00387066">
        <w:rPr>
          <w:i/>
          <w:iCs/>
        </w:rPr>
        <w:t>e Blocked with Xfinity Voice</w:t>
      </w:r>
      <w:r>
        <w:t xml:space="preserve">, </w:t>
      </w:r>
      <w:hyperlink r:id="rId44" w:history="1">
        <w:r>
          <w:rPr>
            <w:rStyle w:val="Hyperlink"/>
          </w:rPr>
          <w:t>https://www.xfinity.com/support/articles/restricting-calls</w:t>
        </w:r>
      </w:hyperlink>
      <w:r w:rsidRPr="00C4415C">
        <w:t xml:space="preserve"> </w:t>
      </w:r>
      <w:r>
        <w:t xml:space="preserve">(last visited June 9, 2020); </w:t>
      </w:r>
      <w:r w:rsidRPr="005835C4">
        <w:rPr>
          <w:i/>
          <w:iCs/>
        </w:rPr>
        <w:t xml:space="preserve">How to Stop Unsolicited Robocalls to </w:t>
      </w:r>
      <w:r>
        <w:rPr>
          <w:i/>
          <w:iCs/>
        </w:rPr>
        <w:t>Y</w:t>
      </w:r>
      <w:r w:rsidRPr="005835C4">
        <w:rPr>
          <w:i/>
          <w:iCs/>
        </w:rPr>
        <w:t>our Home</w:t>
      </w:r>
      <w:r>
        <w:t xml:space="preserve">, </w:t>
      </w:r>
      <w:hyperlink r:id="rId45" w:history="1">
        <w:r w:rsidRPr="006A6E08">
          <w:rPr>
            <w:rStyle w:val="Hyperlink"/>
          </w:rPr>
          <w:t>https://www.xfinity.com/support/articles/nomorobo</w:t>
        </w:r>
      </w:hyperlink>
      <w:r>
        <w:t xml:space="preserve"> (last visited June 9, 2020); Nomorobo service is offered at no charge to VoIP customers and at $1.99 per device, per month, for mobile phones.  </w:t>
      </w:r>
      <w:r w:rsidRPr="00431152">
        <w:rPr>
          <w:i/>
          <w:iCs/>
        </w:rPr>
        <w:t>See</w:t>
      </w:r>
      <w:r>
        <w:rPr>
          <w:i/>
          <w:iCs/>
        </w:rPr>
        <w:t xml:space="preserve"> Nomorobo</w:t>
      </w:r>
      <w:r>
        <w:t>,</w:t>
      </w:r>
      <w:r w:rsidRPr="00431152">
        <w:t xml:space="preserve"> </w:t>
      </w:r>
      <w:hyperlink r:id="rId46" w:history="1">
        <w:r>
          <w:rPr>
            <w:rStyle w:val="Hyperlink"/>
          </w:rPr>
          <w:t>https://www.nomorobo.com</w:t>
        </w:r>
      </w:hyperlink>
      <w:r>
        <w:t xml:space="preserve"> (last visited June 9, 2020).</w:t>
      </w:r>
    </w:p>
  </w:footnote>
  <w:footnote w:id="75">
    <w:p w:rsidR="007B2A7B" w:rsidP="004B47C1" w14:paraId="2FB3DA9F" w14:textId="77777777">
      <w:pPr>
        <w:pStyle w:val="FootnoteText"/>
      </w:pPr>
      <w:r>
        <w:rPr>
          <w:rStyle w:val="FootnoteReference"/>
        </w:rPr>
        <w:footnoteRef/>
      </w:r>
      <w:r>
        <w:t xml:space="preserve"> </w:t>
      </w:r>
      <w:r w:rsidRPr="007B578E">
        <w:rPr>
          <w:i/>
          <w:iCs/>
        </w:rPr>
        <w:t>See</w:t>
      </w:r>
      <w:r>
        <w:t xml:space="preserve"> Appendix B.</w:t>
      </w:r>
    </w:p>
  </w:footnote>
  <w:footnote w:id="76">
    <w:p w:rsidR="007B2A7B" w:rsidP="004B47C1" w14:paraId="21D6C11B" w14:textId="77777777">
      <w:pPr>
        <w:pStyle w:val="FootnoteText"/>
      </w:pPr>
      <w:r>
        <w:rPr>
          <w:rStyle w:val="FootnoteReference"/>
        </w:rPr>
        <w:footnoteRef/>
      </w:r>
      <w:r>
        <w:t xml:space="preserve"> </w:t>
      </w:r>
      <w:r>
        <w:rPr>
          <w:rFonts w:eastAsia="Calibri"/>
        </w:rPr>
        <w:t>Calls that are unanswered or blocked by consumers may be unwanted but legal calls, such as telemarketing calls.</w:t>
      </w:r>
    </w:p>
  </w:footnote>
  <w:footnote w:id="77">
    <w:p w:rsidR="007B2A7B" w:rsidP="004B47C1" w14:paraId="46BAFD41" w14:textId="77777777">
      <w:pPr>
        <w:pStyle w:val="FootnoteText"/>
      </w:pPr>
      <w:r>
        <w:rPr>
          <w:rStyle w:val="FootnoteReference"/>
        </w:rPr>
        <w:footnoteRef/>
      </w:r>
      <w:r>
        <w:t xml:space="preserve"> </w:t>
      </w:r>
      <w:r w:rsidRPr="0002396B">
        <w:rPr>
          <w:i/>
          <w:iCs/>
        </w:rPr>
        <w:t>See 2019 Call Blocking Declaratory Ruling,</w:t>
      </w:r>
      <w:r w:rsidRPr="00CC792B">
        <w:t xml:space="preserve"> </w:t>
      </w:r>
      <w:r>
        <w:t xml:space="preserve">34 FCC Rcd at 4886-88, </w:t>
      </w:r>
      <w:r w:rsidRPr="00CC792B">
        <w:t>paras. 34-35.</w:t>
      </w:r>
      <w:r>
        <w:t xml:space="preserve">  For descriptions of such calls, </w:t>
      </w:r>
      <w:r w:rsidRPr="00A25850">
        <w:rPr>
          <w:i/>
          <w:iCs/>
        </w:rPr>
        <w:t>see</w:t>
      </w:r>
      <w:r w:rsidRPr="008E0FE6">
        <w:rPr>
          <w:i/>
        </w:rPr>
        <w:t>,</w:t>
      </w:r>
      <w:r w:rsidRPr="00A25850">
        <w:rPr>
          <w:i/>
          <w:iCs/>
        </w:rPr>
        <w:t xml:space="preserve"> e.g</w:t>
      </w:r>
      <w:r w:rsidRPr="008E0FE6">
        <w:rPr>
          <w:i/>
        </w:rPr>
        <w:t>.</w:t>
      </w:r>
      <w:r w:rsidRPr="00302F5B">
        <w:t>,</w:t>
      </w:r>
      <w:r>
        <w:t xml:space="preserve"> FCC, </w:t>
      </w:r>
      <w:r w:rsidRPr="008E0FE6">
        <w:rPr>
          <w:i/>
        </w:rPr>
        <w:t>Consumer Guide: Stop Unwanted Robocalls and Texts</w:t>
      </w:r>
      <w:r>
        <w:t xml:space="preserve"> (Feb. 5, 2020),</w:t>
      </w:r>
      <w:r w:rsidRPr="00302F5B">
        <w:t xml:space="preserve"> </w:t>
      </w:r>
      <w:hyperlink r:id="rId47" w:history="1">
        <w:r w:rsidRPr="00C57FFA">
          <w:rPr>
            <w:rStyle w:val="Hyperlink"/>
          </w:rPr>
          <w:t>https://www.fcc.gov/sites/default/files/stop_unwanted_robocalls_and_texts.pdf</w:t>
        </w:r>
      </w:hyperlink>
      <w:r>
        <w:t xml:space="preserve">; FTC, </w:t>
      </w:r>
      <w:r w:rsidRPr="00B220B1">
        <w:rPr>
          <w:i/>
          <w:iCs/>
        </w:rPr>
        <w:t>Robocalls</w:t>
      </w:r>
      <w:r>
        <w:t xml:space="preserve">, </w:t>
      </w:r>
      <w:hyperlink r:id="rId48" w:history="1">
        <w:r>
          <w:rPr>
            <w:rStyle w:val="Hyperlink"/>
          </w:rPr>
          <w:t>https://www.consumer.ftc.gov/articles/0259-robocalls</w:t>
        </w:r>
      </w:hyperlink>
      <w:r>
        <w:t xml:space="preserve"> (last visited June 9, 2020).</w:t>
      </w:r>
    </w:p>
  </w:footnote>
  <w:footnote w:id="78">
    <w:p w:rsidR="007B2A7B" w14:paraId="68926731" w14:textId="77777777">
      <w:pPr>
        <w:pStyle w:val="FootnoteText"/>
      </w:pPr>
      <w:r>
        <w:rPr>
          <w:rStyle w:val="FootnoteReference"/>
        </w:rPr>
        <w:footnoteRef/>
      </w:r>
      <w:r>
        <w:t xml:space="preserve"> AT&amp;T Comments at 2-7.</w:t>
      </w:r>
    </w:p>
  </w:footnote>
  <w:footnote w:id="79">
    <w:p w:rsidR="007B2A7B" w:rsidP="00F8384D" w14:paraId="538DC289" w14:textId="3D36DA4E">
      <w:pPr>
        <w:pStyle w:val="FootnoteText"/>
      </w:pPr>
      <w:r>
        <w:rPr>
          <w:rStyle w:val="FootnoteReference"/>
        </w:rPr>
        <w:footnoteRef/>
      </w:r>
      <w:r>
        <w:t xml:space="preserve"> AT&amp;T Letter at 4-5.</w:t>
      </w:r>
    </w:p>
  </w:footnote>
  <w:footnote w:id="80">
    <w:p w:rsidR="007B2A7B" w:rsidRPr="00223800" w14:paraId="32EF9D9C" w14:textId="0AC28A33">
      <w:pPr>
        <w:pStyle w:val="FootnoteText"/>
      </w:pPr>
      <w:r>
        <w:rPr>
          <w:rStyle w:val="FootnoteReference"/>
        </w:rPr>
        <w:footnoteRef/>
      </w:r>
      <w:r>
        <w:t xml:space="preserve"> </w:t>
      </w:r>
      <w:r w:rsidRPr="00BC6F9A">
        <w:rPr>
          <w:i/>
          <w:iCs/>
        </w:rPr>
        <w:t>Id.</w:t>
      </w:r>
    </w:p>
  </w:footnote>
  <w:footnote w:id="81">
    <w:p w:rsidR="007B2A7B" w:rsidP="00F8384D" w14:paraId="006CD7DE" w14:textId="7DF6A462">
      <w:pPr>
        <w:pStyle w:val="FootnoteText"/>
      </w:pPr>
      <w:r>
        <w:rPr>
          <w:rStyle w:val="FootnoteReference"/>
        </w:rPr>
        <w:footnoteRef/>
      </w:r>
      <w:r>
        <w:t xml:space="preserve"> </w:t>
      </w:r>
      <w:r w:rsidRPr="00523B4C">
        <w:rPr>
          <w:i/>
          <w:iCs/>
        </w:rPr>
        <w:t>Id</w:t>
      </w:r>
      <w:r w:rsidRPr="0078281B">
        <w:t>.</w:t>
      </w:r>
    </w:p>
  </w:footnote>
  <w:footnote w:id="82">
    <w:p w:rsidR="007B2A7B" w:rsidP="00F8384D" w14:paraId="6AA207CF" w14:textId="46647A0A">
      <w:pPr>
        <w:pStyle w:val="FootnoteText"/>
      </w:pPr>
      <w:r>
        <w:rPr>
          <w:rStyle w:val="FootnoteReference"/>
        </w:rPr>
        <w:footnoteRef/>
      </w:r>
      <w:r>
        <w:t xml:space="preserve"> </w:t>
      </w:r>
      <w:r w:rsidRPr="00523B4C">
        <w:rPr>
          <w:i/>
          <w:iCs/>
        </w:rPr>
        <w:t>Id</w:t>
      </w:r>
      <w:r>
        <w:t>.</w:t>
      </w:r>
    </w:p>
  </w:footnote>
  <w:footnote w:id="83">
    <w:p w:rsidR="007B2A7B" w:rsidP="00670F95" w14:paraId="651277D3" w14:textId="77777777">
      <w:pPr>
        <w:pStyle w:val="FootnoteText"/>
      </w:pPr>
      <w:r>
        <w:rPr>
          <w:rStyle w:val="FootnoteReference"/>
        </w:rPr>
        <w:footnoteRef/>
      </w:r>
      <w:r>
        <w:t xml:space="preserve"> AT&amp;T Comments at 8.</w:t>
      </w:r>
    </w:p>
  </w:footnote>
  <w:footnote w:id="84">
    <w:p w:rsidR="007B2A7B" w:rsidP="00134428" w14:paraId="108BC6FA" w14:textId="1907462C">
      <w:pPr>
        <w:pStyle w:val="FootnoteText"/>
      </w:pPr>
      <w:r>
        <w:rPr>
          <w:rStyle w:val="FootnoteReference"/>
        </w:rPr>
        <w:footnoteRef/>
      </w:r>
      <w:r>
        <w:t xml:space="preserve"> </w:t>
      </w:r>
      <w:r w:rsidRPr="00523B4C">
        <w:rPr>
          <w:i/>
          <w:iCs/>
        </w:rPr>
        <w:t>Id.</w:t>
      </w:r>
    </w:p>
  </w:footnote>
  <w:footnote w:id="85">
    <w:p w:rsidR="007B2A7B" w:rsidP="00134428" w14:paraId="5D5D18D2" w14:textId="3EFD8D59">
      <w:pPr>
        <w:pStyle w:val="FootnoteText"/>
      </w:pPr>
      <w:r>
        <w:rPr>
          <w:rStyle w:val="FootnoteReference"/>
        </w:rPr>
        <w:footnoteRef/>
      </w:r>
      <w:r>
        <w:t xml:space="preserve"> </w:t>
      </w:r>
      <w:r w:rsidRPr="00523B4C">
        <w:rPr>
          <w:i/>
          <w:iCs/>
        </w:rPr>
        <w:t>Id.</w:t>
      </w:r>
    </w:p>
  </w:footnote>
  <w:footnote w:id="86">
    <w:p w:rsidR="007B2A7B" w:rsidP="00F8384D" w14:paraId="578E0C60" w14:textId="77777777">
      <w:pPr>
        <w:pStyle w:val="FootnoteText"/>
      </w:pPr>
      <w:r>
        <w:rPr>
          <w:rStyle w:val="FootnoteReference"/>
        </w:rPr>
        <w:footnoteRef/>
      </w:r>
      <w:r>
        <w:t xml:space="preserve"> AT&amp;T Letter at 5.</w:t>
      </w:r>
    </w:p>
  </w:footnote>
  <w:footnote w:id="87">
    <w:p w:rsidR="007B2A7B" w:rsidP="0055520D" w14:paraId="7F7DA1C7" w14:textId="63A427B8">
      <w:pPr>
        <w:pStyle w:val="FootnoteText"/>
      </w:pPr>
      <w:r>
        <w:rPr>
          <w:rStyle w:val="FootnoteReference"/>
        </w:rPr>
        <w:footnoteRef/>
      </w:r>
      <w:r>
        <w:t xml:space="preserve"> AT&amp;T Comments at 3; AT&amp;T Letter at 2.</w:t>
      </w:r>
    </w:p>
  </w:footnote>
  <w:footnote w:id="88">
    <w:p w:rsidR="007B2A7B" w14:paraId="11B44682" w14:textId="77777777">
      <w:pPr>
        <w:pStyle w:val="FootnoteText"/>
      </w:pPr>
      <w:r>
        <w:rPr>
          <w:rStyle w:val="FootnoteReference"/>
        </w:rPr>
        <w:footnoteRef/>
      </w:r>
      <w:r>
        <w:t xml:space="preserve"> AT&amp;T Comments at 3.</w:t>
      </w:r>
    </w:p>
  </w:footnote>
  <w:footnote w:id="89">
    <w:p w:rsidR="007B2A7B" w14:paraId="4C019C67" w14:textId="77777777">
      <w:pPr>
        <w:pStyle w:val="FootnoteText"/>
      </w:pPr>
      <w:r>
        <w:rPr>
          <w:rStyle w:val="FootnoteReference"/>
        </w:rPr>
        <w:footnoteRef/>
      </w:r>
      <w:r>
        <w:t xml:space="preserve"> AT&amp;T Letter at 1-2.</w:t>
      </w:r>
    </w:p>
  </w:footnote>
  <w:footnote w:id="90">
    <w:p w:rsidR="007B2A7B" w:rsidP="007D4A0C" w14:paraId="74D9F794" w14:textId="77777777">
      <w:pPr>
        <w:pStyle w:val="FootnoteText"/>
      </w:pPr>
      <w:r>
        <w:rPr>
          <w:rStyle w:val="FootnoteReference"/>
        </w:rPr>
        <w:footnoteRef/>
      </w:r>
      <w:r>
        <w:t xml:space="preserve"> AT&amp;T Comments at 4.</w:t>
      </w:r>
    </w:p>
  </w:footnote>
  <w:footnote w:id="91">
    <w:p w:rsidR="007B2A7B" w:rsidP="007D4A0C" w14:paraId="68FBD2A3" w14:textId="5844C409">
      <w:pPr>
        <w:pStyle w:val="FootnoteText"/>
      </w:pPr>
      <w:r>
        <w:rPr>
          <w:rStyle w:val="FootnoteReference"/>
        </w:rPr>
        <w:footnoteRef/>
      </w:r>
      <w:r>
        <w:t xml:space="preserve"> AT&amp;T Comments at 5; AT&amp;T Letter at 2.</w:t>
      </w:r>
    </w:p>
  </w:footnote>
  <w:footnote w:id="92">
    <w:p w:rsidR="007B2A7B" w14:paraId="1FCCAA62" w14:textId="77777777">
      <w:pPr>
        <w:pStyle w:val="FootnoteText"/>
      </w:pPr>
      <w:r>
        <w:rPr>
          <w:rStyle w:val="FootnoteReference"/>
        </w:rPr>
        <w:footnoteRef/>
      </w:r>
      <w:r>
        <w:t xml:space="preserve"> AT&amp;T Comments at 6-7.</w:t>
      </w:r>
    </w:p>
  </w:footnote>
  <w:footnote w:id="93">
    <w:p w:rsidR="007B2A7B" w14:paraId="09B12C0D" w14:textId="3D1EBE9C">
      <w:pPr>
        <w:pStyle w:val="FootnoteText"/>
      </w:pPr>
      <w:r>
        <w:rPr>
          <w:rStyle w:val="FootnoteReference"/>
        </w:rPr>
        <w:footnoteRef/>
      </w:r>
      <w:r>
        <w:t xml:space="preserve"> AT&amp;T Letter at 2.  In 2019, AT&amp;T had 155.7 million wireless customers.  </w:t>
      </w:r>
      <w:r w:rsidRPr="00C025D8">
        <w:rPr>
          <w:i/>
          <w:iCs/>
        </w:rPr>
        <w:t>See</w:t>
      </w:r>
      <w:r>
        <w:t xml:space="preserve"> Q1 2019 AT&amp;T Earnings: Investor Briefing (Apr. 24, 2019),</w:t>
      </w:r>
      <w:r w:rsidRPr="00C025D8">
        <w:t xml:space="preserve"> </w:t>
      </w:r>
      <w:hyperlink r:id="rId49" w:history="1">
        <w:r>
          <w:rPr>
            <w:rStyle w:val="Hyperlink"/>
          </w:rPr>
          <w:t>https://investors.att.com/~/media/Files/A/ATT-IR/financial-reports/quarterly-earnings/2019/1q-2019/1Q19%20Investor%20Briefing.pdf</w:t>
        </w:r>
      </w:hyperlink>
      <w:r>
        <w:t>.</w:t>
      </w:r>
    </w:p>
  </w:footnote>
  <w:footnote w:id="94">
    <w:p w:rsidR="007B2A7B" w14:paraId="6CF395E8" w14:textId="6B731632">
      <w:pPr>
        <w:pStyle w:val="FootnoteText"/>
      </w:pPr>
      <w:r>
        <w:rPr>
          <w:rStyle w:val="FootnoteReference"/>
        </w:rPr>
        <w:footnoteRef/>
      </w:r>
      <w:r>
        <w:t xml:space="preserve"> AT&amp;T Letter at 2.</w:t>
      </w:r>
    </w:p>
  </w:footnote>
  <w:footnote w:id="95">
    <w:p w:rsidR="007B2A7B" w14:paraId="57CAE568" w14:textId="7C61AC10">
      <w:pPr>
        <w:pStyle w:val="FootnoteText"/>
      </w:pPr>
      <w:r>
        <w:rPr>
          <w:rStyle w:val="FootnoteReference"/>
        </w:rPr>
        <w:footnoteRef/>
      </w:r>
      <w:r>
        <w:t xml:space="preserve"> AT&amp;T, </w:t>
      </w:r>
      <w:r w:rsidRPr="0078281B">
        <w:rPr>
          <w:i/>
        </w:rPr>
        <w:t>Report Unwanted Calls &amp; Texts</w:t>
      </w:r>
      <w:r>
        <w:t xml:space="preserve">, </w:t>
      </w:r>
      <w:hyperlink r:id="rId50" w:history="1">
        <w:r>
          <w:rPr>
            <w:rStyle w:val="Hyperlink"/>
          </w:rPr>
          <w:t>https://www.att.com/esupport/report-call-or-text.html</w:t>
        </w:r>
      </w:hyperlink>
      <w:r>
        <w:t xml:space="preserve"> (last visited June 9, 2020).</w:t>
      </w:r>
    </w:p>
  </w:footnote>
  <w:footnote w:id="96">
    <w:p w:rsidR="007B2A7B" w14:paraId="1DCFB800" w14:textId="77777777">
      <w:pPr>
        <w:pStyle w:val="FootnoteText"/>
      </w:pPr>
      <w:r>
        <w:rPr>
          <w:rStyle w:val="FootnoteReference"/>
        </w:rPr>
        <w:footnoteRef/>
      </w:r>
      <w:r>
        <w:t xml:space="preserve"> AT&amp;T Letter at 3.</w:t>
      </w:r>
    </w:p>
  </w:footnote>
  <w:footnote w:id="97">
    <w:p w:rsidR="007B2A7B" w:rsidP="00467C7F" w14:paraId="44D29D15" w14:textId="77777777">
      <w:pPr>
        <w:pStyle w:val="FootnoteText"/>
      </w:pPr>
      <w:r>
        <w:rPr>
          <w:rStyle w:val="FootnoteReference"/>
        </w:rPr>
        <w:footnoteRef/>
      </w:r>
      <w:r>
        <w:t xml:space="preserve"> AT&amp;T Comments at 5; AT&amp;T Letter at 3.</w:t>
      </w:r>
    </w:p>
  </w:footnote>
  <w:footnote w:id="98">
    <w:p w:rsidR="007B2A7B" w:rsidP="00467C7F" w14:paraId="5EE11A99" w14:textId="23E6804B">
      <w:pPr>
        <w:pStyle w:val="FootnoteText"/>
      </w:pPr>
      <w:r>
        <w:rPr>
          <w:rStyle w:val="FootnoteReference"/>
        </w:rPr>
        <w:footnoteRef/>
      </w:r>
      <w:r>
        <w:t xml:space="preserve"> AT&amp;T Comments at 5; AT&amp;T Letter at 3</w:t>
      </w:r>
      <w:r w:rsidRPr="009C2BE1">
        <w:rPr>
          <w:i/>
          <w:iCs/>
        </w:rPr>
        <w:t>.</w:t>
      </w:r>
    </w:p>
  </w:footnote>
  <w:footnote w:id="99">
    <w:p w:rsidR="007B2A7B" w14:paraId="7CC655F7" w14:textId="77777777">
      <w:pPr>
        <w:pStyle w:val="FootnoteText"/>
      </w:pPr>
      <w:r>
        <w:rPr>
          <w:rStyle w:val="FootnoteReference"/>
        </w:rPr>
        <w:footnoteRef/>
      </w:r>
      <w:r>
        <w:t xml:space="preserve"> AT&amp;T Comments at 5-6.</w:t>
      </w:r>
    </w:p>
  </w:footnote>
  <w:footnote w:id="100">
    <w:p w:rsidR="007B2A7B" w14:paraId="5FDCE4A2" w14:textId="59ABA94E">
      <w:pPr>
        <w:pStyle w:val="FootnoteText"/>
      </w:pPr>
      <w:r>
        <w:rPr>
          <w:rStyle w:val="FootnoteReference"/>
        </w:rPr>
        <w:footnoteRef/>
      </w:r>
      <w:r>
        <w:t xml:space="preserve"> </w:t>
      </w:r>
      <w:r w:rsidRPr="009C2BE1">
        <w:rPr>
          <w:i/>
          <w:iCs/>
        </w:rPr>
        <w:t>Id.</w:t>
      </w:r>
      <w:r>
        <w:t xml:space="preserve"> at 6.</w:t>
      </w:r>
    </w:p>
  </w:footnote>
  <w:footnote w:id="101">
    <w:p w:rsidR="007B2A7B" w14:paraId="383BF717" w14:textId="04EB40B1">
      <w:pPr>
        <w:pStyle w:val="FootnoteText"/>
      </w:pPr>
      <w:r>
        <w:rPr>
          <w:rStyle w:val="FootnoteReference"/>
        </w:rPr>
        <w:footnoteRef/>
      </w:r>
      <w:r>
        <w:t xml:space="preserve"> </w:t>
      </w:r>
      <w:r w:rsidRPr="009C2BE1">
        <w:rPr>
          <w:i/>
          <w:iCs/>
        </w:rPr>
        <w:t>Id</w:t>
      </w:r>
      <w:r>
        <w:t>.</w:t>
      </w:r>
    </w:p>
  </w:footnote>
  <w:footnote w:id="102">
    <w:p w:rsidR="007B2A7B" w14:paraId="6F82F7D5" w14:textId="77777777">
      <w:pPr>
        <w:pStyle w:val="FootnoteText"/>
      </w:pPr>
      <w:r>
        <w:rPr>
          <w:rStyle w:val="FootnoteReference"/>
        </w:rPr>
        <w:footnoteRef/>
      </w:r>
      <w:r>
        <w:t xml:space="preserve"> AT&amp;T Letter at 4.</w:t>
      </w:r>
    </w:p>
  </w:footnote>
  <w:footnote w:id="103">
    <w:p w:rsidR="007B2A7B" w:rsidP="00806C99" w14:paraId="059B89C9" w14:textId="78E710D2">
      <w:pPr>
        <w:pStyle w:val="FootnoteText"/>
      </w:pPr>
      <w:r>
        <w:rPr>
          <w:rStyle w:val="FootnoteReference"/>
        </w:rPr>
        <w:footnoteRef/>
      </w:r>
      <w:r>
        <w:t xml:space="preserve"> Letter from David </w:t>
      </w:r>
      <w:r>
        <w:t>Morken</w:t>
      </w:r>
      <w:r>
        <w:t>, CEO and Co-Founder, Bandwidth, to G. Patrick Webre, Chief, FCC Consumer and Governmental Affairs Bureau, CG Docket No. 17-59, at 1 (Feb. 28, 2020) (Bandwidth Letter).</w:t>
      </w:r>
    </w:p>
  </w:footnote>
  <w:footnote w:id="104">
    <w:p w:rsidR="007B2A7B" w:rsidP="00806C99" w14:paraId="3B01A97B" w14:textId="77777777">
      <w:pPr>
        <w:pStyle w:val="FootnoteText"/>
      </w:pPr>
      <w:r>
        <w:rPr>
          <w:rStyle w:val="FootnoteReference"/>
        </w:rPr>
        <w:footnoteRef/>
      </w:r>
      <w:r>
        <w:t xml:space="preserve"> Bandwidth Letter at 1.</w:t>
      </w:r>
    </w:p>
  </w:footnote>
  <w:footnote w:id="105">
    <w:p w:rsidR="007B2A7B" w:rsidP="00806C99" w14:paraId="49CF95C5" w14:textId="7800A3C8">
      <w:pPr>
        <w:pStyle w:val="FootnoteText"/>
      </w:pPr>
      <w:r>
        <w:rPr>
          <w:rStyle w:val="FootnoteReference"/>
        </w:rPr>
        <w:footnoteRef/>
      </w:r>
      <w:r>
        <w:t xml:space="preserve"> </w:t>
      </w:r>
      <w:r w:rsidRPr="0046086F">
        <w:rPr>
          <w:i/>
          <w:iCs/>
        </w:rPr>
        <w:t>Id.</w:t>
      </w:r>
      <w:r>
        <w:t xml:space="preserve"> at 2.</w:t>
      </w:r>
    </w:p>
  </w:footnote>
  <w:footnote w:id="106">
    <w:p w:rsidR="007B2A7B" w:rsidP="00806C99" w14:paraId="24C899BF" w14:textId="6979E6FB">
      <w:pPr>
        <w:pStyle w:val="FootnoteText"/>
      </w:pPr>
      <w:r>
        <w:rPr>
          <w:rStyle w:val="FootnoteReference"/>
        </w:rPr>
        <w:footnoteRef/>
      </w:r>
      <w:r>
        <w:t xml:space="preserve"> </w:t>
      </w:r>
      <w:r w:rsidRPr="00F12589">
        <w:rPr>
          <w:i/>
          <w:iCs/>
        </w:rPr>
        <w:t>Id</w:t>
      </w:r>
      <w:r>
        <w:t>.</w:t>
      </w:r>
    </w:p>
  </w:footnote>
  <w:footnote w:id="107">
    <w:p w:rsidR="007B2A7B" w:rsidP="00B779CE" w14:paraId="15953DF7" w14:textId="77777777">
      <w:pPr>
        <w:pStyle w:val="FootnoteText"/>
      </w:pPr>
      <w:r>
        <w:rPr>
          <w:rStyle w:val="FootnoteReference"/>
        </w:rPr>
        <w:footnoteRef/>
      </w:r>
      <w:r>
        <w:t xml:space="preserve"> </w:t>
      </w:r>
      <w:r w:rsidRPr="00F12589">
        <w:rPr>
          <w:i/>
          <w:iCs/>
        </w:rPr>
        <w:t>Id</w:t>
      </w:r>
      <w:r>
        <w:t>.</w:t>
      </w:r>
    </w:p>
  </w:footnote>
  <w:footnote w:id="108">
    <w:p w:rsidR="007B2A7B" w:rsidP="00806C99" w14:paraId="3EBEFEF1" w14:textId="15BF122B">
      <w:pPr>
        <w:pStyle w:val="FootnoteText"/>
      </w:pPr>
      <w:r>
        <w:rPr>
          <w:rStyle w:val="FootnoteReference"/>
        </w:rPr>
        <w:footnoteRef/>
      </w:r>
      <w:r>
        <w:t xml:space="preserve"> </w:t>
      </w:r>
      <w:r>
        <w:rPr>
          <w:i/>
          <w:iCs/>
        </w:rPr>
        <w:t>Id</w:t>
      </w:r>
      <w:r>
        <w:t>.</w:t>
      </w:r>
    </w:p>
  </w:footnote>
  <w:footnote w:id="109">
    <w:p w:rsidR="007B2A7B" w:rsidP="00A43645" w14:paraId="2D79A892" w14:textId="4FEE96CA">
      <w:pPr>
        <w:pStyle w:val="FootnoteText"/>
      </w:pPr>
      <w:r>
        <w:rPr>
          <w:rStyle w:val="FootnoteReference"/>
        </w:rPr>
        <w:footnoteRef/>
      </w:r>
      <w:r>
        <w:t xml:space="preserve"> CenturyLink Letter at 2.</w:t>
      </w:r>
    </w:p>
  </w:footnote>
  <w:footnote w:id="110">
    <w:p w:rsidR="007B2A7B" w:rsidP="00A43645" w14:paraId="2F44ABCD" w14:textId="530855FB">
      <w:pPr>
        <w:pStyle w:val="FootnoteText"/>
      </w:pPr>
      <w:r>
        <w:rPr>
          <w:rStyle w:val="FootnoteReference"/>
        </w:rPr>
        <w:footnoteRef/>
      </w:r>
      <w:r>
        <w:t xml:space="preserve"> </w:t>
      </w:r>
      <w:r w:rsidRPr="005054D1">
        <w:rPr>
          <w:i/>
          <w:iCs/>
        </w:rPr>
        <w:t>Id</w:t>
      </w:r>
      <w:r>
        <w:t xml:space="preserve">.  This service is offered at no charge.  </w:t>
      </w:r>
      <w:r w:rsidRPr="00D46098">
        <w:rPr>
          <w:i/>
          <w:iCs/>
        </w:rPr>
        <w:t>See</w:t>
      </w:r>
      <w:r>
        <w:rPr>
          <w:i/>
          <w:iCs/>
        </w:rPr>
        <w:t xml:space="preserve"> Nomorobo</w:t>
      </w:r>
      <w:r>
        <w:t>,</w:t>
      </w:r>
      <w:r w:rsidRPr="00D46098">
        <w:t xml:space="preserve"> </w:t>
      </w:r>
      <w:hyperlink r:id="rId46" w:history="1">
        <w:r>
          <w:rPr>
            <w:rStyle w:val="Hyperlink"/>
          </w:rPr>
          <w:t>https://www.nomorobo.com</w:t>
        </w:r>
      </w:hyperlink>
      <w:r>
        <w:t xml:space="preserve"> (last visited June 9, 2020).</w:t>
      </w:r>
    </w:p>
  </w:footnote>
  <w:footnote w:id="111">
    <w:p w:rsidR="007B2A7B" w:rsidP="00A43645" w14:paraId="787FAB3D" w14:textId="01D76ECE">
      <w:pPr>
        <w:pStyle w:val="FootnoteText"/>
      </w:pPr>
      <w:r>
        <w:rPr>
          <w:rStyle w:val="FootnoteReference"/>
        </w:rPr>
        <w:footnoteRef/>
      </w:r>
      <w:r>
        <w:t xml:space="preserve"> CenturyLink’s screening tools include the “No Solicitation” service, which plays an automated message asking solicitors to hang up and tells legitimate callers to press a specific key, and the “Security Screen” service that requires callers with blocked, unidentified, toll-free, or long distance numbers to enter their 10-digit number before the call will connect.  CenturyLink Letter at 2; CenturyLink, </w:t>
      </w:r>
      <w:r w:rsidRPr="00A648BD">
        <w:rPr>
          <w:i/>
          <w:iCs/>
        </w:rPr>
        <w:t xml:space="preserve">How to Block Unwanted Calls on </w:t>
      </w:r>
      <w:r>
        <w:rPr>
          <w:i/>
          <w:iCs/>
        </w:rPr>
        <w:t>Y</w:t>
      </w:r>
      <w:r w:rsidRPr="00A648BD">
        <w:rPr>
          <w:i/>
          <w:iCs/>
        </w:rPr>
        <w:t>our Landline</w:t>
      </w:r>
      <w:r>
        <w:t xml:space="preserve">, </w:t>
      </w:r>
      <w:hyperlink r:id="rId43" w:history="1">
        <w:r>
          <w:rPr>
            <w:rStyle w:val="Hyperlink"/>
          </w:rPr>
          <w:t>https://www.centurylink.com/home/help/home-phone/calling-features/block-unwanted-calls-from-your-home-phone.html</w:t>
        </w:r>
      </w:hyperlink>
      <w:r>
        <w:t xml:space="preserve"> (last visited June 9, 2020).</w:t>
      </w:r>
    </w:p>
  </w:footnote>
  <w:footnote w:id="112">
    <w:p w:rsidR="007B2A7B" w:rsidP="00A43645" w14:paraId="54D94635" w14:textId="34681A82">
      <w:pPr>
        <w:pStyle w:val="FootnoteText"/>
      </w:pPr>
      <w:r>
        <w:rPr>
          <w:rStyle w:val="FootnoteReference"/>
        </w:rPr>
        <w:footnoteRef/>
      </w:r>
      <w:r>
        <w:t xml:space="preserve"> CenturyLink Letter at 2-3.</w:t>
      </w:r>
    </w:p>
  </w:footnote>
  <w:footnote w:id="113">
    <w:p w:rsidR="007B2A7B" w:rsidP="00A43645" w14:paraId="2E67539E" w14:textId="785A923F">
      <w:pPr>
        <w:pStyle w:val="FootnoteText"/>
      </w:pPr>
      <w:r>
        <w:rPr>
          <w:rStyle w:val="FootnoteReference"/>
        </w:rPr>
        <w:footnoteRef/>
      </w:r>
      <w:r>
        <w:t xml:space="preserve"> </w:t>
      </w:r>
      <w:r w:rsidRPr="00C66879">
        <w:rPr>
          <w:i/>
          <w:iCs/>
        </w:rPr>
        <w:t>Id.</w:t>
      </w:r>
      <w:r>
        <w:t xml:space="preserve"> at 3.</w:t>
      </w:r>
    </w:p>
  </w:footnote>
  <w:footnote w:id="114">
    <w:p w:rsidR="007B2A7B" w:rsidP="002755A9" w14:paraId="20054E5D" w14:textId="77777777">
      <w:pPr>
        <w:pStyle w:val="FootnoteText"/>
      </w:pPr>
      <w:r>
        <w:rPr>
          <w:rStyle w:val="FootnoteReference"/>
        </w:rPr>
        <w:footnoteRef/>
      </w:r>
      <w:r>
        <w:t xml:space="preserve"> Charter Comments at 3.</w:t>
      </w:r>
    </w:p>
  </w:footnote>
  <w:footnote w:id="115">
    <w:p w:rsidR="007B2A7B" w:rsidP="004A3687" w14:paraId="582BDA83" w14:textId="14B97E54">
      <w:pPr>
        <w:pStyle w:val="FootnoteText"/>
      </w:pPr>
      <w:r>
        <w:rPr>
          <w:rStyle w:val="FootnoteReference"/>
        </w:rPr>
        <w:footnoteRef/>
      </w:r>
      <w:r>
        <w:rPr>
          <w:i/>
          <w:iCs/>
        </w:rPr>
        <w:t xml:space="preserve"> </w:t>
      </w:r>
      <w:r w:rsidRPr="00282339">
        <w:rPr>
          <w:i/>
          <w:iCs/>
        </w:rPr>
        <w:t>Id.</w:t>
      </w:r>
      <w:r>
        <w:t xml:space="preserve"> at 2-3; Spectrum, </w:t>
      </w:r>
      <w:r w:rsidRPr="004C5BA3">
        <w:rPr>
          <w:i/>
          <w:iCs/>
        </w:rPr>
        <w:t>How to Use Nomorobo to Block Robo Callers</w:t>
      </w:r>
      <w:r>
        <w:t xml:space="preserve">, </w:t>
      </w:r>
      <w:hyperlink r:id="rId51" w:history="1">
        <w:r>
          <w:rPr>
            <w:rStyle w:val="Hyperlink"/>
          </w:rPr>
          <w:t>https://www.spectrum.net/support/voice/block-robo-callers/?redirected=true</w:t>
        </w:r>
      </w:hyperlink>
      <w:r>
        <w:t xml:space="preserve"> (last visited June 9, 2020).</w:t>
      </w:r>
    </w:p>
  </w:footnote>
  <w:footnote w:id="116">
    <w:p w:rsidR="007B2A7B" w:rsidP="004A3687" w14:paraId="256ACABA" w14:textId="01FCD65A">
      <w:pPr>
        <w:pStyle w:val="FootnoteText"/>
      </w:pPr>
      <w:r>
        <w:rPr>
          <w:rStyle w:val="FootnoteReference"/>
        </w:rPr>
        <w:footnoteRef/>
      </w:r>
      <w:r>
        <w:t xml:space="preserve"> Charter Comments at 2; Spectrum,</w:t>
      </w:r>
      <w:r w:rsidRPr="002755A9">
        <w:rPr>
          <w:i/>
          <w:iCs/>
        </w:rPr>
        <w:t xml:space="preserve"> </w:t>
      </w:r>
      <w:r w:rsidRPr="004C5BA3">
        <w:rPr>
          <w:i/>
          <w:iCs/>
        </w:rPr>
        <w:t>Ways to Block Unwanted Calls</w:t>
      </w:r>
      <w:r>
        <w:t xml:space="preserve">, </w:t>
      </w:r>
      <w:hyperlink r:id="rId52" w:history="1">
        <w:r>
          <w:rPr>
            <w:rStyle w:val="Hyperlink"/>
          </w:rPr>
          <w:t>https://www.spectrum.net/support/voice/ways-block-unwanted-calls/?redirected=true</w:t>
        </w:r>
      </w:hyperlink>
      <w:r>
        <w:t xml:space="preserve"> (last visited June 9, 2020).</w:t>
      </w:r>
      <w:r w:rsidRPr="002755A9">
        <w:t xml:space="preserve"> </w:t>
      </w:r>
      <w:r>
        <w:t xml:space="preserve"> Charter plans on providing call blocking to residential voice subscribers, by combining call pattern data analytics with STIR/SHAKEN authentication information to automatically identify and block nuisance and fraud callers.  Charter Comments at 2.</w:t>
      </w:r>
    </w:p>
  </w:footnote>
  <w:footnote w:id="117">
    <w:p w:rsidR="007B2A7B" w:rsidP="004A3687" w14:paraId="3B725C21" w14:textId="7AA9E335">
      <w:pPr>
        <w:pStyle w:val="FootnoteText"/>
      </w:pPr>
      <w:r>
        <w:rPr>
          <w:rStyle w:val="FootnoteReference"/>
        </w:rPr>
        <w:footnoteRef/>
      </w:r>
      <w:r>
        <w:t xml:space="preserve"> </w:t>
      </w:r>
      <w:r w:rsidRPr="0002396B">
        <w:rPr>
          <w:i/>
          <w:iCs/>
        </w:rPr>
        <w:t>Id.</w:t>
      </w:r>
      <w:r>
        <w:t xml:space="preserve"> at 3.</w:t>
      </w:r>
    </w:p>
  </w:footnote>
  <w:footnote w:id="118">
    <w:p w:rsidR="007B2A7B" w:rsidP="004A3687" w14:paraId="2D453E6C" w14:textId="6C9C4F16">
      <w:pPr>
        <w:pStyle w:val="FootnoteText"/>
      </w:pPr>
      <w:r>
        <w:rPr>
          <w:rStyle w:val="FootnoteReference"/>
        </w:rPr>
        <w:footnoteRef/>
      </w:r>
      <w:r>
        <w:t xml:space="preserve"> </w:t>
      </w:r>
      <w:r w:rsidRPr="00086F75">
        <w:rPr>
          <w:i/>
          <w:iCs/>
        </w:rPr>
        <w:t>Id</w:t>
      </w:r>
      <w:r>
        <w:t>.</w:t>
      </w:r>
    </w:p>
  </w:footnote>
  <w:footnote w:id="119">
    <w:p w:rsidR="007B2A7B" w:rsidP="004A3687" w14:paraId="5478864E" w14:textId="7050E72F">
      <w:pPr>
        <w:pStyle w:val="FootnoteText"/>
      </w:pPr>
      <w:r>
        <w:rPr>
          <w:rStyle w:val="FootnoteReference"/>
        </w:rPr>
        <w:footnoteRef/>
      </w:r>
      <w:r>
        <w:t xml:space="preserve"> </w:t>
      </w:r>
      <w:r w:rsidRPr="00086F75">
        <w:rPr>
          <w:i/>
          <w:iCs/>
        </w:rPr>
        <w:t>Id.</w:t>
      </w:r>
      <w:r>
        <w:t xml:space="preserve"> at 3, 5.</w:t>
      </w:r>
    </w:p>
  </w:footnote>
  <w:footnote w:id="120">
    <w:p w:rsidR="007B2A7B" w:rsidP="004A3687" w14:paraId="2EC54CB5" w14:textId="3D20C6A6">
      <w:pPr>
        <w:pStyle w:val="FootnoteText"/>
      </w:pPr>
      <w:r>
        <w:rPr>
          <w:rStyle w:val="FootnoteReference"/>
        </w:rPr>
        <w:footnoteRef/>
      </w:r>
      <w:r>
        <w:t xml:space="preserve"> </w:t>
      </w:r>
      <w:r w:rsidRPr="00086F75">
        <w:rPr>
          <w:i/>
          <w:iCs/>
        </w:rPr>
        <w:t>Id.</w:t>
      </w:r>
      <w:r>
        <w:t xml:space="preserve"> at 4.</w:t>
      </w:r>
    </w:p>
  </w:footnote>
  <w:footnote w:id="121">
    <w:p w:rsidR="007B2A7B" w:rsidP="004A3687" w14:paraId="621C8495" w14:textId="1B287037">
      <w:pPr>
        <w:pStyle w:val="FootnoteText"/>
      </w:pPr>
      <w:r>
        <w:rPr>
          <w:rStyle w:val="FootnoteReference"/>
        </w:rPr>
        <w:footnoteRef/>
      </w:r>
      <w:r>
        <w:t xml:space="preserve"> </w:t>
      </w:r>
      <w:r w:rsidRPr="00086F75">
        <w:rPr>
          <w:i/>
          <w:iCs/>
        </w:rPr>
        <w:t>Id</w:t>
      </w:r>
      <w:r>
        <w:t>.</w:t>
      </w:r>
    </w:p>
  </w:footnote>
  <w:footnote w:id="122">
    <w:p w:rsidR="007B2A7B" w:rsidP="004A3687" w14:paraId="7B17373F" w14:textId="7E676EA2">
      <w:pPr>
        <w:pStyle w:val="FootnoteText"/>
      </w:pPr>
      <w:r>
        <w:rPr>
          <w:rStyle w:val="FootnoteReference"/>
        </w:rPr>
        <w:footnoteRef/>
      </w:r>
      <w:r>
        <w:t xml:space="preserve"> </w:t>
      </w:r>
      <w:r w:rsidRPr="0002396B">
        <w:rPr>
          <w:i/>
          <w:iCs/>
        </w:rPr>
        <w:t>Id.</w:t>
      </w:r>
      <w:r>
        <w:t xml:space="preserve"> at 5.  </w:t>
      </w:r>
    </w:p>
  </w:footnote>
  <w:footnote w:id="123">
    <w:p w:rsidR="007B2A7B" w:rsidP="004A3687" w14:paraId="44AF5409" w14:textId="77777777">
      <w:pPr>
        <w:pStyle w:val="FootnoteText"/>
      </w:pPr>
      <w:r>
        <w:rPr>
          <w:rStyle w:val="FootnoteReference"/>
        </w:rPr>
        <w:footnoteRef/>
      </w:r>
      <w:r>
        <w:t xml:space="preserve"> Charter Comments at 5.</w:t>
      </w:r>
    </w:p>
  </w:footnote>
  <w:footnote w:id="124">
    <w:p w:rsidR="007B2A7B" w:rsidP="00DE601E" w14:paraId="752EA2CC" w14:textId="12228BEB">
      <w:pPr>
        <w:pStyle w:val="FootnoteText"/>
      </w:pPr>
      <w:r>
        <w:rPr>
          <w:rStyle w:val="FootnoteReference"/>
        </w:rPr>
        <w:footnoteRef/>
      </w:r>
      <w:r>
        <w:t xml:space="preserve"> Comcast Comments at 3; Letter from Tony Werner, President, Technology, Product, </w:t>
      </w:r>
      <w:r>
        <w:t>Xperience</w:t>
      </w:r>
      <w:r>
        <w:t>, Comcast Cable, to Marlene H. Dortch, Secretary, FCC, CG Docket No. 17-59, at 1 (Feb. 28, 2020) (Comcast</w:t>
      </w:r>
      <w:r w:rsidRPr="00F742E4">
        <w:t xml:space="preserve"> Letter</w:t>
      </w:r>
      <w:r>
        <w:t>).</w:t>
      </w:r>
    </w:p>
  </w:footnote>
  <w:footnote w:id="125">
    <w:p w:rsidR="007B2A7B" w:rsidP="00DE601E" w14:paraId="19285D07" w14:textId="77777777">
      <w:pPr>
        <w:pStyle w:val="FootnoteText"/>
      </w:pPr>
      <w:r>
        <w:rPr>
          <w:rStyle w:val="FootnoteReference"/>
        </w:rPr>
        <w:footnoteRef/>
      </w:r>
      <w:r>
        <w:t xml:space="preserve"> Comcast Comments at 4; Comcast Letter at 2.</w:t>
      </w:r>
    </w:p>
  </w:footnote>
  <w:footnote w:id="126">
    <w:p w:rsidR="007B2A7B" w:rsidP="00DE601E" w14:paraId="3C85A531" w14:textId="77777777">
      <w:pPr>
        <w:pStyle w:val="FootnoteText"/>
      </w:pPr>
      <w:r>
        <w:rPr>
          <w:rStyle w:val="FootnoteReference"/>
        </w:rPr>
        <w:footnoteRef/>
      </w:r>
      <w:r>
        <w:t xml:space="preserve"> Comcast Comments at 4-5; Comcast Letter at 2.</w:t>
      </w:r>
    </w:p>
  </w:footnote>
  <w:footnote w:id="127">
    <w:p w:rsidR="007B2A7B" w:rsidP="00DE601E" w14:paraId="6E1F25DC" w14:textId="77777777">
      <w:pPr>
        <w:pStyle w:val="FootnoteText"/>
      </w:pPr>
      <w:r>
        <w:rPr>
          <w:rStyle w:val="FootnoteReference"/>
        </w:rPr>
        <w:footnoteRef/>
      </w:r>
      <w:r>
        <w:t xml:space="preserve"> Comcast Comments at 5; Comcast Letter at 2.</w:t>
      </w:r>
    </w:p>
  </w:footnote>
  <w:footnote w:id="128">
    <w:p w:rsidR="007B2A7B" w:rsidP="00DE601E" w14:paraId="3BFC59B1" w14:textId="779F884A">
      <w:pPr>
        <w:pStyle w:val="FootnoteText"/>
      </w:pPr>
      <w:r>
        <w:rPr>
          <w:rStyle w:val="FootnoteReference"/>
        </w:rPr>
        <w:footnoteRef/>
      </w:r>
      <w:r>
        <w:t xml:space="preserve"> Comcast Comments at 5; Comcast Letter at 2.</w:t>
      </w:r>
    </w:p>
  </w:footnote>
  <w:footnote w:id="129">
    <w:p w:rsidR="007B2A7B" w:rsidP="00DE601E" w14:paraId="5B099D03" w14:textId="610C4A17">
      <w:pPr>
        <w:pStyle w:val="FootnoteText"/>
      </w:pPr>
      <w:r>
        <w:rPr>
          <w:rStyle w:val="FootnoteReference"/>
        </w:rPr>
        <w:footnoteRef/>
      </w:r>
      <w:r>
        <w:t xml:space="preserve"> Comcast Comments at 6; Comcast Letter at 2;</w:t>
      </w:r>
      <w:r w:rsidRPr="002575D3">
        <w:t xml:space="preserve"> </w:t>
      </w:r>
      <w:r>
        <w:t xml:space="preserve">Xfinity, </w:t>
      </w:r>
      <w:r w:rsidRPr="004C5BA3">
        <w:rPr>
          <w:i/>
          <w:iCs/>
        </w:rPr>
        <w:t>How to Stop Unsolicited Robocalls to Your Home</w:t>
      </w:r>
      <w:r>
        <w:t xml:space="preserve">, </w:t>
      </w:r>
      <w:hyperlink r:id="rId45" w:history="1">
        <w:r>
          <w:rPr>
            <w:rStyle w:val="Hyperlink"/>
          </w:rPr>
          <w:t>https://www.xfinity.com/support/articles/nomorobo</w:t>
        </w:r>
      </w:hyperlink>
      <w:r>
        <w:t xml:space="preserve"> (last visited June 9, 2020).</w:t>
      </w:r>
    </w:p>
  </w:footnote>
  <w:footnote w:id="130">
    <w:p w:rsidR="007B2A7B" w:rsidP="00DE601E" w14:paraId="207A2959" w14:textId="77777777">
      <w:pPr>
        <w:pStyle w:val="FootnoteText"/>
      </w:pPr>
      <w:r>
        <w:rPr>
          <w:rStyle w:val="FootnoteReference"/>
        </w:rPr>
        <w:footnoteRef/>
      </w:r>
      <w:r>
        <w:t xml:space="preserve"> Comcast Comments at 6; Comcast Letter at 2.</w:t>
      </w:r>
    </w:p>
  </w:footnote>
  <w:footnote w:id="131">
    <w:p w:rsidR="007B2A7B" w:rsidP="00DE601E" w14:paraId="09910404" w14:textId="77777777">
      <w:pPr>
        <w:pStyle w:val="FootnoteText"/>
      </w:pPr>
      <w:r>
        <w:rPr>
          <w:rStyle w:val="FootnoteReference"/>
        </w:rPr>
        <w:footnoteRef/>
      </w:r>
      <w:r>
        <w:t xml:space="preserve"> Comcast Letter at 3.</w:t>
      </w:r>
    </w:p>
  </w:footnote>
  <w:footnote w:id="132">
    <w:p w:rsidR="007B2A7B" w:rsidP="00DE601E" w14:paraId="1B53C846" w14:textId="2F833D55">
      <w:pPr>
        <w:pStyle w:val="FootnoteText"/>
      </w:pPr>
      <w:r>
        <w:rPr>
          <w:rStyle w:val="FootnoteReference"/>
        </w:rPr>
        <w:footnoteRef/>
      </w:r>
      <w:r>
        <w:t xml:space="preserve"> Comcast Comments at 6; Comcast Letter at 2; </w:t>
      </w:r>
      <w:r>
        <w:rPr>
          <w:i/>
          <w:iCs/>
        </w:rPr>
        <w:t>s</w:t>
      </w:r>
      <w:r w:rsidRPr="004B46C5">
        <w:rPr>
          <w:i/>
          <w:iCs/>
        </w:rPr>
        <w:t>ee</w:t>
      </w:r>
      <w:r>
        <w:t xml:space="preserve"> Daniel Frankel, </w:t>
      </w:r>
      <w:r w:rsidRPr="004C5BA3">
        <w:rPr>
          <w:i/>
          <w:iCs/>
        </w:rPr>
        <w:t>Comcast Enables Robocall Blocking for Xfinity Mobile</w:t>
      </w:r>
      <w:r>
        <w:t xml:space="preserve">, Multichannel News (June 25, 2019), </w:t>
      </w:r>
      <w:hyperlink r:id="rId53" w:history="1">
        <w:r>
          <w:rPr>
            <w:rStyle w:val="Hyperlink"/>
          </w:rPr>
          <w:t>https://www.multichannel.com/news/comcast-enables-hiya-robocall-blocking-on-xfinity-mobile</w:t>
        </w:r>
      </w:hyperlink>
      <w:r>
        <w:t xml:space="preserve">; Xfinity, </w:t>
      </w:r>
      <w:r w:rsidRPr="004C5BA3">
        <w:rPr>
          <w:i/>
          <w:iCs/>
        </w:rPr>
        <w:t xml:space="preserve">How </w:t>
      </w:r>
      <w:r>
        <w:rPr>
          <w:i/>
          <w:iCs/>
        </w:rPr>
        <w:t>D</w:t>
      </w:r>
      <w:r w:rsidRPr="004C5BA3">
        <w:rPr>
          <w:i/>
          <w:iCs/>
        </w:rPr>
        <w:t>o I Block Robocalls?</w:t>
      </w:r>
      <w:r>
        <w:t xml:space="preserve">, </w:t>
      </w:r>
      <w:hyperlink r:id="rId54" w:history="1">
        <w:r w:rsidRPr="00334C02">
          <w:rPr>
            <w:rStyle w:val="Hyperlink"/>
          </w:rPr>
          <w:t>https://www.xfinity.com/mobile/support/article/how-to-block-robocalls</w:t>
        </w:r>
      </w:hyperlink>
      <w:r>
        <w:t xml:space="preserve"> (last visited June 9, 2020).</w:t>
      </w:r>
    </w:p>
  </w:footnote>
  <w:footnote w:id="133">
    <w:p w:rsidR="007B2A7B" w:rsidP="00DE601E" w14:paraId="7836EF75" w14:textId="77777777">
      <w:pPr>
        <w:pStyle w:val="FootnoteText"/>
      </w:pPr>
      <w:r>
        <w:rPr>
          <w:rStyle w:val="FootnoteReference"/>
        </w:rPr>
        <w:footnoteRef/>
      </w:r>
      <w:r>
        <w:t xml:space="preserve"> Cox Comments at 2; Cox Letter at 2.</w:t>
      </w:r>
    </w:p>
  </w:footnote>
  <w:footnote w:id="134">
    <w:p w:rsidR="007B2A7B" w:rsidP="00DE601E" w14:paraId="6E8D4706" w14:textId="744376F5">
      <w:pPr>
        <w:pStyle w:val="FootnoteText"/>
      </w:pPr>
      <w:r>
        <w:rPr>
          <w:rStyle w:val="FootnoteReference"/>
        </w:rPr>
        <w:footnoteRef/>
      </w:r>
      <w:r>
        <w:t xml:space="preserve"> Cox Comments at 2; Cox Letter at 2.</w:t>
      </w:r>
    </w:p>
  </w:footnote>
  <w:footnote w:id="135">
    <w:p w:rsidR="007B2A7B" w:rsidP="00DE601E" w14:paraId="3CEAA432" w14:textId="58D4ABB6">
      <w:pPr>
        <w:pStyle w:val="FootnoteText"/>
      </w:pPr>
      <w:r>
        <w:rPr>
          <w:rStyle w:val="FootnoteReference"/>
        </w:rPr>
        <w:footnoteRef/>
      </w:r>
      <w:r>
        <w:t xml:space="preserve"> Cox Comments at 2; </w:t>
      </w:r>
      <w:r>
        <w:rPr>
          <w:i/>
          <w:iCs/>
        </w:rPr>
        <w:t>s</w:t>
      </w:r>
      <w:r w:rsidRPr="00E632F8">
        <w:rPr>
          <w:i/>
          <w:iCs/>
        </w:rPr>
        <w:t xml:space="preserve">ee </w:t>
      </w:r>
      <w:r>
        <w:t xml:space="preserve">Cox, </w:t>
      </w:r>
      <w:r w:rsidRPr="00E632F8">
        <w:rPr>
          <w:i/>
          <w:iCs/>
        </w:rPr>
        <w:t>Using Selective Call Rejection</w:t>
      </w:r>
      <w:r>
        <w:t xml:space="preserve">, </w:t>
      </w:r>
      <w:hyperlink r:id="rId55" w:history="1">
        <w:r>
          <w:rPr>
            <w:rStyle w:val="Hyperlink"/>
          </w:rPr>
          <w:t>https://www.cox.com/business/support/using-selective-call-rejection.html</w:t>
        </w:r>
      </w:hyperlink>
      <w:r>
        <w:t xml:space="preserve"> (last visited June 9, 2020).</w:t>
      </w:r>
    </w:p>
  </w:footnote>
  <w:footnote w:id="136">
    <w:p w:rsidR="007B2A7B" w:rsidP="00DE601E" w14:paraId="10A9E51D" w14:textId="2B301A68">
      <w:pPr>
        <w:pStyle w:val="FootnoteText"/>
      </w:pPr>
      <w:r>
        <w:rPr>
          <w:rStyle w:val="FootnoteReference"/>
        </w:rPr>
        <w:footnoteRef/>
      </w:r>
      <w:r>
        <w:t xml:space="preserve"> Letter from Jennifer Hightower, Senior Vice President and General Counsel, Cox, to G. Patrick Webre, Chief, FCC Consumer and Governmental Affairs Bureau, CG Docket No. 17-59, at 1 (Feb. 28, 2020) (Cox Letter).</w:t>
      </w:r>
    </w:p>
  </w:footnote>
  <w:footnote w:id="137">
    <w:p w:rsidR="007B2A7B" w:rsidP="00DE601E" w14:paraId="60C73FEE" w14:textId="77777777">
      <w:pPr>
        <w:pStyle w:val="FootnoteText"/>
      </w:pPr>
      <w:r>
        <w:rPr>
          <w:rStyle w:val="FootnoteReference"/>
        </w:rPr>
        <w:footnoteRef/>
      </w:r>
      <w:r>
        <w:t xml:space="preserve"> Cox Letter at 1.</w:t>
      </w:r>
    </w:p>
  </w:footnote>
  <w:footnote w:id="138">
    <w:p w:rsidR="007B2A7B" w:rsidP="00DE601E" w14:paraId="56EC88B8" w14:textId="77777777">
      <w:pPr>
        <w:pStyle w:val="FootnoteText"/>
      </w:pPr>
      <w:r>
        <w:rPr>
          <w:rStyle w:val="FootnoteReference"/>
        </w:rPr>
        <w:footnoteRef/>
      </w:r>
      <w:r>
        <w:t xml:space="preserve"> Cox Comments at 1; Cox Letter at 2.</w:t>
      </w:r>
    </w:p>
  </w:footnote>
  <w:footnote w:id="139">
    <w:p w:rsidR="007B2A7B" w:rsidP="00DE601E" w14:paraId="4B45CCF7" w14:textId="77777777">
      <w:pPr>
        <w:pStyle w:val="FootnoteText"/>
      </w:pPr>
      <w:r>
        <w:rPr>
          <w:rStyle w:val="FootnoteReference"/>
        </w:rPr>
        <w:footnoteRef/>
      </w:r>
      <w:r>
        <w:t xml:space="preserve"> Cox Comments at 3.</w:t>
      </w:r>
    </w:p>
  </w:footnote>
  <w:footnote w:id="140">
    <w:p w:rsidR="007B2A7B" w:rsidP="00DE601E" w14:paraId="4FD4FC91" w14:textId="30330A70">
      <w:pPr>
        <w:pStyle w:val="FootnoteText"/>
      </w:pPr>
      <w:r>
        <w:rPr>
          <w:rStyle w:val="FootnoteReference"/>
        </w:rPr>
        <w:footnoteRef/>
      </w:r>
      <w:r>
        <w:t xml:space="preserve"> </w:t>
      </w:r>
      <w:r w:rsidRPr="00120B27">
        <w:rPr>
          <w:i/>
          <w:iCs/>
        </w:rPr>
        <w:t>Id</w:t>
      </w:r>
      <w:r>
        <w:t>.</w:t>
      </w:r>
    </w:p>
  </w:footnote>
  <w:footnote w:id="141">
    <w:p w:rsidR="007B2A7B" w:rsidP="001A23FC" w14:paraId="2D91B4DC" w14:textId="77777777">
      <w:pPr>
        <w:pStyle w:val="FootnoteText"/>
      </w:pPr>
      <w:r>
        <w:rPr>
          <w:rStyle w:val="FootnoteReference"/>
        </w:rPr>
        <w:footnoteRef/>
      </w:r>
      <w:r>
        <w:t xml:space="preserve"> Frontier Letter at 2.</w:t>
      </w:r>
    </w:p>
  </w:footnote>
  <w:footnote w:id="142">
    <w:p w:rsidR="007B2A7B" w:rsidP="001A23FC" w14:paraId="49D423ED" w14:textId="257B9097">
      <w:pPr>
        <w:pStyle w:val="FootnoteText"/>
      </w:pPr>
      <w:r>
        <w:rPr>
          <w:rStyle w:val="FootnoteReference"/>
        </w:rPr>
        <w:footnoteRef/>
      </w:r>
      <w:r>
        <w:t xml:space="preserve"> </w:t>
      </w:r>
      <w:r w:rsidRPr="0089432D">
        <w:rPr>
          <w:i/>
          <w:iCs/>
        </w:rPr>
        <w:t>Id</w:t>
      </w:r>
      <w:r>
        <w:t>.</w:t>
      </w:r>
    </w:p>
  </w:footnote>
  <w:footnote w:id="143">
    <w:p w:rsidR="007B2A7B" w:rsidP="001A23FC" w14:paraId="6A732A4A" w14:textId="71CC4A0B">
      <w:pPr>
        <w:pStyle w:val="FootnoteText"/>
      </w:pPr>
      <w:r>
        <w:rPr>
          <w:rStyle w:val="FootnoteReference"/>
        </w:rPr>
        <w:footnoteRef/>
      </w:r>
      <w:r>
        <w:t xml:space="preserve"> Frontier Letter at 2; </w:t>
      </w:r>
      <w:r>
        <w:rPr>
          <w:i/>
          <w:iCs/>
        </w:rPr>
        <w:t>s</w:t>
      </w:r>
      <w:r w:rsidRPr="00780B71">
        <w:rPr>
          <w:i/>
          <w:iCs/>
        </w:rPr>
        <w:t xml:space="preserve">ee </w:t>
      </w:r>
      <w:r w:rsidRPr="00780B71">
        <w:rPr>
          <w:i/>
          <w:iCs/>
        </w:rPr>
        <w:t>Robocaller</w:t>
      </w:r>
      <w:r w:rsidRPr="00780B71">
        <w:rPr>
          <w:i/>
          <w:iCs/>
        </w:rPr>
        <w:t xml:space="preserve"> Alert on Your Caller ID</w:t>
      </w:r>
      <w:r>
        <w:t xml:space="preserve">, </w:t>
      </w:r>
      <w:hyperlink r:id="rId56" w:history="1">
        <w:r>
          <w:rPr>
            <w:rStyle w:val="Hyperlink"/>
          </w:rPr>
          <w:t>https://frontier.com/helpcenter/categories/phone/calling-features/robocaller-alert</w:t>
        </w:r>
      </w:hyperlink>
      <w:r>
        <w:t xml:space="preserve"> (last visited June 9, 2020).</w:t>
      </w:r>
    </w:p>
  </w:footnote>
  <w:footnote w:id="144">
    <w:p w:rsidR="007B2A7B" w:rsidP="001A23FC" w14:paraId="5F2A4800" w14:textId="45417B89">
      <w:pPr>
        <w:pStyle w:val="FootnoteText"/>
      </w:pPr>
      <w:r>
        <w:rPr>
          <w:rStyle w:val="FootnoteReference"/>
        </w:rPr>
        <w:footnoteRef/>
      </w:r>
      <w:r>
        <w:t xml:space="preserve"> Frontier Letter at 2; </w:t>
      </w:r>
      <w:r>
        <w:rPr>
          <w:i/>
          <w:iCs/>
        </w:rPr>
        <w:t>s</w:t>
      </w:r>
      <w:r w:rsidRPr="009B3ED2">
        <w:rPr>
          <w:i/>
          <w:iCs/>
        </w:rPr>
        <w:t>ee How to Block Telemarketing Calls</w:t>
      </w:r>
      <w:r>
        <w:t xml:space="preserve">, </w:t>
      </w:r>
      <w:hyperlink r:id="rId57" w:history="1">
        <w:r>
          <w:rPr>
            <w:rStyle w:val="Hyperlink"/>
          </w:rPr>
          <w:t>https://frontier.com/helpcenter/categories/phone/calling-features/block-telemarketing-calls</w:t>
        </w:r>
      </w:hyperlink>
      <w:r>
        <w:t xml:space="preserve"> (last visited June 9, 2020).</w:t>
      </w:r>
    </w:p>
  </w:footnote>
  <w:footnote w:id="145">
    <w:p w:rsidR="007B2A7B" w:rsidP="00C25695" w14:paraId="084EE685" w14:textId="1C91266F">
      <w:pPr>
        <w:pStyle w:val="FootnoteText"/>
      </w:pPr>
      <w:r>
        <w:rPr>
          <w:rStyle w:val="FootnoteReference"/>
        </w:rPr>
        <w:footnoteRef/>
      </w:r>
      <w:r>
        <w:t xml:space="preserve"> Sprint Comments at 4-5; Letter from Charles W. McKee, Vice President, Government Affairs, Sprint Corporation, to G. Patrick Webre, Chief, FCC Consumer and Governmental Affairs Bureau, CG Docket No. 17-59, at 2 (Feb. 28, 2020) (Sprint Letter).</w:t>
      </w:r>
    </w:p>
  </w:footnote>
  <w:footnote w:id="146">
    <w:p w:rsidR="007B2A7B" w:rsidP="00C25695" w14:paraId="55EE2BE5" w14:textId="0DECC2E7">
      <w:pPr>
        <w:pStyle w:val="FootnoteText"/>
      </w:pPr>
      <w:r>
        <w:rPr>
          <w:rStyle w:val="FootnoteReference"/>
        </w:rPr>
        <w:footnoteRef/>
      </w:r>
      <w:r>
        <w:t xml:space="preserve"> Sprint Comments at 1;</w:t>
      </w:r>
      <w:r w:rsidRPr="0089432D">
        <w:t xml:space="preserve"> </w:t>
      </w:r>
      <w:r>
        <w:t>Sprint Letter at 1.</w:t>
      </w:r>
    </w:p>
  </w:footnote>
  <w:footnote w:id="147">
    <w:p w:rsidR="007B2A7B" w14:paraId="580EA78A" w14:textId="677C141A">
      <w:pPr>
        <w:pStyle w:val="FootnoteText"/>
      </w:pPr>
      <w:r>
        <w:rPr>
          <w:rStyle w:val="FootnoteReference"/>
        </w:rPr>
        <w:footnoteRef/>
      </w:r>
      <w:r>
        <w:t xml:space="preserve"> Sprint Letter at 1.</w:t>
      </w:r>
    </w:p>
  </w:footnote>
  <w:footnote w:id="148">
    <w:p w:rsidR="007B2A7B" w:rsidP="00C25695" w14:paraId="2D16D725" w14:textId="77777777">
      <w:pPr>
        <w:pStyle w:val="FootnoteText"/>
      </w:pPr>
      <w:r>
        <w:rPr>
          <w:rStyle w:val="FootnoteReference"/>
        </w:rPr>
        <w:footnoteRef/>
      </w:r>
      <w:r>
        <w:t xml:space="preserve"> Sprint Comments at 2; Sprint Letter at 1.</w:t>
      </w:r>
    </w:p>
  </w:footnote>
  <w:footnote w:id="149">
    <w:p w:rsidR="007B2A7B" w:rsidP="00C25695" w14:paraId="60486FF2" w14:textId="78D0107C">
      <w:pPr>
        <w:pStyle w:val="FootnoteText"/>
      </w:pPr>
      <w:r>
        <w:rPr>
          <w:rStyle w:val="FootnoteReference"/>
        </w:rPr>
        <w:footnoteRef/>
      </w:r>
      <w:r>
        <w:t xml:space="preserve"> Sprint Comments at 2-3; Sprint Letter at 1-2.</w:t>
      </w:r>
    </w:p>
  </w:footnote>
  <w:footnote w:id="150">
    <w:p w:rsidR="007B2A7B" w:rsidP="00C25695" w14:paraId="55FB7805" w14:textId="7C2D1434">
      <w:pPr>
        <w:pStyle w:val="FootnoteText"/>
      </w:pPr>
      <w:r>
        <w:rPr>
          <w:rStyle w:val="FootnoteReference"/>
        </w:rPr>
        <w:footnoteRef/>
      </w:r>
      <w:r>
        <w:t xml:space="preserve"> Sprint Comments at 4; Sprint Letter at 2.  TNS’s website permits feedback from consumers and enterprises.  </w:t>
      </w:r>
      <w:r w:rsidRPr="00FB3446">
        <w:rPr>
          <w:i/>
          <w:iCs/>
        </w:rPr>
        <w:t xml:space="preserve">Welcome to TNS’ Robocall Feedback </w:t>
      </w:r>
      <w:r w:rsidRPr="00FB3446">
        <w:rPr>
          <w:i/>
          <w:iCs/>
        </w:rPr>
        <w:t>Website</w:t>
      </w:r>
      <w:r>
        <w:rPr>
          <w:i/>
          <w:iCs/>
        </w:rPr>
        <w:t>!</w:t>
      </w:r>
      <w:r>
        <w:t>,</w:t>
      </w:r>
      <w:r>
        <w:t xml:space="preserve"> </w:t>
      </w:r>
      <w:hyperlink r:id="rId58" w:history="1">
        <w:r>
          <w:rPr>
            <w:rStyle w:val="Hyperlink"/>
          </w:rPr>
          <w:t>https://reportarobocall.com/trf</w:t>
        </w:r>
      </w:hyperlink>
      <w:r>
        <w:t xml:space="preserve"> (last visited June 9, 2020).  TNS encourages callers and consumers to provide feedback through this portal.  TNS Letter at 4 &amp; n.8.</w:t>
      </w:r>
    </w:p>
  </w:footnote>
  <w:footnote w:id="151">
    <w:p w:rsidR="007B2A7B" w:rsidP="00C25695" w14:paraId="2B38413E" w14:textId="77777777">
      <w:pPr>
        <w:pStyle w:val="FootnoteText"/>
      </w:pPr>
      <w:r>
        <w:rPr>
          <w:rStyle w:val="FootnoteReference"/>
        </w:rPr>
        <w:footnoteRef/>
      </w:r>
      <w:r>
        <w:t xml:space="preserve"> Sprint Letter at 3.</w:t>
      </w:r>
    </w:p>
  </w:footnote>
  <w:footnote w:id="152">
    <w:p w:rsidR="007B2A7B" w:rsidP="00C25695" w14:paraId="282BB0CE" w14:textId="686CFC22">
      <w:pPr>
        <w:pStyle w:val="FootnoteText"/>
      </w:pPr>
      <w:r>
        <w:rPr>
          <w:rStyle w:val="FootnoteReference"/>
        </w:rPr>
        <w:footnoteRef/>
      </w:r>
      <w:r>
        <w:t xml:space="preserve"> </w:t>
      </w:r>
      <w:r w:rsidRPr="00BB5362">
        <w:rPr>
          <w:i/>
          <w:iCs/>
        </w:rPr>
        <w:t>Block, Restrict, or Allow Voice Calls Using My Sprint</w:t>
      </w:r>
      <w:r>
        <w:t xml:space="preserve">, </w:t>
      </w:r>
      <w:hyperlink r:id="rId59" w:history="1">
        <w:r>
          <w:rPr>
            <w:rStyle w:val="Hyperlink"/>
          </w:rPr>
          <w:t>https://www.sprint.com/en/support/solutions/services/block-restrict-or-allow-voice-calls-using-my-sprint.html</w:t>
        </w:r>
      </w:hyperlink>
      <w:r>
        <w:t xml:space="preserve"> (last visited June 9, 2020).</w:t>
      </w:r>
    </w:p>
  </w:footnote>
  <w:footnote w:id="153">
    <w:p w:rsidR="007B2A7B" w:rsidP="0003451C" w14:paraId="4EC0ECA0" w14:textId="3094F3CE">
      <w:pPr>
        <w:pStyle w:val="FootnoteText"/>
      </w:pPr>
      <w:r>
        <w:rPr>
          <w:rStyle w:val="FootnoteReference"/>
        </w:rPr>
        <w:footnoteRef/>
      </w:r>
      <w:r>
        <w:t xml:space="preserve"> Letter from Ken </w:t>
      </w:r>
      <w:r>
        <w:t>Paker</w:t>
      </w:r>
      <w:r>
        <w:t>, Sr. Vice President and CTO, and Andrew Peterson, Sr. Vice President, TDS Telecommunications LLC, to Marlene H. Dortch, Secretary, FCC, CG Docket No. 17-59, at 1 (Feb. 28, 2020) (TDS</w:t>
      </w:r>
      <w:r w:rsidRPr="00F742E4">
        <w:t xml:space="preserve"> Letter</w:t>
      </w:r>
      <w:r>
        <w:t>).</w:t>
      </w:r>
    </w:p>
  </w:footnote>
  <w:footnote w:id="154">
    <w:p w:rsidR="007B2A7B" w:rsidP="0003451C" w14:paraId="5A4289BE" w14:textId="77777777">
      <w:pPr>
        <w:pStyle w:val="FootnoteText"/>
      </w:pPr>
      <w:r>
        <w:rPr>
          <w:rStyle w:val="FootnoteReference"/>
        </w:rPr>
        <w:footnoteRef/>
      </w:r>
      <w:r>
        <w:t xml:space="preserve"> TDS Letter at 1.</w:t>
      </w:r>
    </w:p>
  </w:footnote>
  <w:footnote w:id="155">
    <w:p w:rsidR="007B2A7B" w:rsidP="001A23FC" w14:paraId="74191026" w14:textId="77777777">
      <w:pPr>
        <w:pStyle w:val="FootnoteText"/>
      </w:pPr>
      <w:r>
        <w:rPr>
          <w:rStyle w:val="FootnoteReference"/>
        </w:rPr>
        <w:footnoteRef/>
      </w:r>
      <w:r>
        <w:t xml:space="preserve"> T-Mobile Comments at 2-3.</w:t>
      </w:r>
    </w:p>
  </w:footnote>
  <w:footnote w:id="156">
    <w:p w:rsidR="007B2A7B" w:rsidP="001A23FC" w14:paraId="008D6E15" w14:textId="048A99C5">
      <w:pPr>
        <w:pStyle w:val="FootnoteText"/>
      </w:pPr>
      <w:r>
        <w:rPr>
          <w:rStyle w:val="FootnoteReference"/>
        </w:rPr>
        <w:footnoteRef/>
      </w:r>
      <w:r>
        <w:t xml:space="preserve"> </w:t>
      </w:r>
      <w:r w:rsidRPr="00120B27">
        <w:rPr>
          <w:i/>
          <w:iCs/>
        </w:rPr>
        <w:t>Id.</w:t>
      </w:r>
      <w:r>
        <w:t xml:space="preserve"> at 3.</w:t>
      </w:r>
    </w:p>
  </w:footnote>
  <w:footnote w:id="157">
    <w:p w:rsidR="007B2A7B" w:rsidP="001A23FC" w14:paraId="4CC4BAE0" w14:textId="4C2F4D16">
      <w:pPr>
        <w:pStyle w:val="FootnoteText"/>
      </w:pPr>
      <w:r>
        <w:rPr>
          <w:rStyle w:val="FootnoteReference"/>
        </w:rPr>
        <w:footnoteRef/>
      </w:r>
      <w:r>
        <w:t xml:space="preserve"> </w:t>
      </w:r>
      <w:r w:rsidRPr="00120B27">
        <w:rPr>
          <w:i/>
          <w:iCs/>
        </w:rPr>
        <w:t>Id</w:t>
      </w:r>
      <w:r>
        <w:t>.</w:t>
      </w:r>
    </w:p>
  </w:footnote>
  <w:footnote w:id="158">
    <w:p w:rsidR="007B2A7B" w:rsidP="001A23FC" w14:paraId="3241F367" w14:textId="2680FE3A">
      <w:pPr>
        <w:pStyle w:val="FootnoteText"/>
      </w:pPr>
      <w:r>
        <w:rPr>
          <w:rStyle w:val="FootnoteReference"/>
        </w:rPr>
        <w:footnoteRef/>
      </w:r>
      <w:r>
        <w:t xml:space="preserve"> </w:t>
      </w:r>
      <w:r w:rsidRPr="00120B27">
        <w:rPr>
          <w:i/>
          <w:iCs/>
        </w:rPr>
        <w:t>Id</w:t>
      </w:r>
      <w:r>
        <w:t>.</w:t>
      </w:r>
    </w:p>
  </w:footnote>
  <w:footnote w:id="159">
    <w:p w:rsidR="007B2A7B" w:rsidP="001A23FC" w14:paraId="2723750F" w14:textId="796EC227">
      <w:pPr>
        <w:pStyle w:val="FootnoteText"/>
      </w:pPr>
      <w:r>
        <w:rPr>
          <w:rStyle w:val="FootnoteReference"/>
        </w:rPr>
        <w:footnoteRef/>
      </w:r>
      <w:r>
        <w:t xml:space="preserve"> </w:t>
      </w:r>
      <w:r w:rsidRPr="00120B27">
        <w:rPr>
          <w:i/>
          <w:iCs/>
        </w:rPr>
        <w:t>Id</w:t>
      </w:r>
      <w:r>
        <w:rPr>
          <w:i/>
          <w:iCs/>
        </w:rPr>
        <w:t>.</w:t>
      </w:r>
      <w:r>
        <w:t xml:space="preserve"> at 3-4.  This service is included in some plans and available for $4/month for customers on other plans.</w:t>
      </w:r>
      <w:r w:rsidRPr="00605ECA">
        <w:t xml:space="preserve"> </w:t>
      </w:r>
      <w:r>
        <w:t xml:space="preserve"> </w:t>
      </w:r>
      <w:r w:rsidRPr="00120B27">
        <w:rPr>
          <w:i/>
          <w:iCs/>
        </w:rPr>
        <w:t>Id.</w:t>
      </w:r>
      <w:r>
        <w:t xml:space="preserve"> at 4.</w:t>
      </w:r>
    </w:p>
  </w:footnote>
  <w:footnote w:id="160">
    <w:p w:rsidR="007B2A7B" w:rsidP="00D83D7C" w14:paraId="6BD1F768" w14:textId="2CB27348">
      <w:pPr>
        <w:pStyle w:val="FootnoteText"/>
      </w:pPr>
      <w:r>
        <w:rPr>
          <w:rStyle w:val="FootnoteReference"/>
        </w:rPr>
        <w:footnoteRef/>
      </w:r>
      <w:r>
        <w:t xml:space="preserve"> Letter from Grant B. </w:t>
      </w:r>
      <w:r>
        <w:t>Spellmeyer</w:t>
      </w:r>
      <w:r>
        <w:t>, Vice President, U.S. Cellular, to G. Patrick Webre, Chief, FCC Consumer and Governmental Affairs Bureau, CG Docket No. 17-59, at 2 (Feb. 28, 2020) (U.S. Cellular Letter).</w:t>
      </w:r>
    </w:p>
  </w:footnote>
  <w:footnote w:id="161">
    <w:p w:rsidR="007B2A7B" w14:paraId="60454529" w14:textId="75AB37ED">
      <w:pPr>
        <w:pStyle w:val="FootnoteText"/>
      </w:pPr>
      <w:r>
        <w:rPr>
          <w:rStyle w:val="FootnoteReference"/>
        </w:rPr>
        <w:footnoteRef/>
      </w:r>
      <w:r>
        <w:t xml:space="preserve"> U.S. Cellular Letter at 3.</w:t>
      </w:r>
    </w:p>
  </w:footnote>
  <w:footnote w:id="162">
    <w:p w:rsidR="007B2A7B" w:rsidP="00D83D7C" w14:paraId="710D3C4D" w14:textId="3B6D1BD5">
      <w:pPr>
        <w:pStyle w:val="FootnoteText"/>
      </w:pPr>
      <w:r>
        <w:rPr>
          <w:rStyle w:val="FootnoteReference"/>
        </w:rPr>
        <w:footnoteRef/>
      </w:r>
      <w:r>
        <w:t xml:space="preserve"> </w:t>
      </w:r>
      <w:r w:rsidRPr="00F27C42">
        <w:rPr>
          <w:i/>
          <w:iCs/>
        </w:rPr>
        <w:t>Id.</w:t>
      </w:r>
      <w:r>
        <w:t xml:space="preserve"> at 2.</w:t>
      </w:r>
    </w:p>
  </w:footnote>
  <w:footnote w:id="163">
    <w:p w:rsidR="007B2A7B" w:rsidP="00D83D7C" w14:paraId="622FE4DB" w14:textId="13B1687F">
      <w:pPr>
        <w:pStyle w:val="FootnoteText"/>
      </w:pPr>
      <w:r>
        <w:rPr>
          <w:rStyle w:val="FootnoteReference"/>
        </w:rPr>
        <w:footnoteRef/>
      </w:r>
      <w:r>
        <w:t xml:space="preserve"> </w:t>
      </w:r>
      <w:r w:rsidRPr="00B35065">
        <w:rPr>
          <w:i/>
          <w:iCs/>
        </w:rPr>
        <w:t>Id.</w:t>
      </w:r>
      <w:r>
        <w:t xml:space="preserve"> at 3.</w:t>
      </w:r>
    </w:p>
  </w:footnote>
  <w:footnote w:id="164">
    <w:p w:rsidR="007B2A7B" w:rsidP="00D83D7C" w14:paraId="626B8251" w14:textId="10EE8CF1">
      <w:pPr>
        <w:pStyle w:val="FootnoteText"/>
      </w:pPr>
      <w:r>
        <w:rPr>
          <w:rStyle w:val="FootnoteReference"/>
        </w:rPr>
        <w:footnoteRef/>
      </w:r>
      <w:r>
        <w:t xml:space="preserve"> </w:t>
      </w:r>
      <w:r w:rsidRPr="009373EB">
        <w:rPr>
          <w:i/>
          <w:iCs/>
        </w:rPr>
        <w:t>Id</w:t>
      </w:r>
      <w:r>
        <w:t>. at 4.</w:t>
      </w:r>
    </w:p>
  </w:footnote>
  <w:footnote w:id="165">
    <w:p w:rsidR="007B2A7B" w14:paraId="0E6A955A" w14:textId="5A51097A">
      <w:pPr>
        <w:pStyle w:val="FootnoteText"/>
      </w:pPr>
      <w:r>
        <w:rPr>
          <w:rStyle w:val="FootnoteReference"/>
        </w:rPr>
        <w:footnoteRef/>
      </w:r>
      <w:r>
        <w:t xml:space="preserve"> Letter from Christopher D. </w:t>
      </w:r>
      <w:r>
        <w:t>Oatway</w:t>
      </w:r>
      <w:r>
        <w:t>, Associate General Counsel, Verizon, to G. Patrick Webre, Chief, FCC Consumer and Governmental Affairs Bureau, CG Docket No. 17-59, at 2-3 (Feb. 28, 2020) (Verizon Letter).</w:t>
      </w:r>
    </w:p>
  </w:footnote>
  <w:footnote w:id="166">
    <w:p w:rsidR="007B2A7B" w14:paraId="29F0519F" w14:textId="77777777">
      <w:pPr>
        <w:pStyle w:val="FootnoteText"/>
      </w:pPr>
      <w:r>
        <w:rPr>
          <w:rStyle w:val="FootnoteReference"/>
        </w:rPr>
        <w:footnoteRef/>
      </w:r>
      <w:r>
        <w:t xml:space="preserve"> Verizon Letter at 4.</w:t>
      </w:r>
    </w:p>
  </w:footnote>
  <w:footnote w:id="167">
    <w:p w:rsidR="007B2A7B" w14:paraId="037815E2" w14:textId="0F10252C">
      <w:pPr>
        <w:pStyle w:val="FootnoteText"/>
      </w:pPr>
      <w:r>
        <w:rPr>
          <w:rStyle w:val="FootnoteReference"/>
        </w:rPr>
        <w:footnoteRef/>
      </w:r>
      <w:r>
        <w:t xml:space="preserve"> Verizon Comments at 1-2; Verizon Letter at 1, 6.</w:t>
      </w:r>
    </w:p>
  </w:footnote>
  <w:footnote w:id="168">
    <w:p w:rsidR="007B2A7B" w14:paraId="30EC3FC4" w14:textId="63D183CF">
      <w:pPr>
        <w:pStyle w:val="FootnoteText"/>
      </w:pPr>
      <w:r>
        <w:rPr>
          <w:rStyle w:val="FootnoteReference"/>
        </w:rPr>
        <w:footnoteRef/>
      </w:r>
      <w:r>
        <w:t xml:space="preserve"> Verizon Letter at 2.</w:t>
      </w:r>
    </w:p>
  </w:footnote>
  <w:footnote w:id="169">
    <w:p w:rsidR="007B2A7B" w:rsidRPr="00F54109" w14:paraId="2110BC3B" w14:textId="46905D4E">
      <w:pPr>
        <w:pStyle w:val="FootnoteText"/>
        <w:rPr>
          <w:i/>
          <w:iCs/>
        </w:rPr>
      </w:pPr>
      <w:r>
        <w:rPr>
          <w:rStyle w:val="FootnoteReference"/>
        </w:rPr>
        <w:footnoteRef/>
      </w:r>
      <w:r>
        <w:t xml:space="preserve"> </w:t>
      </w:r>
      <w:r>
        <w:rPr>
          <w:i/>
          <w:iCs/>
        </w:rPr>
        <w:t>Id.</w:t>
      </w:r>
    </w:p>
  </w:footnote>
  <w:footnote w:id="170">
    <w:p w:rsidR="007B2A7B" w14:paraId="725712AC" w14:textId="074E0807">
      <w:pPr>
        <w:pStyle w:val="FootnoteText"/>
      </w:pPr>
      <w:r>
        <w:rPr>
          <w:rStyle w:val="FootnoteReference"/>
        </w:rPr>
        <w:footnoteRef/>
      </w:r>
      <w:r>
        <w:t xml:space="preserve"> </w:t>
      </w:r>
      <w:r w:rsidRPr="005F7A72">
        <w:rPr>
          <w:i/>
          <w:iCs/>
        </w:rPr>
        <w:t>Id</w:t>
      </w:r>
      <w:r>
        <w:t>.;</w:t>
      </w:r>
      <w:r w:rsidRPr="00745438">
        <w:t xml:space="preserve"> </w:t>
      </w:r>
      <w:r>
        <w:rPr>
          <w:i/>
        </w:rPr>
        <w:t>s</w:t>
      </w:r>
      <w:r w:rsidRPr="00BC74B7">
        <w:rPr>
          <w:i/>
          <w:iCs/>
        </w:rPr>
        <w:t>ee</w:t>
      </w:r>
      <w:r>
        <w:rPr>
          <w:i/>
          <w:iCs/>
        </w:rPr>
        <w:t xml:space="preserve"> also</w:t>
      </w:r>
      <w:r w:rsidRPr="00BC74B7">
        <w:rPr>
          <w:i/>
          <w:iCs/>
        </w:rPr>
        <w:t xml:space="preserve"> </w:t>
      </w:r>
      <w:r>
        <w:t>FCC Consumer Guide,</w:t>
      </w:r>
      <w:r w:rsidRPr="00BC74B7">
        <w:rPr>
          <w:i/>
          <w:iCs/>
        </w:rPr>
        <w:t xml:space="preserve"> “One Ring” Phone Scam</w:t>
      </w:r>
      <w:r>
        <w:t xml:space="preserve"> (May 15, 2019), </w:t>
      </w:r>
      <w:hyperlink r:id="rId27" w:history="1">
        <w:r>
          <w:rPr>
            <w:rStyle w:val="Hyperlink"/>
          </w:rPr>
          <w:t>https://www.fcc.gov/consumers/guides/one-ring-phone-scam</w:t>
        </w:r>
      </w:hyperlink>
      <w:r>
        <w:rPr>
          <w:rStyle w:val="Hyperlink"/>
        </w:rPr>
        <w:t>.</w:t>
      </w:r>
    </w:p>
  </w:footnote>
  <w:footnote w:id="171">
    <w:p w:rsidR="007B2A7B" w14:paraId="117453D6" w14:textId="6B141157">
      <w:pPr>
        <w:pStyle w:val="FootnoteText"/>
      </w:pPr>
      <w:r>
        <w:rPr>
          <w:rStyle w:val="FootnoteReference"/>
        </w:rPr>
        <w:footnoteRef/>
      </w:r>
      <w:r>
        <w:t xml:space="preserve"> Verizon Letter at 5.</w:t>
      </w:r>
    </w:p>
  </w:footnote>
  <w:footnote w:id="172">
    <w:p w:rsidR="007B2A7B" w14:paraId="36C0FC41" w14:textId="63A96382">
      <w:pPr>
        <w:pStyle w:val="FootnoteText"/>
      </w:pPr>
      <w:r>
        <w:rPr>
          <w:rStyle w:val="FootnoteReference"/>
        </w:rPr>
        <w:footnoteRef/>
      </w:r>
      <w:r>
        <w:t xml:space="preserve"> </w:t>
      </w:r>
      <w:r w:rsidRPr="000E7178">
        <w:rPr>
          <w:i/>
          <w:iCs/>
        </w:rPr>
        <w:t>Id.</w:t>
      </w:r>
      <w:r>
        <w:t xml:space="preserve"> at 3.</w:t>
      </w:r>
    </w:p>
  </w:footnote>
  <w:footnote w:id="173">
    <w:p w:rsidR="007B2A7B" w14:paraId="249A1658" w14:textId="7BEA1DA1">
      <w:pPr>
        <w:pStyle w:val="FootnoteText"/>
      </w:pPr>
      <w:r>
        <w:rPr>
          <w:rStyle w:val="FootnoteReference"/>
        </w:rPr>
        <w:footnoteRef/>
      </w:r>
      <w:r>
        <w:t xml:space="preserve"> </w:t>
      </w:r>
      <w:r w:rsidRPr="000E7178">
        <w:rPr>
          <w:i/>
          <w:iCs/>
        </w:rPr>
        <w:t>Id</w:t>
      </w:r>
      <w:r>
        <w:t xml:space="preserve">.  The website is </w:t>
      </w:r>
      <w:r w:rsidRPr="002C0DE5">
        <w:rPr>
          <w:i/>
          <w:iCs/>
        </w:rPr>
        <w:t>Verizon Spam Feedback</w:t>
      </w:r>
      <w:r>
        <w:t xml:space="preserve">, </w:t>
      </w:r>
      <w:hyperlink r:id="rId60" w:history="1">
        <w:r w:rsidRPr="008C2E64">
          <w:rPr>
            <w:rStyle w:val="Hyperlink"/>
          </w:rPr>
          <w:t>https://www.voicespamfeedback.com/vsf</w:t>
        </w:r>
      </w:hyperlink>
      <w:r>
        <w:t xml:space="preserve"> (last visited June 9, 2020).</w:t>
      </w:r>
    </w:p>
  </w:footnote>
  <w:footnote w:id="174">
    <w:p w:rsidR="007B2A7B" w14:paraId="09265BA6" w14:textId="5F7FA066">
      <w:pPr>
        <w:pStyle w:val="FootnoteText"/>
      </w:pPr>
      <w:r>
        <w:rPr>
          <w:rStyle w:val="FootnoteReference"/>
        </w:rPr>
        <w:footnoteRef/>
      </w:r>
      <w:r>
        <w:t xml:space="preserve"> Verizon, </w:t>
      </w:r>
      <w:r w:rsidRPr="00094003">
        <w:rPr>
          <w:i/>
          <w:iCs/>
        </w:rPr>
        <w:t>Stop Unwanted Calls</w:t>
      </w:r>
      <w:r>
        <w:t xml:space="preserve">, </w:t>
      </w:r>
      <w:hyperlink r:id="rId61" w:history="1">
        <w:r>
          <w:rPr>
            <w:rStyle w:val="Hyperlink"/>
          </w:rPr>
          <w:t>https://www.verizon.com/support/consumer/homephone/calling-features/stop-unwanted-calls</w:t>
        </w:r>
      </w:hyperlink>
      <w:r>
        <w:t xml:space="preserve"> (last visited June 9, 2020).</w:t>
      </w:r>
    </w:p>
  </w:footnote>
  <w:footnote w:id="175">
    <w:p w:rsidR="007B2A7B" w14:paraId="4657E172" w14:textId="77777777">
      <w:pPr>
        <w:pStyle w:val="FootnoteText"/>
      </w:pPr>
      <w:r>
        <w:rPr>
          <w:rStyle w:val="FootnoteReference"/>
        </w:rPr>
        <w:footnoteRef/>
      </w:r>
      <w:r>
        <w:t xml:space="preserve"> Verizon Letter at 2.</w:t>
      </w:r>
    </w:p>
  </w:footnote>
  <w:footnote w:id="176">
    <w:p w:rsidR="007B2A7B" w14:paraId="3470A416" w14:textId="4CAA7646">
      <w:pPr>
        <w:pStyle w:val="FootnoteText"/>
      </w:pPr>
      <w:r>
        <w:rPr>
          <w:rStyle w:val="FootnoteReference"/>
        </w:rPr>
        <w:footnoteRef/>
      </w:r>
      <w:r>
        <w:t xml:space="preserve"> </w:t>
      </w:r>
      <w:r w:rsidRPr="008E5B13">
        <w:rPr>
          <w:i/>
          <w:iCs/>
        </w:rPr>
        <w:t>Id.</w:t>
      </w:r>
      <w:r>
        <w:t xml:space="preserve"> at 5.</w:t>
      </w:r>
    </w:p>
  </w:footnote>
  <w:footnote w:id="177">
    <w:p w:rsidR="007B2A7B" w:rsidP="00677359" w14:paraId="6053B961" w14:textId="77777777">
      <w:pPr>
        <w:pStyle w:val="FootnoteText"/>
      </w:pPr>
      <w:r>
        <w:rPr>
          <w:rStyle w:val="FootnoteReference"/>
        </w:rPr>
        <w:footnoteRef/>
      </w:r>
      <w:r>
        <w:t xml:space="preserve"> Verizon Comments at 2.</w:t>
      </w:r>
    </w:p>
  </w:footnote>
  <w:footnote w:id="178">
    <w:p w:rsidR="007B2A7B" w14:paraId="06FBB2D5" w14:textId="051B22EB">
      <w:pPr>
        <w:pStyle w:val="FootnoteText"/>
      </w:pPr>
      <w:r>
        <w:rPr>
          <w:rStyle w:val="FootnoteReference"/>
        </w:rPr>
        <w:footnoteRef/>
      </w:r>
      <w:r>
        <w:t xml:space="preserve"> </w:t>
      </w:r>
      <w:r w:rsidRPr="008E5B13">
        <w:rPr>
          <w:i/>
          <w:iCs/>
        </w:rPr>
        <w:t>Id.</w:t>
      </w:r>
      <w:r>
        <w:t xml:space="preserve"> at 3.</w:t>
      </w:r>
    </w:p>
  </w:footnote>
  <w:footnote w:id="179">
    <w:p w:rsidR="007B2A7B" w:rsidP="00BA4491" w14:paraId="01083AC6" w14:textId="2503F413">
      <w:pPr>
        <w:pStyle w:val="FootnoteText"/>
      </w:pPr>
      <w:r>
        <w:rPr>
          <w:rStyle w:val="FootnoteReference"/>
        </w:rPr>
        <w:footnoteRef/>
      </w:r>
      <w:r>
        <w:t xml:space="preserve"> </w:t>
      </w:r>
      <w:r w:rsidRPr="008E5B13">
        <w:rPr>
          <w:i/>
          <w:iCs/>
        </w:rPr>
        <w:t>Id</w:t>
      </w:r>
      <w:r>
        <w:t>.</w:t>
      </w:r>
    </w:p>
  </w:footnote>
  <w:footnote w:id="180">
    <w:p w:rsidR="007B2A7B" w14:paraId="33C3638B" w14:textId="11FCD6D7">
      <w:pPr>
        <w:pStyle w:val="FootnoteText"/>
      </w:pPr>
      <w:r>
        <w:rPr>
          <w:rStyle w:val="FootnoteReference"/>
        </w:rPr>
        <w:footnoteRef/>
      </w:r>
      <w:r>
        <w:t xml:space="preserve"> </w:t>
      </w:r>
      <w:r w:rsidRPr="008E5B13">
        <w:rPr>
          <w:i/>
          <w:iCs/>
        </w:rPr>
        <w:t>Id</w:t>
      </w:r>
      <w:r>
        <w:t>.</w:t>
      </w:r>
    </w:p>
  </w:footnote>
  <w:footnote w:id="181">
    <w:p w:rsidR="007B2A7B" w14:paraId="69CEAC61" w14:textId="3B5F2EF1">
      <w:pPr>
        <w:pStyle w:val="FootnoteText"/>
      </w:pPr>
      <w:r>
        <w:rPr>
          <w:rStyle w:val="FootnoteReference"/>
        </w:rPr>
        <w:footnoteRef/>
      </w:r>
      <w:r>
        <w:t xml:space="preserve"> </w:t>
      </w:r>
      <w:r w:rsidRPr="008E5B13">
        <w:rPr>
          <w:i/>
          <w:iCs/>
        </w:rPr>
        <w:t>Id.</w:t>
      </w:r>
      <w:r>
        <w:t xml:space="preserve"> at 4.</w:t>
      </w:r>
    </w:p>
  </w:footnote>
  <w:footnote w:id="182">
    <w:p w:rsidR="007B2A7B" w14:paraId="38B7E542" w14:textId="475AAECA">
      <w:pPr>
        <w:pStyle w:val="FootnoteText"/>
      </w:pPr>
      <w:r>
        <w:rPr>
          <w:rStyle w:val="FootnoteReference"/>
        </w:rPr>
        <w:footnoteRef/>
      </w:r>
      <w:r>
        <w:t xml:space="preserve"> </w:t>
      </w:r>
      <w:r w:rsidRPr="00D3254C">
        <w:rPr>
          <w:i/>
          <w:iCs/>
        </w:rPr>
        <w:t>Id.</w:t>
      </w:r>
    </w:p>
  </w:footnote>
  <w:footnote w:id="183">
    <w:p w:rsidR="007B2A7B" w14:paraId="01E2F93C" w14:textId="7CF0446F">
      <w:pPr>
        <w:pStyle w:val="FootnoteText"/>
      </w:pPr>
      <w:r>
        <w:rPr>
          <w:rStyle w:val="FootnoteReference"/>
        </w:rPr>
        <w:footnoteRef/>
      </w:r>
      <w:r>
        <w:t xml:space="preserve"> </w:t>
      </w:r>
      <w:r w:rsidRPr="00D3254C">
        <w:rPr>
          <w:i/>
          <w:iCs/>
        </w:rPr>
        <w:t>Id</w:t>
      </w:r>
      <w:r>
        <w:t>. at 5.</w:t>
      </w:r>
    </w:p>
  </w:footnote>
  <w:footnote w:id="184">
    <w:p w:rsidR="007B2A7B" w14:paraId="0F2A6430" w14:textId="455C13CF">
      <w:pPr>
        <w:pStyle w:val="FootnoteText"/>
      </w:pPr>
      <w:r>
        <w:rPr>
          <w:rStyle w:val="FootnoteReference"/>
        </w:rPr>
        <w:footnoteRef/>
      </w:r>
      <w:r>
        <w:t xml:space="preserve"> Letter from Randy K. Rutherford, Chief Legal Officer, Vonage, to Marlene H. Dortch, Secretary, FCC, CG Docket No. 17-59, at 1-2 (Feb. 28, 2020) (</w:t>
      </w:r>
      <w:r w:rsidRPr="00F742E4">
        <w:t>Vonage Letter</w:t>
      </w:r>
      <w:r>
        <w:t>).</w:t>
      </w:r>
    </w:p>
  </w:footnote>
  <w:footnote w:id="185">
    <w:p w:rsidR="007B2A7B" w14:paraId="68524400" w14:textId="77777777">
      <w:pPr>
        <w:pStyle w:val="FootnoteText"/>
      </w:pPr>
      <w:r>
        <w:rPr>
          <w:rStyle w:val="FootnoteReference"/>
        </w:rPr>
        <w:footnoteRef/>
      </w:r>
      <w:r>
        <w:t xml:space="preserve"> Vonage Letter at 2.</w:t>
      </w:r>
    </w:p>
  </w:footnote>
  <w:footnote w:id="186">
    <w:p w:rsidR="007B2A7B" w14:paraId="3707A78A" w14:textId="79E12201">
      <w:pPr>
        <w:pStyle w:val="FootnoteText"/>
      </w:pPr>
      <w:r>
        <w:rPr>
          <w:rStyle w:val="FootnoteReference"/>
        </w:rPr>
        <w:footnoteRef/>
      </w:r>
      <w:r>
        <w:t xml:space="preserve"> </w:t>
      </w:r>
      <w:r w:rsidRPr="002328F8">
        <w:rPr>
          <w:i/>
          <w:iCs/>
        </w:rPr>
        <w:t>Id.</w:t>
      </w:r>
      <w:r>
        <w:t xml:space="preserve"> at 1.</w:t>
      </w:r>
    </w:p>
  </w:footnote>
  <w:footnote w:id="187">
    <w:p w:rsidR="007B2A7B" w14:paraId="3BB3366B" w14:textId="7097D5BD">
      <w:pPr>
        <w:pStyle w:val="FootnoteText"/>
      </w:pPr>
      <w:r>
        <w:rPr>
          <w:rStyle w:val="FootnoteReference"/>
        </w:rPr>
        <w:footnoteRef/>
      </w:r>
      <w:r>
        <w:t xml:space="preserve"> </w:t>
      </w:r>
      <w:r w:rsidRPr="002328F8">
        <w:rPr>
          <w:i/>
          <w:iCs/>
        </w:rPr>
        <w:t>Id.</w:t>
      </w:r>
      <w:r>
        <w:t xml:space="preserve"> at 1-2.</w:t>
      </w:r>
    </w:p>
  </w:footnote>
  <w:footnote w:id="188">
    <w:p w:rsidR="007B2A7B" w14:paraId="653B862E" w14:textId="0239123B">
      <w:pPr>
        <w:pStyle w:val="FootnoteText"/>
      </w:pPr>
      <w:r>
        <w:rPr>
          <w:rStyle w:val="FootnoteReference"/>
        </w:rPr>
        <w:footnoteRef/>
      </w:r>
      <w:r>
        <w:t xml:space="preserve"> </w:t>
      </w:r>
      <w:r w:rsidRPr="002328F8">
        <w:rPr>
          <w:i/>
          <w:iCs/>
        </w:rPr>
        <w:t>Id.</w:t>
      </w:r>
      <w:r>
        <w:t xml:space="preserve"> at 2.</w:t>
      </w:r>
    </w:p>
  </w:footnote>
  <w:footnote w:id="189">
    <w:p w:rsidR="007B2A7B" w14:paraId="37976E59" w14:textId="6B040593">
      <w:pPr>
        <w:pStyle w:val="FootnoteText"/>
      </w:pPr>
      <w:r>
        <w:rPr>
          <w:rStyle w:val="FootnoteReference"/>
        </w:rPr>
        <w:footnoteRef/>
      </w:r>
      <w:r>
        <w:t xml:space="preserve"> </w:t>
      </w:r>
      <w:r w:rsidRPr="002328F8">
        <w:rPr>
          <w:i/>
          <w:iCs/>
        </w:rPr>
        <w:t>Id</w:t>
      </w:r>
      <w:r>
        <w:t>.</w:t>
      </w:r>
    </w:p>
  </w:footnote>
  <w:footnote w:id="190">
    <w:p w:rsidR="007B2A7B" w:rsidP="00A936A4" w14:paraId="47712BCA" w14:textId="378438EE">
      <w:pPr>
        <w:pStyle w:val="FootnoteText"/>
      </w:pPr>
      <w:r>
        <w:rPr>
          <w:rStyle w:val="FootnoteReference"/>
        </w:rPr>
        <w:footnoteRef/>
      </w:r>
      <w:r>
        <w:t xml:space="preserve"> </w:t>
      </w:r>
      <w:r w:rsidRPr="002328F8">
        <w:rPr>
          <w:i/>
          <w:iCs/>
        </w:rPr>
        <w:t>Id</w:t>
      </w:r>
      <w:r>
        <w:t>.</w:t>
      </w:r>
    </w:p>
  </w:footnote>
  <w:footnote w:id="191">
    <w:p w:rsidR="007B2A7B" w:rsidP="005D5CCC" w14:paraId="5150FFD1" w14:textId="77777777">
      <w:pPr>
        <w:pStyle w:val="FootnoteText"/>
      </w:pPr>
      <w:r>
        <w:rPr>
          <w:rStyle w:val="FootnoteReference"/>
        </w:rPr>
        <w:footnoteRef/>
      </w:r>
      <w:r>
        <w:t xml:space="preserve"> Call Control Comments at 3.</w:t>
      </w:r>
    </w:p>
  </w:footnote>
  <w:footnote w:id="192">
    <w:p w:rsidR="007B2A7B" w:rsidP="005D5CCC" w14:paraId="2B72CA58" w14:textId="3E394D16">
      <w:pPr>
        <w:pStyle w:val="FootnoteText"/>
      </w:pPr>
      <w:r>
        <w:rPr>
          <w:rStyle w:val="FootnoteReference"/>
        </w:rPr>
        <w:footnoteRef/>
      </w:r>
      <w:r>
        <w:t xml:space="preserve"> </w:t>
      </w:r>
      <w:r w:rsidRPr="002C0DE5">
        <w:t>Call Control</w:t>
      </w:r>
      <w:r>
        <w:t xml:space="preserve">, </w:t>
      </w:r>
      <w:r w:rsidRPr="000253E8">
        <w:rPr>
          <w:i/>
          <w:iCs/>
        </w:rPr>
        <w:t>Get in Touch with Us</w:t>
      </w:r>
      <w:r>
        <w:t xml:space="preserve">, </w:t>
      </w:r>
      <w:hyperlink r:id="rId62" w:history="1">
        <w:r>
          <w:rPr>
            <w:rStyle w:val="Hyperlink"/>
          </w:rPr>
          <w:t>https://www.callcontrol.com/contact</w:t>
        </w:r>
      </w:hyperlink>
      <w:r>
        <w:t xml:space="preserve"> (last visited June 9, 2020).</w:t>
      </w:r>
    </w:p>
  </w:footnote>
  <w:footnote w:id="193">
    <w:p w:rsidR="007B2A7B" w:rsidP="005D5CCC" w14:paraId="6DC96E81" w14:textId="5796B115">
      <w:pPr>
        <w:pStyle w:val="FootnoteText"/>
      </w:pPr>
      <w:r>
        <w:rPr>
          <w:rStyle w:val="FootnoteReference"/>
        </w:rPr>
        <w:footnoteRef/>
      </w:r>
      <w:r>
        <w:t xml:space="preserve"> </w:t>
      </w:r>
      <w:r w:rsidRPr="002C0DE5">
        <w:t>Call Control</w:t>
      </w:r>
      <w:r>
        <w:t xml:space="preserve">, </w:t>
      </w:r>
      <w:r w:rsidRPr="000253E8">
        <w:rPr>
          <w:i/>
          <w:iCs/>
        </w:rPr>
        <w:t xml:space="preserve">How Many Robocalls </w:t>
      </w:r>
      <w:r>
        <w:rPr>
          <w:i/>
          <w:iCs/>
        </w:rPr>
        <w:t>A</w:t>
      </w:r>
      <w:r w:rsidRPr="000253E8">
        <w:rPr>
          <w:i/>
          <w:iCs/>
        </w:rPr>
        <w:t>re Received in the US Every Second?</w:t>
      </w:r>
      <w:r>
        <w:t xml:space="preserve">, (Mar. 8, 2019), </w:t>
      </w:r>
      <w:hyperlink r:id="rId63" w:history="1">
        <w:r w:rsidRPr="008B37A7">
          <w:rPr>
            <w:rStyle w:val="Hyperlink"/>
          </w:rPr>
          <w:t>https://blog.callcontrol.com/post/183318053268/how-many-robocalls-are-received-in-the-us-every</w:t>
        </w:r>
      </w:hyperlink>
      <w:r>
        <w:t>.</w:t>
      </w:r>
    </w:p>
  </w:footnote>
  <w:footnote w:id="194">
    <w:p w:rsidR="007B2A7B" w:rsidP="008A4CC4" w14:paraId="63A13137" w14:textId="77777777">
      <w:pPr>
        <w:pStyle w:val="FootnoteText"/>
      </w:pPr>
      <w:r>
        <w:rPr>
          <w:rStyle w:val="FootnoteReference"/>
        </w:rPr>
        <w:footnoteRef/>
      </w:r>
      <w:r>
        <w:t xml:space="preserve"> Call Control Comments at 1</w:t>
      </w:r>
    </w:p>
  </w:footnote>
  <w:footnote w:id="195">
    <w:p w:rsidR="007B2A7B" w14:paraId="64E9291A" w14:textId="439078D7">
      <w:pPr>
        <w:pStyle w:val="FootnoteText"/>
      </w:pPr>
      <w:r>
        <w:rPr>
          <w:rStyle w:val="FootnoteReference"/>
        </w:rPr>
        <w:footnoteRef/>
      </w:r>
      <w:r>
        <w:t xml:space="preserve"> </w:t>
      </w:r>
      <w:r w:rsidRPr="000D4AE2">
        <w:rPr>
          <w:i/>
          <w:iCs/>
        </w:rPr>
        <w:t>Call Control for Enterprises</w:t>
      </w:r>
      <w:r>
        <w:t xml:space="preserve">, </w:t>
      </w:r>
      <w:hyperlink r:id="rId64" w:history="1">
        <w:r w:rsidRPr="00C57FFA">
          <w:rPr>
            <w:rStyle w:val="Hyperlink"/>
          </w:rPr>
          <w:t>https://www.callcontrol.com/networks</w:t>
        </w:r>
      </w:hyperlink>
      <w:r>
        <w:t xml:space="preserve"> (last visited June 9, 2020).</w:t>
      </w:r>
    </w:p>
  </w:footnote>
  <w:footnote w:id="196">
    <w:p w:rsidR="007B2A7B" w14:paraId="1B5A17CD" w14:textId="2F225F82">
      <w:pPr>
        <w:pStyle w:val="FootnoteText"/>
      </w:pPr>
      <w:r>
        <w:rPr>
          <w:rStyle w:val="FootnoteReference"/>
        </w:rPr>
        <w:footnoteRef/>
      </w:r>
      <w:r>
        <w:t xml:space="preserve"> </w:t>
      </w:r>
      <w:r w:rsidRPr="000D4AE2">
        <w:rPr>
          <w:i/>
          <w:iCs/>
        </w:rPr>
        <w:t>Id</w:t>
      </w:r>
      <w:r w:rsidRPr="0078281B">
        <w:rPr>
          <w:i/>
        </w:rPr>
        <w:t>.</w:t>
      </w:r>
    </w:p>
  </w:footnote>
  <w:footnote w:id="197">
    <w:p w:rsidR="007B2A7B" w:rsidP="00B201B7" w14:paraId="2B615624" w14:textId="77777777">
      <w:pPr>
        <w:pStyle w:val="FootnoteText"/>
      </w:pPr>
      <w:r>
        <w:rPr>
          <w:rStyle w:val="FootnoteReference"/>
        </w:rPr>
        <w:footnoteRef/>
      </w:r>
      <w:r>
        <w:t xml:space="preserve"> First Orion Comments at 3.</w:t>
      </w:r>
    </w:p>
  </w:footnote>
  <w:footnote w:id="198">
    <w:p w:rsidR="007B2A7B" w:rsidP="00B201B7" w14:paraId="50326B88" w14:textId="441C5E4A">
      <w:pPr>
        <w:pStyle w:val="FootnoteText"/>
      </w:pPr>
      <w:r>
        <w:rPr>
          <w:rStyle w:val="FootnoteReference"/>
        </w:rPr>
        <w:footnoteRef/>
      </w:r>
      <w:r>
        <w:t xml:space="preserve"> </w:t>
      </w:r>
      <w:r w:rsidRPr="0013521D">
        <w:rPr>
          <w:i/>
          <w:iCs/>
        </w:rPr>
        <w:t>Id.</w:t>
      </w:r>
      <w:r>
        <w:t xml:space="preserve"> at 4.</w:t>
      </w:r>
    </w:p>
  </w:footnote>
  <w:footnote w:id="199">
    <w:p w:rsidR="007B2A7B" w:rsidP="00B201B7" w14:paraId="3954330C" w14:textId="50CDEA64">
      <w:pPr>
        <w:pStyle w:val="FootnoteText"/>
      </w:pPr>
      <w:r>
        <w:rPr>
          <w:rStyle w:val="FootnoteReference"/>
        </w:rPr>
        <w:footnoteRef/>
      </w:r>
      <w:r>
        <w:t xml:space="preserve"> </w:t>
      </w:r>
      <w:r w:rsidRPr="0013521D">
        <w:rPr>
          <w:i/>
          <w:iCs/>
        </w:rPr>
        <w:t>Id</w:t>
      </w:r>
      <w:r>
        <w:t>.</w:t>
      </w:r>
    </w:p>
  </w:footnote>
  <w:footnote w:id="200">
    <w:p w:rsidR="007B2A7B" w:rsidP="00B201B7" w14:paraId="6E3729C0" w14:textId="3656BDDD">
      <w:pPr>
        <w:pStyle w:val="FootnoteText"/>
      </w:pPr>
      <w:r>
        <w:rPr>
          <w:rStyle w:val="FootnoteReference"/>
        </w:rPr>
        <w:footnoteRef/>
      </w:r>
      <w:r>
        <w:t xml:space="preserve"> </w:t>
      </w:r>
      <w:r w:rsidRPr="0013521D">
        <w:rPr>
          <w:i/>
          <w:iCs/>
        </w:rPr>
        <w:t>Id</w:t>
      </w:r>
      <w:r>
        <w:t>.</w:t>
      </w:r>
    </w:p>
  </w:footnote>
  <w:footnote w:id="201">
    <w:p w:rsidR="007B2A7B" w:rsidP="00B201B7" w14:paraId="55499526" w14:textId="75C8D5B6">
      <w:pPr>
        <w:pStyle w:val="FootnoteText"/>
      </w:pPr>
      <w:r>
        <w:rPr>
          <w:rStyle w:val="FootnoteReference"/>
        </w:rPr>
        <w:footnoteRef/>
      </w:r>
      <w:r>
        <w:t xml:space="preserve"> Letter from Charles Morgan, CEO and Chairman, First Orion, to G. Patrick Webre, Chief, FCC Consumer and Governmental Affairs Bureau, CG Docket No. 17-59, at 1 (Feb. 28, 2020) (First Orion Letter).</w:t>
      </w:r>
    </w:p>
  </w:footnote>
  <w:footnote w:id="202">
    <w:p w:rsidR="007B2A7B" w:rsidP="00B201B7" w14:paraId="02EBA9F3" w14:textId="432CDDE8">
      <w:pPr>
        <w:pStyle w:val="FootnoteText"/>
      </w:pPr>
      <w:r>
        <w:rPr>
          <w:rStyle w:val="FootnoteReference"/>
        </w:rPr>
        <w:footnoteRef/>
      </w:r>
      <w:r>
        <w:t xml:space="preserve"> </w:t>
      </w:r>
      <w:r w:rsidRPr="0013521D">
        <w:rPr>
          <w:i/>
          <w:iCs/>
        </w:rPr>
        <w:t>Id.</w:t>
      </w:r>
      <w:r>
        <w:t xml:space="preserve"> at 2.</w:t>
      </w:r>
    </w:p>
  </w:footnote>
  <w:footnote w:id="203">
    <w:p w:rsidR="007B2A7B" w:rsidP="00B201B7" w14:paraId="25E38C45" w14:textId="4F2E8702">
      <w:pPr>
        <w:pStyle w:val="FootnoteText"/>
      </w:pPr>
      <w:r>
        <w:rPr>
          <w:rStyle w:val="FootnoteReference"/>
        </w:rPr>
        <w:footnoteRef/>
      </w:r>
      <w:r>
        <w:t xml:space="preserve"> </w:t>
      </w:r>
      <w:r w:rsidRPr="0013521D">
        <w:rPr>
          <w:i/>
          <w:iCs/>
        </w:rPr>
        <w:t>Id</w:t>
      </w:r>
      <w:r>
        <w:t>.</w:t>
      </w:r>
    </w:p>
  </w:footnote>
  <w:footnote w:id="204">
    <w:p w:rsidR="007B2A7B" w:rsidP="00B201B7" w14:paraId="2589075D" w14:textId="0DC4C2F3">
      <w:pPr>
        <w:pStyle w:val="FootnoteText"/>
      </w:pPr>
      <w:r>
        <w:rPr>
          <w:rStyle w:val="FootnoteReference"/>
        </w:rPr>
        <w:footnoteRef/>
      </w:r>
      <w:r>
        <w:t xml:space="preserve"> </w:t>
      </w:r>
      <w:r w:rsidRPr="0013521D">
        <w:rPr>
          <w:i/>
          <w:iCs/>
        </w:rPr>
        <w:t>Id</w:t>
      </w:r>
      <w:r>
        <w:t>.</w:t>
      </w:r>
    </w:p>
  </w:footnote>
  <w:footnote w:id="205">
    <w:p w:rsidR="007B2A7B" w:rsidP="00B201B7" w14:paraId="14EC5287" w14:textId="7BA3F772">
      <w:pPr>
        <w:pStyle w:val="FootnoteText"/>
      </w:pPr>
      <w:r>
        <w:rPr>
          <w:rStyle w:val="FootnoteReference"/>
        </w:rPr>
        <w:footnoteRef/>
      </w:r>
      <w:r>
        <w:t xml:space="preserve"> </w:t>
      </w:r>
      <w:r w:rsidRPr="0013521D">
        <w:rPr>
          <w:i/>
          <w:iCs/>
        </w:rPr>
        <w:t>Id.</w:t>
      </w:r>
      <w:r>
        <w:t xml:space="preserve"> at 2-3.</w:t>
      </w:r>
    </w:p>
  </w:footnote>
  <w:footnote w:id="206">
    <w:p w:rsidR="007B2A7B" w:rsidP="00B201B7" w14:paraId="4926D36B" w14:textId="403E3107">
      <w:pPr>
        <w:pStyle w:val="FootnoteText"/>
      </w:pPr>
      <w:r>
        <w:rPr>
          <w:rStyle w:val="FootnoteReference"/>
        </w:rPr>
        <w:footnoteRef/>
      </w:r>
      <w:r>
        <w:t xml:space="preserve"> </w:t>
      </w:r>
      <w:r w:rsidRPr="0013521D">
        <w:rPr>
          <w:i/>
          <w:iCs/>
        </w:rPr>
        <w:t>Id.</w:t>
      </w:r>
      <w:r>
        <w:t xml:space="preserve"> at 3.</w:t>
      </w:r>
    </w:p>
  </w:footnote>
  <w:footnote w:id="207">
    <w:p w:rsidR="007B2A7B" w:rsidP="00B201B7" w14:paraId="7189898F" w14:textId="2E8EADE9">
      <w:pPr>
        <w:pStyle w:val="FootnoteText"/>
      </w:pPr>
      <w:r>
        <w:rPr>
          <w:rStyle w:val="FootnoteReference"/>
        </w:rPr>
        <w:footnoteRef/>
      </w:r>
      <w:r>
        <w:t xml:space="preserve"> </w:t>
      </w:r>
      <w:r w:rsidRPr="0013521D">
        <w:rPr>
          <w:i/>
          <w:iCs/>
        </w:rPr>
        <w:t>Id</w:t>
      </w:r>
      <w:r>
        <w:t>.</w:t>
      </w:r>
    </w:p>
  </w:footnote>
  <w:footnote w:id="208">
    <w:p w:rsidR="007B2A7B" w:rsidP="00B201B7" w14:paraId="446F1D0C" w14:textId="18789A4A">
      <w:pPr>
        <w:pStyle w:val="FootnoteText"/>
      </w:pPr>
      <w:r>
        <w:rPr>
          <w:rStyle w:val="FootnoteReference"/>
        </w:rPr>
        <w:footnoteRef/>
      </w:r>
      <w:r>
        <w:t xml:space="preserve"> </w:t>
      </w:r>
      <w:r w:rsidRPr="0013521D">
        <w:rPr>
          <w:i/>
          <w:iCs/>
        </w:rPr>
        <w:t>Id</w:t>
      </w:r>
      <w:r>
        <w:t xml:space="preserve">.; </w:t>
      </w:r>
      <w:r>
        <w:rPr>
          <w:i/>
          <w:iCs/>
        </w:rPr>
        <w:t>s</w:t>
      </w:r>
      <w:r w:rsidRPr="00EB52AE">
        <w:rPr>
          <w:i/>
          <w:iCs/>
        </w:rPr>
        <w:t xml:space="preserve">ee </w:t>
      </w:r>
      <w:r>
        <w:t xml:space="preserve">Call Transparency, </w:t>
      </w:r>
      <w:r w:rsidRPr="00EB52AE">
        <w:rPr>
          <w:i/>
          <w:iCs/>
        </w:rPr>
        <w:t>Improve Your Calling Experience</w:t>
      </w:r>
      <w:r>
        <w:t xml:space="preserve">, </w:t>
      </w:r>
      <w:hyperlink r:id="rId65" w:history="1">
        <w:r>
          <w:rPr>
            <w:rStyle w:val="Hyperlink"/>
          </w:rPr>
          <w:t>https://calltransparency.com</w:t>
        </w:r>
      </w:hyperlink>
      <w:r>
        <w:t xml:space="preserve"> (last visited June 9, 2020).</w:t>
      </w:r>
    </w:p>
  </w:footnote>
  <w:footnote w:id="209">
    <w:p w:rsidR="007B2A7B" w:rsidP="00B201B7" w14:paraId="75BA36FD" w14:textId="77777777">
      <w:pPr>
        <w:pStyle w:val="FootnoteText"/>
      </w:pPr>
      <w:r>
        <w:rPr>
          <w:rStyle w:val="FootnoteReference"/>
        </w:rPr>
        <w:footnoteRef/>
      </w:r>
      <w:r>
        <w:t xml:space="preserve"> First Orion Letter at 3-4.</w:t>
      </w:r>
    </w:p>
  </w:footnote>
  <w:footnote w:id="210">
    <w:p w:rsidR="007B2A7B" w:rsidP="005444D1" w14:paraId="2AFEA4DB" w14:textId="65C3B59D">
      <w:pPr>
        <w:pStyle w:val="FootnoteText"/>
      </w:pPr>
      <w:r>
        <w:rPr>
          <w:rStyle w:val="FootnoteReference"/>
        </w:rPr>
        <w:footnoteRef/>
      </w:r>
      <w:r>
        <w:t xml:space="preserve"> Hiya, </w:t>
      </w:r>
      <w:r>
        <w:rPr>
          <w:i/>
          <w:iCs/>
        </w:rPr>
        <w:t>About</w:t>
      </w:r>
      <w:r>
        <w:t xml:space="preserve">, </w:t>
      </w:r>
      <w:hyperlink r:id="rId66" w:history="1">
        <w:r w:rsidRPr="00334C02">
          <w:rPr>
            <w:rStyle w:val="Hyperlink"/>
          </w:rPr>
          <w:t>https://hiya.com/about</w:t>
        </w:r>
      </w:hyperlink>
      <w:r>
        <w:t xml:space="preserve"> (last visited June 9, 2020).</w:t>
      </w:r>
    </w:p>
  </w:footnote>
  <w:footnote w:id="211">
    <w:p w:rsidR="007B2A7B" w:rsidP="005444D1" w14:paraId="06071EE2" w14:textId="201B32BC">
      <w:pPr>
        <w:pStyle w:val="FootnoteText"/>
      </w:pPr>
      <w:r>
        <w:rPr>
          <w:rStyle w:val="FootnoteReference"/>
        </w:rPr>
        <w:footnoteRef/>
      </w:r>
      <w:r>
        <w:t xml:space="preserve"> Letter from Kush Parikh, Chief Operating Officer, Hiya, to Mika Savir, Attorney, FCC Consumer and Governmental Affairs Bureau, CG Docket No. 17-59, (Feb. 28, 2020) (Hiya Letter); </w:t>
      </w:r>
      <w:r>
        <w:rPr>
          <w:i/>
          <w:iCs/>
        </w:rPr>
        <w:t>s</w:t>
      </w:r>
      <w:r w:rsidRPr="00395710">
        <w:rPr>
          <w:i/>
          <w:iCs/>
        </w:rPr>
        <w:t>ee</w:t>
      </w:r>
      <w:r>
        <w:t xml:space="preserve"> </w:t>
      </w:r>
      <w:r w:rsidRPr="00395710">
        <w:rPr>
          <w:i/>
          <w:iCs/>
        </w:rPr>
        <w:t>Smart Call, Powered by Hiya, Helps Samsung Users Identify Unknown Callers and Stay Protected Against Phone Spam</w:t>
      </w:r>
      <w:r>
        <w:t xml:space="preserve">, </w:t>
      </w:r>
      <w:hyperlink r:id="rId67" w:history="1">
        <w:r w:rsidRPr="008C2E64">
          <w:rPr>
            <w:rStyle w:val="Hyperlink"/>
          </w:rPr>
          <w:t>https://hiya.com/it/products/smart-call</w:t>
        </w:r>
      </w:hyperlink>
      <w:r>
        <w:t xml:space="preserve"> (last visited June 9, 2020).</w:t>
      </w:r>
    </w:p>
  </w:footnote>
  <w:footnote w:id="212">
    <w:p w:rsidR="007B2A7B" w:rsidP="005444D1" w14:paraId="5A3875DA" w14:textId="4E7622F3">
      <w:pPr>
        <w:pStyle w:val="FootnoteText"/>
      </w:pPr>
      <w:r>
        <w:rPr>
          <w:rStyle w:val="FootnoteReference"/>
        </w:rPr>
        <w:footnoteRef/>
      </w:r>
      <w:r>
        <w:t xml:space="preserve"> Hiya Letter at 2; </w:t>
      </w:r>
      <w:r w:rsidRPr="00386578">
        <w:rPr>
          <w:i/>
          <w:iCs/>
        </w:rPr>
        <w:t>State of the Call End of Year Report 2019</w:t>
      </w:r>
      <w:r>
        <w:t xml:space="preserve">, </w:t>
      </w:r>
      <w:hyperlink r:id="rId12" w:history="1">
        <w:r>
          <w:rPr>
            <w:rStyle w:val="Hyperlink"/>
          </w:rPr>
          <w:t>https://hiya.com/state-of-the-call</w:t>
        </w:r>
      </w:hyperlink>
      <w:r w:rsidRPr="00386578">
        <w:t xml:space="preserve"> </w:t>
      </w:r>
      <w:r>
        <w:t>(last visited June 9, 2020).</w:t>
      </w:r>
    </w:p>
  </w:footnote>
  <w:footnote w:id="213">
    <w:p w:rsidR="007B2A7B" w:rsidP="005444D1" w14:paraId="430E1D69" w14:textId="25279726">
      <w:pPr>
        <w:pStyle w:val="FootnoteText"/>
      </w:pPr>
      <w:r>
        <w:rPr>
          <w:rStyle w:val="FootnoteReference"/>
        </w:rPr>
        <w:footnoteRef/>
      </w:r>
      <w:r>
        <w:t xml:space="preserve"> </w:t>
      </w:r>
      <w:r w:rsidRPr="00386578">
        <w:rPr>
          <w:i/>
          <w:iCs/>
        </w:rPr>
        <w:t>State of the Phone Call End of the Year Report 2019</w:t>
      </w:r>
      <w:r>
        <w:t xml:space="preserve">, </w:t>
      </w:r>
      <w:hyperlink r:id="rId19" w:history="1">
        <w:r>
          <w:rPr>
            <w:rStyle w:val="Hyperlink"/>
          </w:rPr>
          <w:t>https://assets.hiya.com/public/pdf/HiyaStateOfTheCall2019.pdf?v=ff6a3203004af7328a696e57bcb949dd</w:t>
        </w:r>
      </w:hyperlink>
      <w:r>
        <w:t xml:space="preserve"> (last visited June 9, 2020).</w:t>
      </w:r>
    </w:p>
  </w:footnote>
  <w:footnote w:id="214">
    <w:p w:rsidR="007B2A7B" w:rsidP="005444D1" w14:paraId="0F8B3098" w14:textId="77777777">
      <w:pPr>
        <w:pStyle w:val="FootnoteText"/>
      </w:pPr>
      <w:r>
        <w:rPr>
          <w:rStyle w:val="FootnoteReference"/>
        </w:rPr>
        <w:footnoteRef/>
      </w:r>
      <w:r>
        <w:t xml:space="preserve"> Hiya Letter at 2.  </w:t>
      </w:r>
    </w:p>
  </w:footnote>
  <w:footnote w:id="215">
    <w:p w:rsidR="007B2A7B" w:rsidP="005444D1" w14:paraId="69D3FCD3" w14:textId="41C1BA73">
      <w:pPr>
        <w:pStyle w:val="FootnoteText"/>
      </w:pPr>
      <w:r>
        <w:rPr>
          <w:rStyle w:val="FootnoteReference"/>
        </w:rPr>
        <w:footnoteRef/>
      </w:r>
      <w:r>
        <w:t xml:space="preserve"> </w:t>
      </w:r>
      <w:r w:rsidRPr="00A8558A">
        <w:rPr>
          <w:i/>
          <w:iCs/>
        </w:rPr>
        <w:t>Id</w:t>
      </w:r>
      <w:r>
        <w:t>.</w:t>
      </w:r>
    </w:p>
  </w:footnote>
  <w:footnote w:id="216">
    <w:p w:rsidR="007B2A7B" w:rsidP="005444D1" w14:paraId="0497210B" w14:textId="422DBC6D">
      <w:pPr>
        <w:pStyle w:val="FootnoteText"/>
      </w:pPr>
      <w:r>
        <w:rPr>
          <w:rStyle w:val="FootnoteReference"/>
        </w:rPr>
        <w:footnoteRef/>
      </w:r>
      <w:r>
        <w:t xml:space="preserve"> </w:t>
      </w:r>
      <w:r w:rsidRPr="00A8558A">
        <w:rPr>
          <w:i/>
          <w:iCs/>
        </w:rPr>
        <w:t>Id.</w:t>
      </w:r>
      <w:r>
        <w:t xml:space="preserve"> at 3.</w:t>
      </w:r>
    </w:p>
  </w:footnote>
  <w:footnote w:id="217">
    <w:p w:rsidR="007B2A7B" w:rsidP="005444D1" w14:paraId="34DB562C" w14:textId="201B27FC">
      <w:pPr>
        <w:pStyle w:val="FootnoteText"/>
      </w:pPr>
      <w:r>
        <w:rPr>
          <w:rStyle w:val="FootnoteReference"/>
        </w:rPr>
        <w:footnoteRef/>
      </w:r>
      <w:r>
        <w:t xml:space="preserve"> </w:t>
      </w:r>
      <w:r w:rsidRPr="00A8558A">
        <w:rPr>
          <w:i/>
          <w:iCs/>
        </w:rPr>
        <w:t>Id</w:t>
      </w:r>
      <w:r>
        <w:t>. at 4.</w:t>
      </w:r>
    </w:p>
  </w:footnote>
  <w:footnote w:id="218">
    <w:p w:rsidR="007B2A7B" w:rsidP="005444D1" w14:paraId="5D85B225" w14:textId="1F64A7B7">
      <w:pPr>
        <w:pStyle w:val="FootnoteText"/>
      </w:pPr>
      <w:r>
        <w:rPr>
          <w:rStyle w:val="FootnoteReference"/>
        </w:rPr>
        <w:footnoteRef/>
      </w:r>
      <w:r>
        <w:t xml:space="preserve"> </w:t>
      </w:r>
      <w:r w:rsidRPr="00A8558A">
        <w:rPr>
          <w:i/>
          <w:iCs/>
        </w:rPr>
        <w:t>Id.</w:t>
      </w:r>
      <w:r>
        <w:t xml:space="preserve"> at 4-5.</w:t>
      </w:r>
    </w:p>
  </w:footnote>
  <w:footnote w:id="219">
    <w:p w:rsidR="007B2A7B" w:rsidP="00975EB2" w14:paraId="18F4F67B" w14:textId="77777777">
      <w:pPr>
        <w:pStyle w:val="FootnoteText"/>
      </w:pPr>
      <w:r>
        <w:rPr>
          <w:rStyle w:val="FootnoteReference"/>
        </w:rPr>
        <w:footnoteRef/>
      </w:r>
      <w:r>
        <w:t xml:space="preserve"> Innovative Systems Comments at 1.</w:t>
      </w:r>
    </w:p>
  </w:footnote>
  <w:footnote w:id="220">
    <w:p w:rsidR="007B2A7B" w:rsidP="00975EB2" w14:paraId="08A07C31" w14:textId="1A2DCB6D">
      <w:pPr>
        <w:pStyle w:val="FootnoteText"/>
      </w:pPr>
      <w:r>
        <w:rPr>
          <w:rStyle w:val="FootnoteReference"/>
        </w:rPr>
        <w:footnoteRef/>
      </w:r>
      <w:r>
        <w:t xml:space="preserve"> </w:t>
      </w:r>
      <w:r w:rsidRPr="002A7FE4">
        <w:rPr>
          <w:i/>
          <w:iCs/>
        </w:rPr>
        <w:t>Id.</w:t>
      </w:r>
      <w:r>
        <w:t xml:space="preserve"> at 2.</w:t>
      </w:r>
    </w:p>
  </w:footnote>
  <w:footnote w:id="221">
    <w:p w:rsidR="007B2A7B" w:rsidP="00975EB2" w14:paraId="0FC91D6D" w14:textId="44E3BB9A">
      <w:pPr>
        <w:pStyle w:val="FootnoteText"/>
      </w:pPr>
      <w:r>
        <w:rPr>
          <w:rStyle w:val="FootnoteReference"/>
        </w:rPr>
        <w:footnoteRef/>
      </w:r>
      <w:r>
        <w:t xml:space="preserve"> </w:t>
      </w:r>
      <w:r w:rsidRPr="002A7FE4">
        <w:rPr>
          <w:i/>
          <w:iCs/>
        </w:rPr>
        <w:t>Id</w:t>
      </w:r>
      <w:r>
        <w:t>.</w:t>
      </w:r>
    </w:p>
  </w:footnote>
  <w:footnote w:id="222">
    <w:p w:rsidR="007B2A7B" w:rsidP="00975EB2" w14:paraId="317A85DC" w14:textId="3090246B">
      <w:pPr>
        <w:pStyle w:val="FootnoteText"/>
      </w:pPr>
      <w:r>
        <w:rPr>
          <w:rStyle w:val="FootnoteReference"/>
        </w:rPr>
        <w:footnoteRef/>
      </w:r>
      <w:r>
        <w:t xml:space="preserve"> </w:t>
      </w:r>
      <w:r w:rsidRPr="0000135A">
        <w:rPr>
          <w:i/>
          <w:iCs/>
        </w:rPr>
        <w:t>Id</w:t>
      </w:r>
      <w:r>
        <w:t>.</w:t>
      </w:r>
    </w:p>
  </w:footnote>
  <w:footnote w:id="223">
    <w:p w:rsidR="007B2A7B" w:rsidP="00975EB2" w14:paraId="446E29A8" w14:textId="79FFA2E8">
      <w:pPr>
        <w:pStyle w:val="FootnoteText"/>
      </w:pPr>
      <w:r>
        <w:rPr>
          <w:rStyle w:val="FootnoteReference"/>
        </w:rPr>
        <w:footnoteRef/>
      </w:r>
      <w:r>
        <w:t xml:space="preserve"> </w:t>
      </w:r>
      <w:r w:rsidRPr="0000135A">
        <w:rPr>
          <w:i/>
          <w:iCs/>
        </w:rPr>
        <w:t>Id.</w:t>
      </w:r>
      <w:r>
        <w:t xml:space="preserve"> at 3.</w:t>
      </w:r>
    </w:p>
  </w:footnote>
  <w:footnote w:id="224">
    <w:p w:rsidR="007B2A7B" w:rsidP="00A131E8" w14:paraId="05B9B545" w14:textId="77777777">
      <w:pPr>
        <w:pStyle w:val="FootnoteText"/>
      </w:pPr>
      <w:r>
        <w:rPr>
          <w:rStyle w:val="FootnoteReference"/>
        </w:rPr>
        <w:footnoteRef/>
      </w:r>
      <w:r>
        <w:t xml:space="preserve"> Neustar Reply Comments at 3.</w:t>
      </w:r>
    </w:p>
  </w:footnote>
  <w:footnote w:id="225">
    <w:p w:rsidR="007B2A7B" w:rsidP="00A131E8" w14:paraId="406BDA61" w14:textId="42BF2491">
      <w:pPr>
        <w:pStyle w:val="FootnoteText"/>
      </w:pPr>
      <w:r>
        <w:rPr>
          <w:rStyle w:val="FootnoteReference"/>
        </w:rPr>
        <w:footnoteRef/>
      </w:r>
      <w:r>
        <w:t xml:space="preserve"> </w:t>
      </w:r>
      <w:r w:rsidRPr="009F3047">
        <w:rPr>
          <w:i/>
          <w:iCs/>
        </w:rPr>
        <w:t>Id.</w:t>
      </w:r>
    </w:p>
  </w:footnote>
  <w:footnote w:id="226">
    <w:p w:rsidR="007B2A7B" w:rsidP="00A131E8" w14:paraId="04A58B91" w14:textId="7E188F39">
      <w:pPr>
        <w:pStyle w:val="FootnoteText"/>
      </w:pPr>
      <w:r>
        <w:rPr>
          <w:rStyle w:val="FootnoteReference"/>
        </w:rPr>
        <w:footnoteRef/>
      </w:r>
      <w:r>
        <w:t xml:space="preserve"> </w:t>
      </w:r>
      <w:r w:rsidRPr="009F3047">
        <w:rPr>
          <w:i/>
          <w:iCs/>
        </w:rPr>
        <w:t>Id</w:t>
      </w:r>
      <w:r>
        <w:t>. at 3-4.</w:t>
      </w:r>
    </w:p>
  </w:footnote>
  <w:footnote w:id="227">
    <w:p w:rsidR="007B2A7B" w:rsidP="00A131E8" w14:paraId="5DE7E25C" w14:textId="05B3FBDC">
      <w:pPr>
        <w:pStyle w:val="FootnoteText"/>
      </w:pPr>
      <w:r>
        <w:rPr>
          <w:rStyle w:val="FootnoteReference"/>
        </w:rPr>
        <w:footnoteRef/>
      </w:r>
      <w:r>
        <w:t xml:space="preserve"> </w:t>
      </w:r>
      <w:r w:rsidRPr="009F3047">
        <w:rPr>
          <w:i/>
          <w:iCs/>
        </w:rPr>
        <w:t>Id.</w:t>
      </w:r>
      <w:r>
        <w:t xml:space="preserve"> at 7.</w:t>
      </w:r>
    </w:p>
  </w:footnote>
  <w:footnote w:id="228">
    <w:p w:rsidR="007B2A7B" w:rsidP="00A131E8" w14:paraId="23E3D577" w14:textId="507201A2">
      <w:pPr>
        <w:pStyle w:val="FootnoteText"/>
      </w:pPr>
      <w:r>
        <w:rPr>
          <w:rStyle w:val="FootnoteReference"/>
        </w:rPr>
        <w:footnoteRef/>
      </w:r>
      <w:r>
        <w:t xml:space="preserve"> </w:t>
      </w:r>
      <w:r w:rsidRPr="00763A5A">
        <w:rPr>
          <w:i/>
          <w:iCs/>
        </w:rPr>
        <w:t>Id</w:t>
      </w:r>
      <w:r>
        <w:t>.</w:t>
      </w:r>
    </w:p>
  </w:footnote>
  <w:footnote w:id="229">
    <w:p w:rsidR="007B2A7B" w14:paraId="526757BD" w14:textId="71F4CAA4">
      <w:pPr>
        <w:pStyle w:val="FootnoteText"/>
      </w:pPr>
      <w:r>
        <w:rPr>
          <w:rStyle w:val="FootnoteReference"/>
        </w:rPr>
        <w:footnoteRef/>
      </w:r>
      <w:r>
        <w:t xml:space="preserve"> Nomorobo, </w:t>
      </w:r>
      <w:r w:rsidRPr="00677197">
        <w:rPr>
          <w:i/>
          <w:iCs/>
        </w:rPr>
        <w:t xml:space="preserve">How </w:t>
      </w:r>
      <w:r>
        <w:rPr>
          <w:i/>
          <w:iCs/>
        </w:rPr>
        <w:t>D</w:t>
      </w:r>
      <w:r w:rsidRPr="00677197">
        <w:rPr>
          <w:i/>
          <w:iCs/>
        </w:rPr>
        <w:t xml:space="preserve">oes </w:t>
      </w:r>
      <w:r>
        <w:rPr>
          <w:i/>
          <w:iCs/>
        </w:rPr>
        <w:t>I</w:t>
      </w:r>
      <w:r w:rsidRPr="00677197">
        <w:rPr>
          <w:i/>
          <w:iCs/>
        </w:rPr>
        <w:t xml:space="preserve">t </w:t>
      </w:r>
      <w:r>
        <w:rPr>
          <w:i/>
          <w:iCs/>
        </w:rPr>
        <w:t>W</w:t>
      </w:r>
      <w:r w:rsidRPr="00677197">
        <w:rPr>
          <w:i/>
          <w:iCs/>
        </w:rPr>
        <w:t xml:space="preserve">ork on </w:t>
      </w:r>
      <w:r>
        <w:rPr>
          <w:i/>
          <w:iCs/>
        </w:rPr>
        <w:t>L</w:t>
      </w:r>
      <w:r w:rsidRPr="00677197">
        <w:rPr>
          <w:i/>
          <w:iCs/>
        </w:rPr>
        <w:t>andlines?</w:t>
      </w:r>
      <w:r>
        <w:t>,</w:t>
      </w:r>
      <w:r w:rsidRPr="00677197">
        <w:rPr>
          <w:i/>
          <w:iCs/>
        </w:rPr>
        <w:t xml:space="preserve"> </w:t>
      </w:r>
      <w:hyperlink r:id="rId68" w:history="1">
        <w:r>
          <w:rPr>
            <w:rStyle w:val="Hyperlink"/>
          </w:rPr>
          <w:t>https://nomorobo.zendesk.com/hc/en-us/articles/200536477-How-does-it-work-on-Landlines-</w:t>
        </w:r>
      </w:hyperlink>
      <w:r>
        <w:t xml:space="preserve"> (last visited June 16, 2020).</w:t>
      </w:r>
    </w:p>
  </w:footnote>
  <w:footnote w:id="230">
    <w:p w:rsidR="007B2A7B" w14:paraId="74B02DC4" w14:textId="3A8D21CD">
      <w:pPr>
        <w:pStyle w:val="FootnoteText"/>
      </w:pPr>
      <w:r>
        <w:rPr>
          <w:rStyle w:val="FootnoteReference"/>
        </w:rPr>
        <w:footnoteRef/>
      </w:r>
      <w:r>
        <w:t xml:space="preserve"> </w:t>
      </w:r>
      <w:r w:rsidRPr="00677197">
        <w:rPr>
          <w:i/>
          <w:iCs/>
        </w:rPr>
        <w:t>Id.</w:t>
      </w:r>
    </w:p>
  </w:footnote>
  <w:footnote w:id="231">
    <w:p w:rsidR="007B2A7B" w:rsidP="0066620A" w14:paraId="7D8EEBF2" w14:textId="77777777">
      <w:pPr>
        <w:pStyle w:val="FootnoteText"/>
      </w:pPr>
      <w:r>
        <w:rPr>
          <w:rStyle w:val="FootnoteReference"/>
        </w:rPr>
        <w:footnoteRef/>
      </w:r>
      <w:r>
        <w:t xml:space="preserve"> </w:t>
      </w:r>
      <w:r w:rsidRPr="00677197">
        <w:rPr>
          <w:i/>
          <w:iCs/>
        </w:rPr>
        <w:t>Id.</w:t>
      </w:r>
    </w:p>
  </w:footnote>
  <w:footnote w:id="232">
    <w:p w:rsidR="007B2A7B" w:rsidP="0066620A" w14:paraId="6746C676" w14:textId="77777777">
      <w:pPr>
        <w:pStyle w:val="FootnoteText"/>
      </w:pPr>
      <w:r>
        <w:rPr>
          <w:rStyle w:val="FootnoteReference"/>
        </w:rPr>
        <w:footnoteRef/>
      </w:r>
      <w:r>
        <w:t xml:space="preserve"> </w:t>
      </w:r>
      <w:r w:rsidRPr="00677197">
        <w:rPr>
          <w:i/>
          <w:iCs/>
        </w:rPr>
        <w:t>Id.</w:t>
      </w:r>
    </w:p>
  </w:footnote>
  <w:footnote w:id="233">
    <w:p w:rsidR="007B2A7B" w:rsidP="0066620A" w14:paraId="0CD8A5D7" w14:textId="77777777">
      <w:pPr>
        <w:pStyle w:val="FootnoteText"/>
      </w:pPr>
      <w:r>
        <w:rPr>
          <w:rStyle w:val="FootnoteReference"/>
        </w:rPr>
        <w:footnoteRef/>
      </w:r>
      <w:r>
        <w:t xml:space="preserve"> </w:t>
      </w:r>
      <w:r w:rsidRPr="00677197">
        <w:rPr>
          <w:i/>
          <w:iCs/>
        </w:rPr>
        <w:t>Id.</w:t>
      </w:r>
    </w:p>
  </w:footnote>
  <w:footnote w:id="234">
    <w:p w:rsidR="007B2A7B" w:rsidP="00C2761F" w14:paraId="66FA3A4B" w14:textId="570EE8D1">
      <w:pPr>
        <w:pStyle w:val="FootnoteText"/>
      </w:pPr>
      <w:r>
        <w:rPr>
          <w:rStyle w:val="FootnoteReference"/>
        </w:rPr>
        <w:footnoteRef/>
      </w:r>
      <w:r>
        <w:t xml:space="preserve"> Nomorobo, </w:t>
      </w:r>
      <w:r w:rsidRPr="000C084A">
        <w:rPr>
          <w:i/>
          <w:iCs/>
        </w:rPr>
        <w:t>Robocalls: 2019 Year in Review</w:t>
      </w:r>
      <w:r>
        <w:t xml:space="preserve">, </w:t>
      </w:r>
      <w:hyperlink r:id="rId69" w:history="1">
        <w:r>
          <w:rPr>
            <w:rStyle w:val="Hyperlink"/>
          </w:rPr>
          <w:t>https://www.nomorobo.com/2019</w:t>
        </w:r>
      </w:hyperlink>
      <w:r>
        <w:t xml:space="preserve"> (last visited June 16, 2020).</w:t>
      </w:r>
    </w:p>
  </w:footnote>
  <w:footnote w:id="235">
    <w:p w:rsidR="007B2A7B" w:rsidP="00C2761F" w14:paraId="289B2B09" w14:textId="77777777">
      <w:pPr>
        <w:pStyle w:val="FootnoteText"/>
      </w:pPr>
      <w:r>
        <w:rPr>
          <w:rStyle w:val="FootnoteReference"/>
        </w:rPr>
        <w:footnoteRef/>
      </w:r>
      <w:r>
        <w:t xml:space="preserve"> </w:t>
      </w:r>
      <w:r w:rsidRPr="002D79C0">
        <w:rPr>
          <w:i/>
          <w:iCs/>
        </w:rPr>
        <w:t>Id.</w:t>
      </w:r>
    </w:p>
  </w:footnote>
  <w:footnote w:id="236">
    <w:p w:rsidR="007B2A7B" w:rsidRPr="00D311A8" w:rsidP="00C2761F" w14:paraId="63CEBF4D" w14:textId="0693543D">
      <w:pPr>
        <w:pStyle w:val="FootnoteText"/>
      </w:pPr>
      <w:r>
        <w:rPr>
          <w:rStyle w:val="FootnoteReference"/>
        </w:rPr>
        <w:footnoteRef/>
      </w:r>
      <w:r>
        <w:t xml:space="preserve"> </w:t>
      </w:r>
      <w:r w:rsidRPr="00C32112">
        <w:rPr>
          <w:i/>
          <w:iCs/>
        </w:rPr>
        <w:t>Id.</w:t>
      </w:r>
      <w:r>
        <w:rPr>
          <w:i/>
          <w:iCs/>
        </w:rPr>
        <w:t xml:space="preserve">  </w:t>
      </w:r>
      <w:r w:rsidRPr="001929BB">
        <w:t xml:space="preserve">The FTC and </w:t>
      </w:r>
      <w:r>
        <w:t xml:space="preserve">Consumer Reports also observe a decline in robocalls.  </w:t>
      </w:r>
      <w:r w:rsidRPr="00D311A8">
        <w:rPr>
          <w:i/>
          <w:iCs/>
        </w:rPr>
        <w:t>See</w:t>
      </w:r>
      <w:r>
        <w:t xml:space="preserve"> Lois Greisman, FTC, </w:t>
      </w:r>
      <w:r w:rsidRPr="001929BB">
        <w:rPr>
          <w:i/>
          <w:iCs/>
        </w:rPr>
        <w:t>Robocall Reports Still Down, FTC Still Fighting</w:t>
      </w:r>
      <w:r>
        <w:t xml:space="preserve"> (June 15, 2020), </w:t>
      </w:r>
      <w:hyperlink r:id="rId70" w:history="1">
        <w:r>
          <w:rPr>
            <w:rStyle w:val="Hyperlink"/>
          </w:rPr>
          <w:t>https://www.consumer.ftc.gov/blog/robocall</w:t>
        </w:r>
      </w:hyperlink>
      <w:r>
        <w:t xml:space="preserve">; Lois Greisman, FTC, </w:t>
      </w:r>
      <w:r w:rsidRPr="002C0DE5">
        <w:rPr>
          <w:i/>
          <w:iCs/>
        </w:rPr>
        <w:t>The FTC Keeps Attacking Robocalls</w:t>
      </w:r>
      <w:r>
        <w:t xml:space="preserve"> (Apr. 3, 2020),</w:t>
      </w:r>
      <w:r w:rsidRPr="00C04ECB">
        <w:t xml:space="preserve"> </w:t>
      </w:r>
      <w:hyperlink r:id="rId71" w:history="1">
        <w:r>
          <w:rPr>
            <w:rStyle w:val="Hyperlink"/>
          </w:rPr>
          <w:t>https://www.consumer.ftc.gov/blog/2020/04/ftc-keeps-attacking-robocalls</w:t>
        </w:r>
      </w:hyperlink>
      <w:r>
        <w:t xml:space="preserve">; Octavio Blanco, </w:t>
      </w:r>
      <w:r w:rsidRPr="002C0DE5">
        <w:rPr>
          <w:i/>
          <w:iCs/>
        </w:rPr>
        <w:t>Finally Some Good News About Robocalls</w:t>
      </w:r>
      <w:r>
        <w:t xml:space="preserve">, Consumer Rep. (July 12, 2019), </w:t>
      </w:r>
      <w:hyperlink r:id="rId72" w:history="1">
        <w:r>
          <w:rPr>
            <w:rStyle w:val="Hyperlink"/>
          </w:rPr>
          <w:t>https://www.consumerreports.org/robocalls/good-news-about-robocalls</w:t>
        </w:r>
      </w:hyperlink>
      <w:r>
        <w:t>.</w:t>
      </w:r>
    </w:p>
  </w:footnote>
  <w:footnote w:id="237">
    <w:p w:rsidR="007B2A7B" w:rsidP="00C2761F" w14:paraId="0D8DCE4F" w14:textId="0B7B9F55">
      <w:pPr>
        <w:pStyle w:val="FootnoteText"/>
      </w:pPr>
      <w:r>
        <w:rPr>
          <w:rStyle w:val="FootnoteReference"/>
        </w:rPr>
        <w:footnoteRef/>
      </w:r>
      <w:r>
        <w:t xml:space="preserve"> Nomorobo, </w:t>
      </w:r>
      <w:r w:rsidRPr="000C084A">
        <w:rPr>
          <w:i/>
          <w:iCs/>
        </w:rPr>
        <w:t>Robocalls: 2019 Year in Review</w:t>
      </w:r>
      <w:r>
        <w:t>.  Nomorobo explains</w:t>
      </w:r>
      <w:r>
        <w:t>:  “</w:t>
      </w:r>
      <w:r>
        <w:t xml:space="preserve">After you've enabled and verified Nomorobo on your phone, just use your phone like normal!  The only thing that you should do is to wait for the second ring to answer the phone (Nomorobo needs the first ring to detect </w:t>
      </w:r>
      <w:r>
        <w:t>robocallers</w:t>
      </w:r>
      <w:r>
        <w:t xml:space="preserve">).  If you only hear one ring and then it stops, you know a </w:t>
      </w:r>
      <w:r>
        <w:t>robocaller</w:t>
      </w:r>
      <w:r>
        <w:t xml:space="preserve"> was just blocked.  If the phone continues ringing, you should answer it.”</w:t>
      </w:r>
      <w:r w:rsidRPr="00562C92">
        <w:t xml:space="preserve"> </w:t>
      </w:r>
      <w:r>
        <w:t xml:space="preserve"> </w:t>
      </w:r>
      <w:hyperlink r:id="rId68" w:history="1">
        <w:r w:rsidRPr="00BA2000">
          <w:rPr>
            <w:rStyle w:val="Hyperlink"/>
          </w:rPr>
          <w:t>https://nomorobo.zendesk.com/hc/en-us/articles/200536477-How-does-it-work-on-Landlin</w:t>
        </w:r>
        <w:r w:rsidRPr="00BC06A6">
          <w:rPr>
            <w:rStyle w:val="Hyperlink"/>
          </w:rPr>
          <w:t>es-</w:t>
        </w:r>
      </w:hyperlink>
      <w:r>
        <w:t xml:space="preserve"> (last visited June 9, 2020).</w:t>
      </w:r>
    </w:p>
  </w:footnote>
  <w:footnote w:id="238">
    <w:p w:rsidR="007B2A7B" w:rsidP="00C2761F" w14:paraId="14305E4E" w14:textId="209C39E0">
      <w:pPr>
        <w:pStyle w:val="FootnoteText"/>
      </w:pPr>
      <w:r>
        <w:rPr>
          <w:rStyle w:val="FootnoteReference"/>
        </w:rPr>
        <w:footnoteRef/>
      </w:r>
      <w:r>
        <w:t xml:space="preserve"> Nomorobo Reply Comments at 1.  For a more detailed description of the intercept message Nomorobo sends to the blocked callers, </w:t>
      </w:r>
      <w:r w:rsidRPr="002C0DE5">
        <w:t>see</w:t>
      </w:r>
      <w:r>
        <w:t xml:space="preserve"> Nomorobo,</w:t>
      </w:r>
      <w:r w:rsidRPr="00E95246">
        <w:rPr>
          <w:i/>
          <w:iCs/>
        </w:rPr>
        <w:t xml:space="preserve"> Why </w:t>
      </w:r>
      <w:r>
        <w:rPr>
          <w:i/>
          <w:iCs/>
        </w:rPr>
        <w:t>A</w:t>
      </w:r>
      <w:r w:rsidRPr="00E95246">
        <w:rPr>
          <w:i/>
          <w:iCs/>
        </w:rPr>
        <w:t>m I Getting Calls from 608-371-6666</w:t>
      </w:r>
      <w:r>
        <w:t xml:space="preserve">, </w:t>
      </w:r>
      <w:hyperlink r:id="rId73" w:history="1">
        <w:r w:rsidRPr="008C2E64">
          <w:rPr>
            <w:rStyle w:val="Hyperlink"/>
          </w:rPr>
          <w:t>http://www.6083716666.com</w:t>
        </w:r>
      </w:hyperlink>
      <w:r>
        <w:t xml:space="preserve"> (last visited June 9, 2020).</w:t>
      </w:r>
      <w:r w:rsidRPr="0072031E">
        <w:t xml:space="preserve"> </w:t>
      </w:r>
      <w:r>
        <w:t xml:space="preserve"> Nomorobo explains</w:t>
      </w:r>
      <w:r>
        <w:t>:  “</w:t>
      </w:r>
      <w:r>
        <w:t xml:space="preserve">When we block a call we give them a ‘message’ saying Nomorobo has blocked the call.  If the caller enters the Captcha code, we push the call through to you.  If not, the call is terminated.”  </w:t>
      </w:r>
      <w:r w:rsidRPr="001D0D19">
        <w:rPr>
          <w:i/>
          <w:iCs/>
        </w:rPr>
        <w:t>See</w:t>
      </w:r>
      <w:r w:rsidRPr="001D0D19">
        <w:t xml:space="preserve"> </w:t>
      </w:r>
      <w:hyperlink r:id="rId74" w:history="1">
        <w:r>
          <w:rPr>
            <w:rStyle w:val="Hyperlink"/>
          </w:rPr>
          <w:t>https://nomorobo.zendesk.com/hc/en-us/articles/205761825-What-happens-when-a-call-is-blocked-on-a-landline-</w:t>
        </w:r>
      </w:hyperlink>
      <w:r>
        <w:t xml:space="preserve"> (last visited June 9, 2020).  </w:t>
      </w:r>
    </w:p>
  </w:footnote>
  <w:footnote w:id="239">
    <w:p w:rsidR="007B2A7B" w:rsidP="00C2761F" w14:paraId="1E9E9341" w14:textId="77777777">
      <w:pPr>
        <w:pStyle w:val="FootnoteText"/>
      </w:pPr>
      <w:r>
        <w:rPr>
          <w:rStyle w:val="FootnoteReference"/>
        </w:rPr>
        <w:footnoteRef/>
      </w:r>
      <w:r>
        <w:t xml:space="preserve"> Nomorobo Reply Comments at 1.</w:t>
      </w:r>
    </w:p>
  </w:footnote>
  <w:footnote w:id="240">
    <w:p w:rsidR="007B2A7B" w:rsidP="00C2761F" w14:paraId="4483F1F0" w14:textId="2465107B">
      <w:pPr>
        <w:pStyle w:val="FootnoteText"/>
      </w:pPr>
      <w:r>
        <w:rPr>
          <w:rStyle w:val="FootnoteReference"/>
        </w:rPr>
        <w:footnoteRef/>
      </w:r>
      <w:r>
        <w:t xml:space="preserve"> </w:t>
      </w:r>
      <w:r w:rsidRPr="009C6CCC">
        <w:rPr>
          <w:i/>
          <w:iCs/>
        </w:rPr>
        <w:t>Id</w:t>
      </w:r>
      <w:r>
        <w:t xml:space="preserve">.  For instructions, </w:t>
      </w:r>
      <w:r w:rsidRPr="002C0DE5">
        <w:t>see</w:t>
      </w:r>
      <w:r w:rsidRPr="00AE759A">
        <w:rPr>
          <w:i/>
          <w:iCs/>
        </w:rPr>
        <w:t xml:space="preserve"> How Can I Allow a </w:t>
      </w:r>
      <w:r>
        <w:rPr>
          <w:i/>
          <w:iCs/>
        </w:rPr>
        <w:t>C</w:t>
      </w:r>
      <w:r w:rsidRPr="00AE759A">
        <w:rPr>
          <w:i/>
          <w:iCs/>
        </w:rPr>
        <w:t>all Nomorobo is Blocking to Ring Through?</w:t>
      </w:r>
      <w:r>
        <w:t xml:space="preserve">, </w:t>
      </w:r>
      <w:hyperlink r:id="rId75" w:history="1">
        <w:r>
          <w:rPr>
            <w:rStyle w:val="Hyperlink"/>
          </w:rPr>
          <w:t>https://nomorobo.zendesk.com/hc/en-us/articles/205063319-How-can-I-allow-a-call-Nomorobo-is-blocking-to-ring-through-</w:t>
        </w:r>
      </w:hyperlink>
      <w:r>
        <w:t xml:space="preserve"> (last visited June 9, 2020).</w:t>
      </w:r>
    </w:p>
  </w:footnote>
  <w:footnote w:id="241">
    <w:p w:rsidR="007B2A7B" w:rsidP="00C2761F" w14:paraId="14E56F6A" w14:textId="33B377E6">
      <w:pPr>
        <w:pStyle w:val="FootnoteText"/>
      </w:pPr>
      <w:r>
        <w:rPr>
          <w:rStyle w:val="FootnoteReference"/>
        </w:rPr>
        <w:footnoteRef/>
      </w:r>
      <w:r>
        <w:t xml:space="preserve"> </w:t>
      </w:r>
      <w:r w:rsidRPr="00A6285B">
        <w:rPr>
          <w:i/>
          <w:iCs/>
        </w:rPr>
        <w:t>See</w:t>
      </w:r>
      <w:r>
        <w:rPr>
          <w:i/>
          <w:iCs/>
        </w:rPr>
        <w:t xml:space="preserve"> </w:t>
      </w:r>
      <w:r>
        <w:t xml:space="preserve">Nomorobo, </w:t>
      </w:r>
      <w:hyperlink r:id="rId46" w:history="1">
        <w:r>
          <w:rPr>
            <w:rStyle w:val="Hyperlink"/>
          </w:rPr>
          <w:t>https://www.nomorobo.com</w:t>
        </w:r>
      </w:hyperlink>
      <w:r>
        <w:t xml:space="preserve"> (last visited June 16, 2020).</w:t>
      </w:r>
    </w:p>
  </w:footnote>
  <w:footnote w:id="242">
    <w:p w:rsidR="007B2A7B" w:rsidP="009A335A" w14:paraId="536F44EA" w14:textId="070B7EC3">
      <w:pPr>
        <w:pStyle w:val="FootnoteText"/>
      </w:pPr>
      <w:r>
        <w:rPr>
          <w:rStyle w:val="FootnoteReference"/>
        </w:rPr>
        <w:footnoteRef/>
      </w:r>
      <w:r>
        <w:t xml:space="preserve"> </w:t>
      </w:r>
      <w:r>
        <w:t>RoboKiller</w:t>
      </w:r>
      <w:r>
        <w:t xml:space="preserve">, </w:t>
      </w:r>
      <w:r w:rsidRPr="00BB2DEA">
        <w:rPr>
          <w:i/>
          <w:iCs/>
        </w:rPr>
        <w:t>2020 U.S. Robocall Insights</w:t>
      </w:r>
      <w:r>
        <w:t xml:space="preserve">, </w:t>
      </w:r>
      <w:hyperlink r:id="rId76" w:history="1">
        <w:r>
          <w:rPr>
            <w:rStyle w:val="Hyperlink"/>
          </w:rPr>
          <w:t>https://www.robokiller.com/robocall-insights</w:t>
        </w:r>
      </w:hyperlink>
      <w:r>
        <w:t xml:space="preserve"> (last visited June 16, 2020).</w:t>
      </w:r>
    </w:p>
  </w:footnote>
  <w:footnote w:id="243">
    <w:p w:rsidR="007B2A7B" w:rsidP="009A335A" w14:paraId="6EB3B3F9" w14:textId="77777777">
      <w:pPr>
        <w:pStyle w:val="FootnoteText"/>
      </w:pPr>
      <w:r>
        <w:rPr>
          <w:rStyle w:val="FootnoteReference"/>
        </w:rPr>
        <w:footnoteRef/>
      </w:r>
      <w:r>
        <w:t xml:space="preserve"> </w:t>
      </w:r>
      <w:r>
        <w:t>Teltech</w:t>
      </w:r>
      <w:r>
        <w:t xml:space="preserve"> Comments at 1.</w:t>
      </w:r>
    </w:p>
  </w:footnote>
  <w:footnote w:id="244">
    <w:p w:rsidR="007B2A7B" w:rsidP="009A335A" w14:paraId="7F0C5808" w14:textId="5E54C361">
      <w:pPr>
        <w:pStyle w:val="FootnoteText"/>
      </w:pPr>
      <w:r>
        <w:rPr>
          <w:rStyle w:val="FootnoteReference"/>
        </w:rPr>
        <w:footnoteRef/>
      </w:r>
      <w:r>
        <w:t xml:space="preserve"> </w:t>
      </w:r>
      <w:r>
        <w:rPr>
          <w:i/>
          <w:iCs/>
        </w:rPr>
        <w:t>Id.</w:t>
      </w:r>
    </w:p>
  </w:footnote>
  <w:footnote w:id="245">
    <w:p w:rsidR="007B2A7B" w:rsidP="00BE7C15" w14:paraId="34F318E5" w14:textId="6602D4A7">
      <w:pPr>
        <w:pStyle w:val="FootnoteText"/>
      </w:pPr>
      <w:r>
        <w:rPr>
          <w:rStyle w:val="FootnoteReference"/>
        </w:rPr>
        <w:footnoteRef/>
      </w:r>
      <w:r>
        <w:t xml:space="preserve"> Letter from Paul </w:t>
      </w:r>
      <w:r>
        <w:t>Florack</w:t>
      </w:r>
      <w:r>
        <w:t>, Vice President, Product Management, Transaction Network Services, Inc., to G. Patrick Webre, Chief, FCC Consumer and Governmental Affairs Bureau, CG Docket No. 17-59, at 1 (Feb. 28, 2020) (TNS Letter).</w:t>
      </w:r>
    </w:p>
  </w:footnote>
  <w:footnote w:id="246">
    <w:p w:rsidR="007B2A7B" w:rsidP="00BE7C15" w14:paraId="6D0ED910" w14:textId="77777777">
      <w:pPr>
        <w:pStyle w:val="FootnoteText"/>
      </w:pPr>
      <w:r>
        <w:rPr>
          <w:rStyle w:val="FootnoteReference"/>
        </w:rPr>
        <w:footnoteRef/>
      </w:r>
      <w:r>
        <w:t xml:space="preserve"> TNS Letter at 2.</w:t>
      </w:r>
    </w:p>
  </w:footnote>
  <w:footnote w:id="247">
    <w:p w:rsidR="007B2A7B" w:rsidP="00BE7C15" w14:paraId="6DAA2CC7" w14:textId="77777777">
      <w:pPr>
        <w:pStyle w:val="FootnoteText"/>
      </w:pPr>
      <w:r>
        <w:rPr>
          <w:rStyle w:val="FootnoteReference"/>
        </w:rPr>
        <w:footnoteRef/>
      </w:r>
      <w:r>
        <w:t xml:space="preserve"> TNS Comments at 8; TNS Letter at 3.</w:t>
      </w:r>
    </w:p>
  </w:footnote>
  <w:footnote w:id="248">
    <w:p w:rsidR="007B2A7B" w:rsidP="00BE7C15" w14:paraId="3484B2C6" w14:textId="77777777">
      <w:pPr>
        <w:pStyle w:val="FootnoteText"/>
      </w:pPr>
      <w:r>
        <w:rPr>
          <w:rStyle w:val="FootnoteReference"/>
        </w:rPr>
        <w:footnoteRef/>
      </w:r>
      <w:r>
        <w:t xml:space="preserve"> TNS Comments at 8.</w:t>
      </w:r>
    </w:p>
  </w:footnote>
  <w:footnote w:id="249">
    <w:p w:rsidR="007B2A7B" w:rsidP="00BE7C15" w14:paraId="61CB1FBB" w14:textId="77777777">
      <w:pPr>
        <w:pStyle w:val="FootnoteText"/>
      </w:pPr>
      <w:r>
        <w:rPr>
          <w:rStyle w:val="FootnoteReference"/>
        </w:rPr>
        <w:footnoteRef/>
      </w:r>
      <w:r>
        <w:t xml:space="preserve"> TNS Letter at 3.</w:t>
      </w:r>
    </w:p>
  </w:footnote>
  <w:footnote w:id="250">
    <w:p w:rsidR="007B2A7B" w:rsidP="00BE7C15" w14:paraId="488D45EA" w14:textId="77777777">
      <w:pPr>
        <w:pStyle w:val="FootnoteText"/>
      </w:pPr>
      <w:r>
        <w:rPr>
          <w:rStyle w:val="FootnoteReference"/>
        </w:rPr>
        <w:footnoteRef/>
      </w:r>
      <w:r>
        <w:t xml:space="preserve"> TNS Comments at 9.</w:t>
      </w:r>
    </w:p>
  </w:footnote>
  <w:footnote w:id="251">
    <w:p w:rsidR="007B2A7B" w:rsidP="00BE7C15" w14:paraId="6EBFFAF2" w14:textId="21526F49">
      <w:pPr>
        <w:pStyle w:val="FootnoteText"/>
      </w:pPr>
      <w:r>
        <w:rPr>
          <w:rStyle w:val="FootnoteReference"/>
        </w:rPr>
        <w:footnoteRef/>
      </w:r>
      <w:r>
        <w:t xml:space="preserve"> </w:t>
      </w:r>
      <w:r w:rsidRPr="00A15310">
        <w:rPr>
          <w:i/>
          <w:iCs/>
        </w:rPr>
        <w:t>Id.</w:t>
      </w:r>
      <w:r>
        <w:t xml:space="preserve"> at 10.</w:t>
      </w:r>
    </w:p>
  </w:footnote>
  <w:footnote w:id="252">
    <w:p w:rsidR="007B2A7B" w:rsidRPr="00D32305" w:rsidP="002142DF" w14:paraId="42D69DA9" w14:textId="4B2249A5">
      <w:pPr>
        <w:pStyle w:val="FootnoteText"/>
      </w:pPr>
      <w:r>
        <w:rPr>
          <w:rStyle w:val="FootnoteReference"/>
        </w:rPr>
        <w:footnoteRef/>
      </w:r>
      <w:r>
        <w:t xml:space="preserve"> </w:t>
      </w:r>
      <w:r w:rsidRPr="00A15310">
        <w:rPr>
          <w:i/>
          <w:iCs/>
        </w:rPr>
        <w:t>Id.</w:t>
      </w:r>
      <w:r>
        <w:t xml:space="preserve"> at 11.  S</w:t>
      </w:r>
      <w:r w:rsidRPr="00D32305">
        <w:rPr>
          <w:shd w:val="clear" w:color="auto" w:fill="FFFFFF"/>
        </w:rPr>
        <w:t xml:space="preserve">nowshoe </w:t>
      </w:r>
      <w:r>
        <w:rPr>
          <w:shd w:val="clear" w:color="auto" w:fill="FFFFFF"/>
        </w:rPr>
        <w:t>robocallers</w:t>
      </w:r>
      <w:r>
        <w:rPr>
          <w:shd w:val="clear" w:color="auto" w:fill="FFFFFF"/>
        </w:rPr>
        <w:t xml:space="preserve"> spoof several numbers in low volumes </w:t>
      </w:r>
      <w:r>
        <w:rPr>
          <w:shd w:val="clear" w:color="auto" w:fill="FFFFFF"/>
        </w:rPr>
        <w:t>in an attempt to</w:t>
      </w:r>
      <w:r>
        <w:rPr>
          <w:shd w:val="clear" w:color="auto" w:fill="FFFFFF"/>
        </w:rPr>
        <w:t xml:space="preserve"> avoid detection</w:t>
      </w:r>
      <w:r w:rsidRPr="00D32305">
        <w:rPr>
          <w:shd w:val="clear" w:color="auto" w:fill="FFFFFF"/>
        </w:rPr>
        <w:t>.</w:t>
      </w:r>
      <w:r w:rsidRPr="00D32305">
        <w:rPr>
          <w:color w:val="495057"/>
          <w:shd w:val="clear" w:color="auto" w:fill="FFFFFF"/>
        </w:rPr>
        <w:t xml:space="preserve"> </w:t>
      </w:r>
    </w:p>
  </w:footnote>
  <w:footnote w:id="253">
    <w:p w:rsidR="007B2A7B" w:rsidP="00BE7C15" w14:paraId="001A88B8" w14:textId="36DC8A0E">
      <w:pPr>
        <w:pStyle w:val="FootnoteText"/>
      </w:pPr>
      <w:r>
        <w:rPr>
          <w:rStyle w:val="FootnoteReference"/>
        </w:rPr>
        <w:footnoteRef/>
      </w:r>
      <w:r>
        <w:t xml:space="preserve"> </w:t>
      </w:r>
      <w:r w:rsidRPr="00A15310">
        <w:rPr>
          <w:i/>
          <w:iCs/>
        </w:rPr>
        <w:t>Id.</w:t>
      </w:r>
      <w:r>
        <w:t xml:space="preserve"> at 11-12.</w:t>
      </w:r>
    </w:p>
  </w:footnote>
  <w:footnote w:id="254">
    <w:p w:rsidR="007B2A7B" w:rsidP="00BE7C15" w14:paraId="14FBAC26" w14:textId="64A75DFA">
      <w:pPr>
        <w:pStyle w:val="FootnoteText"/>
      </w:pPr>
      <w:r>
        <w:rPr>
          <w:rStyle w:val="FootnoteReference"/>
        </w:rPr>
        <w:footnoteRef/>
      </w:r>
      <w:r>
        <w:t xml:space="preserve"> </w:t>
      </w:r>
      <w:r w:rsidRPr="00A15310">
        <w:rPr>
          <w:i/>
          <w:iCs/>
        </w:rPr>
        <w:t>Id.</w:t>
      </w:r>
      <w:r>
        <w:t xml:space="preserve"> at 5.</w:t>
      </w:r>
    </w:p>
  </w:footnote>
  <w:footnote w:id="255">
    <w:p w:rsidR="007B2A7B" w:rsidP="00BE7C15" w14:paraId="1607F537" w14:textId="0FCB4BF6">
      <w:pPr>
        <w:pStyle w:val="FootnoteText"/>
      </w:pPr>
      <w:r>
        <w:rPr>
          <w:rStyle w:val="FootnoteReference"/>
        </w:rPr>
        <w:footnoteRef/>
      </w:r>
      <w:r>
        <w:t xml:space="preserve"> </w:t>
      </w:r>
      <w:r w:rsidRPr="00A15310">
        <w:rPr>
          <w:i/>
          <w:iCs/>
        </w:rPr>
        <w:t>Id</w:t>
      </w:r>
      <w:r>
        <w:t>.</w:t>
      </w:r>
    </w:p>
  </w:footnote>
  <w:footnote w:id="256">
    <w:p w:rsidR="007B2A7B" w:rsidP="00BE7C15" w14:paraId="4A5704CB" w14:textId="12552B34">
      <w:pPr>
        <w:pStyle w:val="FootnoteText"/>
      </w:pPr>
      <w:r>
        <w:rPr>
          <w:rStyle w:val="FootnoteReference"/>
        </w:rPr>
        <w:footnoteRef/>
      </w:r>
      <w:r>
        <w:t xml:space="preserve"> </w:t>
      </w:r>
      <w:r w:rsidRPr="00A15310">
        <w:rPr>
          <w:i/>
          <w:iCs/>
        </w:rPr>
        <w:t>Id.</w:t>
      </w:r>
      <w:r>
        <w:t xml:space="preserve"> at 7.</w:t>
      </w:r>
    </w:p>
  </w:footnote>
  <w:footnote w:id="257">
    <w:p w:rsidR="007B2A7B" w:rsidP="00BE7C15" w14:paraId="075FCC87" w14:textId="4CADA8CC">
      <w:pPr>
        <w:pStyle w:val="FootnoteText"/>
      </w:pPr>
      <w:r>
        <w:rPr>
          <w:rStyle w:val="FootnoteReference"/>
        </w:rPr>
        <w:footnoteRef/>
      </w:r>
      <w:r>
        <w:t xml:space="preserve"> </w:t>
      </w:r>
      <w:r w:rsidRPr="00A15310">
        <w:rPr>
          <w:i/>
          <w:iCs/>
        </w:rPr>
        <w:t>Id</w:t>
      </w:r>
      <w:r>
        <w:t>.</w:t>
      </w:r>
    </w:p>
  </w:footnote>
  <w:footnote w:id="258">
    <w:p w:rsidR="007B2A7B" w:rsidP="00074251" w14:paraId="5A5AADDD" w14:textId="77777777">
      <w:pPr>
        <w:pStyle w:val="FootnoteText"/>
      </w:pPr>
      <w:r>
        <w:rPr>
          <w:rStyle w:val="FootnoteReference"/>
        </w:rPr>
        <w:footnoteRef/>
      </w:r>
      <w:r>
        <w:t xml:space="preserve"> </w:t>
      </w:r>
      <w:r>
        <w:t>TransNexus</w:t>
      </w:r>
      <w:r>
        <w:t xml:space="preserve"> Comments at 1-2.</w:t>
      </w:r>
    </w:p>
  </w:footnote>
  <w:footnote w:id="259">
    <w:p w:rsidR="007B2A7B" w:rsidP="00074251" w14:paraId="63F9F425" w14:textId="417A3BDA">
      <w:pPr>
        <w:pStyle w:val="FootnoteText"/>
      </w:pPr>
      <w:r>
        <w:rPr>
          <w:rStyle w:val="FootnoteReference"/>
        </w:rPr>
        <w:footnoteRef/>
      </w:r>
      <w:r>
        <w:t xml:space="preserve"> </w:t>
      </w:r>
      <w:r w:rsidRPr="00A671C0">
        <w:rPr>
          <w:i/>
          <w:iCs/>
        </w:rPr>
        <w:t>Id</w:t>
      </w:r>
      <w:r>
        <w:t>.</w:t>
      </w:r>
    </w:p>
  </w:footnote>
  <w:footnote w:id="260">
    <w:p w:rsidR="007B2A7B" w:rsidP="00074251" w14:paraId="11F99211" w14:textId="433C45E2">
      <w:pPr>
        <w:pStyle w:val="FootnoteText"/>
      </w:pPr>
      <w:r>
        <w:rPr>
          <w:rStyle w:val="FootnoteReference"/>
        </w:rPr>
        <w:footnoteRef/>
      </w:r>
      <w:r>
        <w:t xml:space="preserve"> </w:t>
      </w:r>
      <w:r w:rsidRPr="00A671C0">
        <w:rPr>
          <w:i/>
          <w:iCs/>
        </w:rPr>
        <w:t>Id</w:t>
      </w:r>
      <w:r>
        <w:t>.</w:t>
      </w:r>
    </w:p>
  </w:footnote>
  <w:footnote w:id="261">
    <w:p w:rsidR="007B2A7B" w:rsidP="00074251" w14:paraId="3AE5512A" w14:textId="765A8EB9">
      <w:pPr>
        <w:pStyle w:val="FootnoteText"/>
      </w:pPr>
      <w:r>
        <w:rPr>
          <w:rStyle w:val="FootnoteReference"/>
        </w:rPr>
        <w:footnoteRef/>
      </w:r>
      <w:r>
        <w:t xml:space="preserve"> </w:t>
      </w:r>
      <w:r w:rsidRPr="00A671C0">
        <w:rPr>
          <w:i/>
          <w:iCs/>
        </w:rPr>
        <w:t>Id</w:t>
      </w:r>
      <w:r>
        <w:t>.</w:t>
      </w:r>
    </w:p>
  </w:footnote>
  <w:footnote w:id="262">
    <w:p w:rsidR="007B2A7B" w:rsidP="00074251" w14:paraId="63CCCE93" w14:textId="4E6AB7D6">
      <w:pPr>
        <w:pStyle w:val="FootnoteText"/>
      </w:pPr>
      <w:r>
        <w:rPr>
          <w:rStyle w:val="FootnoteReference"/>
        </w:rPr>
        <w:footnoteRef/>
      </w:r>
      <w:r>
        <w:t xml:space="preserve"> </w:t>
      </w:r>
      <w:r w:rsidRPr="00A671C0">
        <w:rPr>
          <w:i/>
          <w:iCs/>
        </w:rPr>
        <w:t>Id</w:t>
      </w:r>
      <w:r>
        <w:t>.</w:t>
      </w:r>
    </w:p>
  </w:footnote>
  <w:footnote w:id="263">
    <w:p w:rsidR="007B2A7B" w:rsidP="00074251" w14:paraId="431DCEB2" w14:textId="14601102">
      <w:pPr>
        <w:pStyle w:val="FootnoteText"/>
      </w:pPr>
      <w:r>
        <w:rPr>
          <w:rStyle w:val="FootnoteReference"/>
        </w:rPr>
        <w:footnoteRef/>
      </w:r>
      <w:r>
        <w:t xml:space="preserve"> </w:t>
      </w:r>
      <w:r w:rsidRPr="00A671C0">
        <w:rPr>
          <w:i/>
          <w:iCs/>
        </w:rPr>
        <w:t>Id.</w:t>
      </w:r>
      <w:r>
        <w:t xml:space="preserve"> at 2.</w:t>
      </w:r>
    </w:p>
  </w:footnote>
  <w:footnote w:id="264">
    <w:p w:rsidR="007B2A7B" w:rsidP="005D5CCC" w14:paraId="5DB415AF" w14:textId="51175AF5">
      <w:pPr>
        <w:pStyle w:val="FootnoteText"/>
      </w:pPr>
      <w:r>
        <w:rPr>
          <w:rStyle w:val="FootnoteReference"/>
        </w:rPr>
        <w:footnoteRef/>
      </w:r>
      <w:r>
        <w:t xml:space="preserve"> </w:t>
      </w:r>
      <w:r>
        <w:t>YouMail</w:t>
      </w:r>
      <w:r>
        <w:t xml:space="preserve">, </w:t>
      </w:r>
      <w:r>
        <w:rPr>
          <w:i/>
          <w:iCs/>
        </w:rPr>
        <w:t>Robocall Index</w:t>
      </w:r>
      <w:r>
        <w:t xml:space="preserve">, </w:t>
      </w:r>
      <w:hyperlink r:id="rId77" w:history="1">
        <w:r w:rsidRPr="00334C02">
          <w:rPr>
            <w:rStyle w:val="Hyperlink"/>
          </w:rPr>
          <w:t>https://robocallindex.com</w:t>
        </w:r>
      </w:hyperlink>
      <w:r>
        <w:t xml:space="preserve"> (last visited June 10, 2020); </w:t>
      </w:r>
      <w:r>
        <w:t>YouMail</w:t>
      </w:r>
      <w:r>
        <w:t xml:space="preserve">, </w:t>
      </w:r>
      <w:r w:rsidRPr="0002396B">
        <w:rPr>
          <w:i/>
          <w:iCs/>
        </w:rPr>
        <w:t>Block Calls at the Source</w:t>
      </w:r>
      <w:r>
        <w:t xml:space="preserve">, </w:t>
      </w:r>
      <w:hyperlink r:id="rId78" w:history="1">
        <w:r>
          <w:rPr>
            <w:rStyle w:val="Hyperlink"/>
          </w:rPr>
          <w:t>https://www.youmail.com/home/feature/stop-robocalls</w:t>
        </w:r>
      </w:hyperlink>
      <w:r>
        <w:t xml:space="preserve"> (last visited June 10, 2020).</w:t>
      </w:r>
    </w:p>
  </w:footnote>
  <w:footnote w:id="265">
    <w:p w:rsidR="007B2A7B" w:rsidP="008F044C" w14:paraId="60B0B8C2" w14:textId="5D13496D">
      <w:pPr>
        <w:pStyle w:val="FootnoteText"/>
      </w:pPr>
      <w:r>
        <w:rPr>
          <w:rStyle w:val="FootnoteReference"/>
        </w:rPr>
        <w:footnoteRef/>
      </w:r>
      <w:r>
        <w:t xml:space="preserve"> Mike Snider, </w:t>
      </w:r>
      <w:r w:rsidRPr="001A6FC1">
        <w:rPr>
          <w:i/>
          <w:iCs/>
        </w:rPr>
        <w:t>Robocalls</w:t>
      </w:r>
      <w:r>
        <w:rPr>
          <w:i/>
          <w:iCs/>
        </w:rPr>
        <w:t xml:space="preserve"> Rang Up a New High in 2019.  Two or More Daily Is Average in Some States</w:t>
      </w:r>
      <w:r>
        <w:t>, USA Today (Jan. 15, 2020),</w:t>
      </w:r>
      <w:r w:rsidRPr="008F044C">
        <w:t xml:space="preserve"> </w:t>
      </w:r>
      <w:hyperlink r:id="rId79" w:history="1">
        <w:r>
          <w:rPr>
            <w:rStyle w:val="Hyperlink"/>
          </w:rPr>
          <w:t>https://www.usatoday.com/story/tech/2020/01/15/robocalls-americans-got-58-5-billion-2019/4476018002/</w:t>
        </w:r>
      </w:hyperlink>
      <w:r>
        <w:t>.</w:t>
      </w:r>
    </w:p>
  </w:footnote>
  <w:footnote w:id="266">
    <w:p w:rsidR="007B2A7B" w:rsidP="005D5CCC" w14:paraId="76ACD0AD" w14:textId="47E75FE7">
      <w:pPr>
        <w:pStyle w:val="FootnoteText"/>
      </w:pPr>
      <w:r>
        <w:rPr>
          <w:rStyle w:val="FootnoteReference"/>
        </w:rPr>
        <w:footnoteRef/>
      </w:r>
      <w:r>
        <w:t xml:space="preserve"> </w:t>
      </w:r>
      <w:r>
        <w:t>YouMail</w:t>
      </w:r>
      <w:r>
        <w:t xml:space="preserve">, </w:t>
      </w:r>
      <w:r>
        <w:rPr>
          <w:i/>
          <w:iCs/>
        </w:rPr>
        <w:t>December 2019 Washington, DC Robocall Data</w:t>
      </w:r>
      <w:r>
        <w:t xml:space="preserve">, </w:t>
      </w:r>
      <w:hyperlink r:id="rId80" w:history="1">
        <w:r>
          <w:rPr>
            <w:rStyle w:val="Hyperlink"/>
          </w:rPr>
          <w:t>https://robocallindex.com/washington-dc/2019/december?searchTerm=Washington,%20DC</w:t>
        </w:r>
      </w:hyperlink>
      <w:r>
        <w:t xml:space="preserve"> (last visited June 10, 2020); </w:t>
      </w:r>
      <w:r>
        <w:t>YouMail</w:t>
      </w:r>
      <w:r>
        <w:t xml:space="preserve">, </w:t>
      </w:r>
      <w:r>
        <w:rPr>
          <w:i/>
          <w:iCs/>
        </w:rPr>
        <w:t>December 2019 New York, NY Robocall Data</w:t>
      </w:r>
      <w:r>
        <w:t xml:space="preserve">, </w:t>
      </w:r>
      <w:hyperlink r:id="rId81" w:history="1">
        <w:r w:rsidRPr="006A6E08">
          <w:rPr>
            <w:rStyle w:val="Hyperlink"/>
          </w:rPr>
          <w:t>https://robocallindex.com/new-york-ny/2019/december?searchTerm=New%20York,%20NY</w:t>
        </w:r>
      </w:hyperlink>
      <w:r>
        <w:t xml:space="preserve"> (last visited June 10, 2020); </w:t>
      </w:r>
      <w:r>
        <w:t>YouMail</w:t>
      </w:r>
      <w:r>
        <w:t xml:space="preserve">, </w:t>
      </w:r>
      <w:r>
        <w:rPr>
          <w:i/>
          <w:iCs/>
        </w:rPr>
        <w:t>December 2019 Los Angeles, CA Robocall Data</w:t>
      </w:r>
      <w:r>
        <w:t xml:space="preserve">, </w:t>
      </w:r>
      <w:hyperlink r:id="rId82" w:history="1">
        <w:r>
          <w:rPr>
            <w:rStyle w:val="Hyperlink"/>
          </w:rPr>
          <w:t>https://robocallindex.com/los-angeles-ca/2019/december?searchTerm=Los%20Angeles,%20CA</w:t>
        </w:r>
      </w:hyperlink>
      <w:r>
        <w:t xml:space="preserve"> (last visited June 10, 2020).</w:t>
      </w:r>
    </w:p>
  </w:footnote>
  <w:footnote w:id="267">
    <w:p w:rsidR="007B2A7B" w:rsidP="005D5CCC" w14:paraId="5ECE73C2" w14:textId="77777777">
      <w:pPr>
        <w:pStyle w:val="FootnoteText"/>
      </w:pPr>
      <w:r>
        <w:rPr>
          <w:rStyle w:val="FootnoteReference"/>
        </w:rPr>
        <w:footnoteRef/>
      </w:r>
      <w:r>
        <w:t xml:space="preserve"> </w:t>
      </w:r>
      <w:r>
        <w:t>YouMail</w:t>
      </w:r>
      <w:r>
        <w:t xml:space="preserve"> also categorizes calls as scams, telemarketing, alerts and reminders, and payment reminders.  Of these four categories, the last two may not be unwanted calls. </w:t>
      </w:r>
    </w:p>
  </w:footnote>
  <w:footnote w:id="268">
    <w:p w:rsidR="007B2A7B" w:rsidP="00296830" w14:paraId="37CE7C99" w14:textId="1256FC09">
      <w:pPr>
        <w:pStyle w:val="FootnoteText"/>
      </w:pPr>
      <w:r>
        <w:rPr>
          <w:rStyle w:val="FootnoteReference"/>
        </w:rPr>
        <w:footnoteRef/>
      </w:r>
      <w:r>
        <w:t xml:space="preserve"> Apple, </w:t>
      </w:r>
      <w:r w:rsidRPr="00023335">
        <w:rPr>
          <w:i/>
          <w:iCs/>
        </w:rPr>
        <w:t>Detect and Block Spam Phone Calls</w:t>
      </w:r>
      <w:r>
        <w:t xml:space="preserve">, </w:t>
      </w:r>
      <w:hyperlink r:id="rId83" w:history="1">
        <w:r>
          <w:rPr>
            <w:rStyle w:val="Hyperlink"/>
          </w:rPr>
          <w:t>https://support.apple.com/en-us/HT207099</w:t>
        </w:r>
      </w:hyperlink>
      <w:r>
        <w:t xml:space="preserve"> (last visited June 10, 2020).</w:t>
      </w:r>
    </w:p>
  </w:footnote>
  <w:footnote w:id="269">
    <w:p w:rsidR="007B2A7B" w:rsidP="00831AA6" w14:paraId="7E3E587A" w14:textId="77777777">
      <w:pPr>
        <w:pStyle w:val="FootnoteText"/>
      </w:pPr>
      <w:r>
        <w:rPr>
          <w:rStyle w:val="FootnoteReference"/>
        </w:rPr>
        <w:footnoteRef/>
      </w:r>
      <w:r>
        <w:t xml:space="preserve"> </w:t>
      </w:r>
      <w:r w:rsidRPr="0013521D">
        <w:rPr>
          <w:i/>
          <w:iCs/>
        </w:rPr>
        <w:t>Id</w:t>
      </w:r>
      <w:r>
        <w:t>.</w:t>
      </w:r>
    </w:p>
  </w:footnote>
  <w:footnote w:id="270">
    <w:p w:rsidR="007B2A7B" w:rsidP="00831AA6" w14:paraId="373E27F9" w14:textId="30F5BFFD">
      <w:pPr>
        <w:pStyle w:val="FootnoteText"/>
      </w:pPr>
      <w:r>
        <w:rPr>
          <w:rStyle w:val="FootnoteReference"/>
        </w:rPr>
        <w:footnoteRef/>
      </w:r>
      <w:r>
        <w:t xml:space="preserve"> Letter from Darah Franklin, Counsel, Google LLC, to G. Patrick Webre, Chief, FCC Consumer and Governmental Affairs Bureau, CG Docket No. 17-59, at 1 (Feb. 28, 2020) (Google Letter).</w:t>
      </w:r>
    </w:p>
  </w:footnote>
  <w:footnote w:id="271">
    <w:p w:rsidR="007B2A7B" w:rsidP="00831AA6" w14:paraId="669046C2" w14:textId="77777777">
      <w:pPr>
        <w:pStyle w:val="FootnoteText"/>
      </w:pPr>
      <w:r>
        <w:rPr>
          <w:rStyle w:val="FootnoteReference"/>
        </w:rPr>
        <w:footnoteRef/>
      </w:r>
      <w:r>
        <w:t xml:space="preserve"> Google Letter at 1.</w:t>
      </w:r>
    </w:p>
  </w:footnote>
  <w:footnote w:id="272">
    <w:p w:rsidR="007B2A7B" w:rsidP="00831AA6" w14:paraId="47F76F5F" w14:textId="77777777">
      <w:pPr>
        <w:pStyle w:val="FootnoteText"/>
      </w:pPr>
      <w:r>
        <w:rPr>
          <w:rStyle w:val="FootnoteReference"/>
        </w:rPr>
        <w:footnoteRef/>
      </w:r>
      <w:r>
        <w:t xml:space="preserve"> </w:t>
      </w:r>
      <w:r w:rsidRPr="0013521D">
        <w:rPr>
          <w:i/>
          <w:iCs/>
        </w:rPr>
        <w:t>Id</w:t>
      </w:r>
      <w:r>
        <w:t>.</w:t>
      </w:r>
    </w:p>
  </w:footnote>
  <w:footnote w:id="273">
    <w:p w:rsidR="007B2A7B" w:rsidP="00831AA6" w14:paraId="7A7862C1" w14:textId="77777777">
      <w:pPr>
        <w:pStyle w:val="FootnoteText"/>
      </w:pPr>
      <w:r>
        <w:rPr>
          <w:rStyle w:val="FootnoteReference"/>
        </w:rPr>
        <w:footnoteRef/>
      </w:r>
      <w:r>
        <w:t xml:space="preserve"> </w:t>
      </w:r>
      <w:r w:rsidRPr="0013521D">
        <w:rPr>
          <w:i/>
          <w:iCs/>
        </w:rPr>
        <w:t>Id.</w:t>
      </w:r>
      <w:r>
        <w:t xml:space="preserve"> at 2.</w:t>
      </w:r>
    </w:p>
  </w:footnote>
  <w:footnote w:id="274">
    <w:p w:rsidR="007B2A7B" w14:paraId="076C444E" w14:textId="2365806C">
      <w:pPr>
        <w:pStyle w:val="FootnoteText"/>
      </w:pPr>
      <w:r>
        <w:rPr>
          <w:rStyle w:val="FootnoteReference"/>
        </w:rPr>
        <w:footnoteRef/>
      </w:r>
      <w:r>
        <w:t xml:space="preserve"> Samsung, </w:t>
      </w:r>
      <w:r w:rsidRPr="00C34D7D">
        <w:rPr>
          <w:i/>
          <w:iCs/>
        </w:rPr>
        <w:t>Smart Call Can Easily Report or Block Spam Calls</w:t>
      </w:r>
      <w:r>
        <w:t xml:space="preserve">, </w:t>
      </w:r>
      <w:hyperlink r:id="rId84" w:history="1">
        <w:r w:rsidRPr="00091934">
          <w:rPr>
            <w:rStyle w:val="Hyperlink"/>
          </w:rPr>
          <w:t>https://www.samsung.com/global/galaxy/apps/smart-call/</w:t>
        </w:r>
      </w:hyperlink>
      <w:r>
        <w:t xml:space="preserve"> (last visited June 15, 2020).</w:t>
      </w:r>
    </w:p>
  </w:footnote>
  <w:footnote w:id="275">
    <w:p w:rsidR="007B2A7B" w:rsidP="000701A8" w14:paraId="55B0CEB0" w14:textId="77777777">
      <w:pPr>
        <w:pStyle w:val="FootnoteText"/>
      </w:pPr>
      <w:r>
        <w:rPr>
          <w:rStyle w:val="FootnoteReference"/>
        </w:rPr>
        <w:footnoteRef/>
      </w:r>
      <w:r>
        <w:t xml:space="preserve"> AT&amp;T Comments at 8.</w:t>
      </w:r>
    </w:p>
  </w:footnote>
  <w:footnote w:id="276">
    <w:p w:rsidR="007B2A7B" w:rsidP="000701A8" w14:paraId="7AF62C2C" w14:textId="77777777">
      <w:pPr>
        <w:pStyle w:val="FootnoteText"/>
      </w:pPr>
      <w:r>
        <w:rPr>
          <w:rStyle w:val="FootnoteReference"/>
        </w:rPr>
        <w:footnoteRef/>
      </w:r>
      <w:r>
        <w:t xml:space="preserve"> </w:t>
      </w:r>
      <w:r w:rsidRPr="0026055E">
        <w:rPr>
          <w:i/>
          <w:iCs/>
        </w:rPr>
        <w:t>Id.</w:t>
      </w:r>
      <w:r>
        <w:t xml:space="preserve"> at 3; AT&amp;T Letter at 2.</w:t>
      </w:r>
    </w:p>
  </w:footnote>
  <w:footnote w:id="277">
    <w:p w:rsidR="007B2A7B" w:rsidP="000701A8" w14:paraId="510985F3" w14:textId="77777777">
      <w:pPr>
        <w:pStyle w:val="FootnoteText"/>
      </w:pPr>
      <w:r>
        <w:rPr>
          <w:rStyle w:val="FootnoteReference"/>
        </w:rPr>
        <w:footnoteRef/>
      </w:r>
      <w:r>
        <w:t xml:space="preserve"> Verizon Letter at 2-3.</w:t>
      </w:r>
    </w:p>
  </w:footnote>
  <w:footnote w:id="278">
    <w:p w:rsidR="007B2A7B" w:rsidP="000701A8" w14:paraId="75649FC1" w14:textId="77777777">
      <w:pPr>
        <w:pStyle w:val="FootnoteText"/>
      </w:pPr>
      <w:r>
        <w:rPr>
          <w:rStyle w:val="FootnoteReference"/>
        </w:rPr>
        <w:footnoteRef/>
      </w:r>
      <w:r>
        <w:t xml:space="preserve"> Comcast Comments at 4; Comcast Letter at 2.</w:t>
      </w:r>
    </w:p>
  </w:footnote>
  <w:footnote w:id="279">
    <w:p w:rsidR="007B2A7B" w:rsidP="000701A8" w14:paraId="30519F35" w14:textId="77777777">
      <w:pPr>
        <w:pStyle w:val="FootnoteText"/>
      </w:pPr>
      <w:r>
        <w:rPr>
          <w:rStyle w:val="FootnoteReference"/>
        </w:rPr>
        <w:footnoteRef/>
      </w:r>
      <w:r>
        <w:t xml:space="preserve"> </w:t>
      </w:r>
      <w:r w:rsidRPr="002C0DE5">
        <w:t>Call Control</w:t>
      </w:r>
      <w:r>
        <w:t xml:space="preserve">, </w:t>
      </w:r>
      <w:r w:rsidRPr="000253E8">
        <w:rPr>
          <w:i/>
          <w:iCs/>
        </w:rPr>
        <w:t>Get in Touch with Us</w:t>
      </w:r>
      <w:r>
        <w:t xml:space="preserve">, </w:t>
      </w:r>
      <w:hyperlink r:id="rId62" w:history="1">
        <w:r>
          <w:rPr>
            <w:rStyle w:val="Hyperlink"/>
          </w:rPr>
          <w:t>https://www.callcontrol.com/contact</w:t>
        </w:r>
      </w:hyperlink>
      <w:r>
        <w:t xml:space="preserve"> (last visited June 9, 2020).</w:t>
      </w:r>
    </w:p>
  </w:footnote>
  <w:footnote w:id="280">
    <w:p w:rsidR="007B2A7B" w:rsidP="000701A8" w14:paraId="465583E7" w14:textId="77777777">
      <w:pPr>
        <w:pStyle w:val="FootnoteText"/>
      </w:pPr>
      <w:r>
        <w:rPr>
          <w:rStyle w:val="FootnoteReference"/>
        </w:rPr>
        <w:footnoteRef/>
      </w:r>
      <w:r>
        <w:t xml:space="preserve"> Nomorobo, </w:t>
      </w:r>
      <w:r w:rsidRPr="000C084A">
        <w:rPr>
          <w:i/>
          <w:iCs/>
        </w:rPr>
        <w:t>Robocalls: 2019 Year in Review</w:t>
      </w:r>
      <w:r>
        <w:t xml:space="preserve">, </w:t>
      </w:r>
      <w:hyperlink r:id="rId69" w:history="1">
        <w:r>
          <w:rPr>
            <w:rStyle w:val="Hyperlink"/>
          </w:rPr>
          <w:t>https://www.nomorobo.com/2019</w:t>
        </w:r>
      </w:hyperlink>
      <w:r>
        <w:t xml:space="preserve"> (last visited June 9, 2020).</w:t>
      </w:r>
    </w:p>
  </w:footnote>
  <w:footnote w:id="281">
    <w:p w:rsidR="007B2A7B" w14:paraId="108B0111" w14:textId="4D0E9C92">
      <w:pPr>
        <w:pStyle w:val="FootnoteText"/>
      </w:pPr>
      <w:r>
        <w:rPr>
          <w:rStyle w:val="FootnoteReference"/>
        </w:rPr>
        <w:footnoteRef/>
      </w:r>
      <w:r>
        <w:t xml:space="preserve"> </w:t>
      </w:r>
      <w:r w:rsidRPr="00DA23C4">
        <w:rPr>
          <w:i/>
          <w:iCs/>
        </w:rPr>
        <w:t>See</w:t>
      </w:r>
      <w:r w:rsidRPr="00A9604A">
        <w:rPr>
          <w:i/>
          <w:iCs/>
        </w:rPr>
        <w:t>,</w:t>
      </w:r>
      <w:r w:rsidRPr="00DA23C4">
        <w:rPr>
          <w:i/>
          <w:iCs/>
        </w:rPr>
        <w:t xml:space="preserve"> e.g</w:t>
      </w:r>
      <w:r>
        <w:t>., AT&amp;T Letter at 4-5; Verizon Letter at 2-3; CenturyLink Letter at 2; Frontier Letter at 2.</w:t>
      </w:r>
    </w:p>
  </w:footnote>
  <w:footnote w:id="282">
    <w:p w:rsidR="007B2A7B" w14:paraId="7904E961" w14:textId="51FF5FE4">
      <w:pPr>
        <w:pStyle w:val="FootnoteText"/>
      </w:pPr>
      <w:r>
        <w:rPr>
          <w:rStyle w:val="FootnoteReference"/>
        </w:rPr>
        <w:footnoteRef/>
      </w:r>
      <w:r>
        <w:t xml:space="preserve"> </w:t>
      </w:r>
      <w:r w:rsidRPr="00512F10">
        <w:rPr>
          <w:i/>
          <w:iCs/>
        </w:rPr>
        <w:t>See</w:t>
      </w:r>
      <w:r w:rsidRPr="00A9604A">
        <w:rPr>
          <w:i/>
          <w:iCs/>
        </w:rPr>
        <w:t>,</w:t>
      </w:r>
      <w:r w:rsidRPr="00512F10">
        <w:rPr>
          <w:i/>
          <w:iCs/>
        </w:rPr>
        <w:t xml:space="preserve"> e.g</w:t>
      </w:r>
      <w:r>
        <w:t>., AT&amp;T Comments at 3 (now offered on an opt-out basis); Verizon Letter at 1-2; CenturyLink Letter at 2; Frontier Letter at 2.</w:t>
      </w:r>
    </w:p>
  </w:footnote>
  <w:footnote w:id="283">
    <w:p w:rsidR="007B2A7B" w14:paraId="6B492790" w14:textId="6B1D3813">
      <w:pPr>
        <w:pStyle w:val="FootnoteText"/>
      </w:pPr>
      <w:r>
        <w:rPr>
          <w:rStyle w:val="FootnoteReference"/>
        </w:rPr>
        <w:footnoteRef/>
      </w:r>
      <w:r>
        <w:t xml:space="preserve"> AT&amp;T Letter at 2.</w:t>
      </w:r>
    </w:p>
  </w:footnote>
  <w:footnote w:id="284">
    <w:p w:rsidR="007B2A7B" w14:paraId="3041EEB6" w14:textId="48C0EB2A">
      <w:pPr>
        <w:pStyle w:val="FootnoteText"/>
      </w:pPr>
      <w:r>
        <w:rPr>
          <w:rStyle w:val="FootnoteReference"/>
        </w:rPr>
        <w:footnoteRef/>
      </w:r>
      <w:r>
        <w:t xml:space="preserve"> TNS Comments at 7.</w:t>
      </w:r>
    </w:p>
  </w:footnote>
  <w:footnote w:id="285">
    <w:p w:rsidR="007B2A7B" w14:paraId="4D81D6DD" w14:textId="1C05DDC4">
      <w:pPr>
        <w:pStyle w:val="FootnoteText"/>
      </w:pPr>
      <w:r>
        <w:rPr>
          <w:rStyle w:val="FootnoteReference"/>
        </w:rPr>
        <w:footnoteRef/>
      </w:r>
      <w:r>
        <w:t xml:space="preserve"> AT&amp;T Letter at 4.</w:t>
      </w:r>
    </w:p>
  </w:footnote>
  <w:footnote w:id="286">
    <w:p w:rsidR="007B2A7B" w14:paraId="0F5973E5" w14:textId="5D7D30F4">
      <w:pPr>
        <w:pStyle w:val="FootnoteText"/>
      </w:pPr>
      <w:r>
        <w:rPr>
          <w:rStyle w:val="FootnoteReference"/>
        </w:rPr>
        <w:footnoteRef/>
      </w:r>
      <w:r>
        <w:t xml:space="preserve"> </w:t>
      </w:r>
      <w:r w:rsidRPr="001D714F">
        <w:rPr>
          <w:i/>
          <w:iCs/>
        </w:rPr>
        <w:t>Id.</w:t>
      </w:r>
    </w:p>
  </w:footnote>
  <w:footnote w:id="287">
    <w:p w:rsidR="007B2A7B" w14:paraId="76BA24A5" w14:textId="226F0817">
      <w:pPr>
        <w:pStyle w:val="FootnoteText"/>
      </w:pPr>
      <w:r>
        <w:rPr>
          <w:rStyle w:val="FootnoteReference"/>
        </w:rPr>
        <w:footnoteRef/>
      </w:r>
      <w:r>
        <w:t xml:space="preserve"> </w:t>
      </w:r>
      <w:r w:rsidRPr="001D714F">
        <w:rPr>
          <w:i/>
          <w:iCs/>
        </w:rPr>
        <w:t>Id</w:t>
      </w:r>
      <w:r>
        <w:t>. at 4-5.</w:t>
      </w:r>
    </w:p>
  </w:footnote>
  <w:footnote w:id="288">
    <w:p w:rsidR="007B2A7B" w14:paraId="5496DCC2" w14:textId="5DBE2D51">
      <w:pPr>
        <w:pStyle w:val="FootnoteText"/>
      </w:pPr>
      <w:r>
        <w:rPr>
          <w:rStyle w:val="FootnoteReference"/>
        </w:rPr>
        <w:footnoteRef/>
      </w:r>
      <w:r>
        <w:t xml:space="preserve"> </w:t>
      </w:r>
      <w:r w:rsidRPr="001D714F">
        <w:rPr>
          <w:i/>
          <w:iCs/>
        </w:rPr>
        <w:t>Id</w:t>
      </w:r>
      <w:r>
        <w:t>. at 5.</w:t>
      </w:r>
    </w:p>
  </w:footnote>
  <w:footnote w:id="289">
    <w:p w:rsidR="007B2A7B" w14:paraId="09DC2269" w14:textId="77777777">
      <w:pPr>
        <w:pStyle w:val="FootnoteText"/>
      </w:pPr>
      <w:r>
        <w:rPr>
          <w:rStyle w:val="FootnoteReference"/>
        </w:rPr>
        <w:footnoteRef/>
      </w:r>
      <w:r>
        <w:t xml:space="preserve"> AT&amp;T Comments at 9 (the outgoing message is in English and Spanish, for blocked callers to Mobility, U-verse, Prepaid, or Cricket customers).</w:t>
      </w:r>
    </w:p>
  </w:footnote>
  <w:footnote w:id="290">
    <w:p w:rsidR="007B2A7B" w:rsidP="000A3E5E" w14:paraId="05DC1BB2" w14:textId="77777777">
      <w:pPr>
        <w:pStyle w:val="FootnoteText"/>
      </w:pPr>
      <w:r>
        <w:rPr>
          <w:rStyle w:val="FootnoteReference"/>
        </w:rPr>
        <w:footnoteRef/>
      </w:r>
      <w:r>
        <w:t xml:space="preserve"> </w:t>
      </w:r>
      <w:r w:rsidRPr="00903883">
        <w:rPr>
          <w:i/>
          <w:iCs/>
        </w:rPr>
        <w:t>See</w:t>
      </w:r>
      <w:r w:rsidRPr="0002396B">
        <w:rPr>
          <w:i/>
        </w:rPr>
        <w:t>,</w:t>
      </w:r>
      <w:r w:rsidRPr="00903883">
        <w:rPr>
          <w:i/>
          <w:iCs/>
        </w:rPr>
        <w:t xml:space="preserve"> e.g</w:t>
      </w:r>
      <w:r>
        <w:t>., PACE Comments at 2-3; Encore Comments at 1-6; TNS Reply Comments at 3-4.</w:t>
      </w:r>
    </w:p>
  </w:footnote>
  <w:footnote w:id="291">
    <w:p w:rsidR="007B2A7B" w14:paraId="5992DD2B" w14:textId="4CB43366">
      <w:pPr>
        <w:pStyle w:val="FootnoteText"/>
      </w:pPr>
      <w:r>
        <w:rPr>
          <w:rStyle w:val="FootnoteReference"/>
        </w:rPr>
        <w:footnoteRef/>
      </w:r>
      <w:r>
        <w:t xml:space="preserve"> For example, AT&amp;T’s Call Protect allows users to send calls directly to voicemail, AT&amp;T Letter at 2; Verizon’s Call Filter app sends blocked calls to voicemail, Verizon Letter at 3; Verizon’s landline customers with caller ID have Spam Alerts robocall labeling so the called party can choose not to answer the robocall, Verizon Letter at 2; </w:t>
      </w:r>
      <w:r>
        <w:t>Nomorobo’s</w:t>
      </w:r>
      <w:r>
        <w:t xml:space="preserve"> mobile users can send calls directly to voice mail, </w:t>
      </w:r>
      <w:hyperlink r:id="rId85" w:history="1">
        <w:r>
          <w:rPr>
            <w:rStyle w:val="Hyperlink"/>
          </w:rPr>
          <w:t>http://nomorobo.com/ios</w:t>
        </w:r>
      </w:hyperlink>
      <w:r>
        <w:t xml:space="preserve"> (last visited June 9, 2020).</w:t>
      </w:r>
    </w:p>
  </w:footnote>
  <w:footnote w:id="292">
    <w:p w:rsidR="007B2A7B" w:rsidP="00715887" w14:paraId="02F37EE7" w14:textId="2181F8E3">
      <w:pPr>
        <w:pStyle w:val="FootnoteText"/>
      </w:pPr>
      <w:r>
        <w:rPr>
          <w:rStyle w:val="FootnoteReference"/>
        </w:rPr>
        <w:footnoteRef/>
      </w:r>
      <w:r>
        <w:t xml:space="preserve"> AT&amp;T Comments at 9.</w:t>
      </w:r>
      <w:r w:rsidRPr="00867FF7">
        <w:t xml:space="preserve"> </w:t>
      </w:r>
      <w:r>
        <w:t xml:space="preserve"> </w:t>
      </w:r>
    </w:p>
  </w:footnote>
  <w:footnote w:id="293">
    <w:p w:rsidR="007B2A7B" w:rsidP="00715887" w14:paraId="504B8411" w14:textId="77777777">
      <w:pPr>
        <w:pStyle w:val="FootnoteText"/>
      </w:pPr>
      <w:r>
        <w:rPr>
          <w:rStyle w:val="FootnoteReference"/>
        </w:rPr>
        <w:footnoteRef/>
      </w:r>
      <w:r>
        <w:t xml:space="preserve"> TNS Comments at 13; TNS Letter at 4.</w:t>
      </w:r>
    </w:p>
  </w:footnote>
  <w:footnote w:id="294">
    <w:p w:rsidR="007B2A7B" w:rsidP="00715887" w14:paraId="7C165418" w14:textId="77777777">
      <w:pPr>
        <w:pStyle w:val="FootnoteText"/>
      </w:pPr>
      <w:r>
        <w:rPr>
          <w:rStyle w:val="FootnoteReference"/>
        </w:rPr>
        <w:footnoteRef/>
      </w:r>
      <w:r>
        <w:t xml:space="preserve"> First Orion Comments at 8; First Orion Letter at 4.</w:t>
      </w:r>
    </w:p>
  </w:footnote>
  <w:footnote w:id="295">
    <w:p w:rsidR="007B2A7B" w:rsidP="00715887" w14:paraId="7FA50757" w14:textId="77777777">
      <w:pPr>
        <w:pStyle w:val="FootnoteText"/>
      </w:pPr>
      <w:r>
        <w:rPr>
          <w:rStyle w:val="FootnoteReference"/>
        </w:rPr>
        <w:footnoteRef/>
      </w:r>
      <w:r>
        <w:t xml:space="preserve"> Nomorobo Reply Comments at 5-6.</w:t>
      </w:r>
    </w:p>
  </w:footnote>
  <w:footnote w:id="296">
    <w:p w:rsidR="007B2A7B" w:rsidP="00FD6DB6" w14:paraId="791780B9" w14:textId="6082A623">
      <w:pPr>
        <w:pStyle w:val="FootnoteText"/>
      </w:pPr>
      <w:r>
        <w:rPr>
          <w:rStyle w:val="FootnoteReference"/>
        </w:rPr>
        <w:footnoteRef/>
      </w:r>
      <w:r>
        <w:t xml:space="preserve"> PACE Comments at 2-3; Encore Comments at 1-6; ACA International Comments at 2; Sirius XM Reply Comments at 6; CUNA Reply Comments at 1-2; TNS Reply Comments at 3-4; ACI Reply Comments at 1-2.</w:t>
      </w:r>
    </w:p>
  </w:footnote>
  <w:footnote w:id="297">
    <w:p w:rsidR="007B2A7B" w:rsidP="00B622D7" w14:paraId="15B23D9C" w14:textId="77777777">
      <w:pPr>
        <w:pStyle w:val="FootnoteText"/>
      </w:pPr>
      <w:r>
        <w:rPr>
          <w:rStyle w:val="FootnoteReference"/>
        </w:rPr>
        <w:footnoteRef/>
      </w:r>
      <w:r>
        <w:t xml:space="preserve"> Encore Comments at 2.</w:t>
      </w:r>
    </w:p>
  </w:footnote>
  <w:footnote w:id="298">
    <w:p w:rsidR="007B2A7B" w14:paraId="71F23BA5" w14:textId="77777777">
      <w:pPr>
        <w:pStyle w:val="FootnoteText"/>
      </w:pPr>
      <w:r>
        <w:rPr>
          <w:rStyle w:val="FootnoteReference"/>
        </w:rPr>
        <w:footnoteRef/>
      </w:r>
      <w:r>
        <w:t xml:space="preserve"> RTI Reply Comments at 12.</w:t>
      </w:r>
    </w:p>
  </w:footnote>
  <w:footnote w:id="299">
    <w:p w:rsidR="007B2A7B" w14:paraId="74E72F0F" w14:textId="15E5114D">
      <w:pPr>
        <w:pStyle w:val="FootnoteText"/>
      </w:pPr>
      <w:r>
        <w:rPr>
          <w:rStyle w:val="FootnoteReference"/>
        </w:rPr>
        <w:footnoteRef/>
      </w:r>
      <w:r>
        <w:t xml:space="preserve"> ACA International Reply Comments at 1-2.  The survey was conducted measuring outbound calls from accounts receivable management numbers to mobile phones and cable telephony providers; the calls were blocked or labeled by the voice service providers or third-party apps downloaded by consumers.  The survey did not state whether blocked calls were sent to voicemail.</w:t>
      </w:r>
    </w:p>
  </w:footnote>
  <w:footnote w:id="300">
    <w:p w:rsidR="007B2A7B" w14:paraId="6405580B" w14:textId="7FD4DD08">
      <w:pPr>
        <w:pStyle w:val="FootnoteText"/>
      </w:pPr>
      <w:r>
        <w:rPr>
          <w:rStyle w:val="FootnoteReference"/>
        </w:rPr>
        <w:footnoteRef/>
      </w:r>
      <w:r>
        <w:t xml:space="preserve"> </w:t>
      </w:r>
      <w:r w:rsidRPr="00702ADC">
        <w:rPr>
          <w:i/>
          <w:iCs/>
        </w:rPr>
        <w:t>Id.</w:t>
      </w:r>
      <w:r>
        <w:t xml:space="preserve"> at 11.</w:t>
      </w:r>
    </w:p>
  </w:footnote>
  <w:footnote w:id="301">
    <w:p w:rsidR="007B2A7B" w14:paraId="3C0F991B" w14:textId="77777777">
      <w:pPr>
        <w:pStyle w:val="FootnoteText"/>
      </w:pPr>
      <w:r>
        <w:rPr>
          <w:rStyle w:val="FootnoteReference"/>
        </w:rPr>
        <w:footnoteRef/>
      </w:r>
      <w:r>
        <w:t xml:space="preserve"> TNS Reply Comments at 3.</w:t>
      </w:r>
    </w:p>
  </w:footnote>
  <w:footnote w:id="302">
    <w:p w:rsidR="007B2A7B" w14:paraId="3D7164FE" w14:textId="77777777">
      <w:pPr>
        <w:pStyle w:val="FootnoteText"/>
      </w:pPr>
      <w:r>
        <w:rPr>
          <w:rStyle w:val="FootnoteReference"/>
        </w:rPr>
        <w:footnoteRef/>
      </w:r>
      <w:r>
        <w:t xml:space="preserve"> AICC Reply Comments at 3.</w:t>
      </w:r>
    </w:p>
  </w:footnote>
  <w:footnote w:id="303">
    <w:p w:rsidR="007B2A7B" w14:paraId="423C495A" w14:textId="1B2AD796">
      <w:pPr>
        <w:pStyle w:val="FootnoteText"/>
      </w:pPr>
      <w:r>
        <w:rPr>
          <w:rStyle w:val="FootnoteReference"/>
        </w:rPr>
        <w:footnoteRef/>
      </w:r>
      <w:r>
        <w:t xml:space="preserve"> </w:t>
      </w:r>
      <w:r w:rsidRPr="00702ADC">
        <w:rPr>
          <w:i/>
          <w:iCs/>
        </w:rPr>
        <w:t>Id</w:t>
      </w:r>
      <w:r>
        <w:t>.</w:t>
      </w:r>
    </w:p>
  </w:footnote>
  <w:footnote w:id="304">
    <w:p w:rsidR="007B2A7B" w14:paraId="1DD6DCCF" w14:textId="77777777">
      <w:pPr>
        <w:pStyle w:val="FootnoteText"/>
      </w:pPr>
      <w:r>
        <w:rPr>
          <w:rStyle w:val="FootnoteReference"/>
        </w:rPr>
        <w:footnoteRef/>
      </w:r>
      <w:r>
        <w:t xml:space="preserve"> Twilio Reply Comments at 6.</w:t>
      </w:r>
    </w:p>
  </w:footnote>
  <w:footnote w:id="305">
    <w:p w:rsidR="007B2A7B" w14:paraId="56E1C63E" w14:textId="33380353">
      <w:pPr>
        <w:pStyle w:val="FootnoteText"/>
      </w:pPr>
      <w:r>
        <w:rPr>
          <w:rStyle w:val="FootnoteReference"/>
        </w:rPr>
        <w:footnoteRef/>
      </w:r>
      <w:r>
        <w:t xml:space="preserve"> </w:t>
      </w:r>
      <w:r w:rsidRPr="000628EA">
        <w:rPr>
          <w:i/>
          <w:iCs/>
        </w:rPr>
        <w:t>Id.</w:t>
      </w:r>
      <w:r>
        <w:t xml:space="preserve"> at 7.</w:t>
      </w:r>
    </w:p>
  </w:footnote>
  <w:footnote w:id="306">
    <w:p w:rsidR="007B2A7B" w14:paraId="2E7F1895" w14:textId="376B9EE2">
      <w:pPr>
        <w:pStyle w:val="FootnoteText"/>
      </w:pPr>
      <w:r>
        <w:rPr>
          <w:rStyle w:val="FootnoteReference"/>
        </w:rPr>
        <w:footnoteRef/>
      </w:r>
      <w:r>
        <w:t xml:space="preserve"> </w:t>
      </w:r>
      <w:r w:rsidRPr="000628EA">
        <w:rPr>
          <w:i/>
          <w:iCs/>
        </w:rPr>
        <w:t>Id</w:t>
      </w:r>
      <w:r>
        <w:t>.</w:t>
      </w:r>
    </w:p>
  </w:footnote>
  <w:footnote w:id="307">
    <w:p w:rsidR="007B2A7B" w:rsidP="002B73EC" w14:paraId="6D5FF5D1" w14:textId="77777777">
      <w:pPr>
        <w:pStyle w:val="FootnoteText"/>
      </w:pPr>
      <w:r>
        <w:rPr>
          <w:rStyle w:val="FootnoteReference"/>
        </w:rPr>
        <w:footnoteRef/>
      </w:r>
      <w:r>
        <w:t xml:space="preserve"> NAFCU Comments at 3.</w:t>
      </w:r>
    </w:p>
  </w:footnote>
  <w:footnote w:id="308">
    <w:p w:rsidR="007B2A7B" w:rsidP="002B73EC" w14:paraId="15664040" w14:textId="5B351E08">
      <w:pPr>
        <w:pStyle w:val="FootnoteText"/>
      </w:pPr>
      <w:r>
        <w:rPr>
          <w:rStyle w:val="FootnoteReference"/>
        </w:rPr>
        <w:footnoteRef/>
      </w:r>
      <w:r>
        <w:t xml:space="preserve"> </w:t>
      </w:r>
      <w:r w:rsidRPr="002B37B1">
        <w:rPr>
          <w:i/>
          <w:iCs/>
        </w:rPr>
        <w:t>Id</w:t>
      </w:r>
      <w:r w:rsidRPr="00A45600">
        <w:t>.</w:t>
      </w:r>
    </w:p>
  </w:footnote>
  <w:footnote w:id="309">
    <w:p w:rsidR="007B2A7B" w:rsidP="00311205" w14:paraId="11348BF2" w14:textId="77777777">
      <w:pPr>
        <w:pStyle w:val="FootnoteText"/>
      </w:pPr>
      <w:r>
        <w:rPr>
          <w:rStyle w:val="FootnoteReference"/>
        </w:rPr>
        <w:footnoteRef/>
      </w:r>
      <w:r>
        <w:t xml:space="preserve"> Ad Hoc Comments at 4.</w:t>
      </w:r>
    </w:p>
  </w:footnote>
  <w:footnote w:id="310">
    <w:p w:rsidR="007B2A7B" w14:paraId="0B6A5743" w14:textId="096EE9DA">
      <w:pPr>
        <w:pStyle w:val="FootnoteText"/>
      </w:pPr>
      <w:r>
        <w:rPr>
          <w:rStyle w:val="FootnoteReference"/>
        </w:rPr>
        <w:footnoteRef/>
      </w:r>
      <w:r>
        <w:t xml:space="preserve"> Section 10(b) of the TRACED Act adds new section (j) Robocall Blocking Service to section 227 of the Act and provides that the Commission shall ensure that robocall blocking services “are provided with transparency and effective redress options . . . with no additional charge to callers for resolving complaints related to erroneously blocked calls.”  47 U.S.C. § 227(j)(1)(A), (B)</w:t>
      </w:r>
      <w:r w:rsidRPr="007A1C06">
        <w:rPr>
          <w:rFonts w:ascii="Segoe UI Emoji" w:eastAsia="Segoe UI Emoji" w:hAnsi="Segoe UI Emoji" w:cs="Segoe UI Emoji"/>
        </w:rPr>
        <w:t>.</w:t>
      </w:r>
    </w:p>
  </w:footnote>
  <w:footnote w:id="311">
    <w:p w:rsidR="007B2A7B" w:rsidP="00B342F9" w14:paraId="0EBB8B54" w14:textId="32E4BACA">
      <w:pPr>
        <w:pStyle w:val="FootnoteText"/>
      </w:pPr>
      <w:r>
        <w:rPr>
          <w:rStyle w:val="FootnoteReference"/>
        </w:rPr>
        <w:footnoteRef/>
      </w:r>
      <w:r>
        <w:t xml:space="preserve"> ACA International Comments at 3-4.  </w:t>
      </w:r>
    </w:p>
  </w:footnote>
  <w:footnote w:id="312">
    <w:p w:rsidR="007B2A7B" w14:paraId="4BDCD235" w14:textId="77777777">
      <w:pPr>
        <w:pStyle w:val="FootnoteText"/>
      </w:pPr>
      <w:r>
        <w:rPr>
          <w:rStyle w:val="FootnoteReference"/>
        </w:rPr>
        <w:footnoteRef/>
      </w:r>
      <w:r>
        <w:t xml:space="preserve"> </w:t>
      </w:r>
      <w:r>
        <w:t>Americollect</w:t>
      </w:r>
      <w:r>
        <w:t xml:space="preserve"> Comments at 2.</w:t>
      </w:r>
    </w:p>
  </w:footnote>
  <w:footnote w:id="313">
    <w:p w:rsidR="007B2A7B" w:rsidP="002346AE" w14:paraId="71791A09" w14:textId="009DD455">
      <w:pPr>
        <w:pStyle w:val="FootnoteText"/>
      </w:pPr>
      <w:r>
        <w:rPr>
          <w:rStyle w:val="FootnoteReference"/>
        </w:rPr>
        <w:footnoteRef/>
      </w:r>
      <w:r>
        <w:t xml:space="preserve"> ACA International Comments at 5.</w:t>
      </w:r>
    </w:p>
  </w:footnote>
  <w:footnote w:id="314">
    <w:p w:rsidR="007B2A7B" w:rsidP="002346AE" w14:paraId="4DE8C2DB" w14:textId="77777777">
      <w:pPr>
        <w:pStyle w:val="FootnoteText"/>
      </w:pPr>
      <w:r>
        <w:rPr>
          <w:rStyle w:val="FootnoteReference"/>
        </w:rPr>
        <w:footnoteRef/>
      </w:r>
      <w:r>
        <w:t xml:space="preserve"> NAFCU Comments at 3.</w:t>
      </w:r>
    </w:p>
  </w:footnote>
  <w:footnote w:id="315">
    <w:p w:rsidR="007B2A7B" w:rsidP="008F3E2C" w14:paraId="75882180" w14:textId="225422D0">
      <w:pPr>
        <w:pStyle w:val="FootnoteText"/>
      </w:pPr>
      <w:r>
        <w:rPr>
          <w:rStyle w:val="FootnoteReference"/>
        </w:rPr>
        <w:footnoteRef/>
      </w:r>
      <w:r>
        <w:t xml:space="preserve"> PACE Comments at 3; CBA Comments at 2; ABA Comments at 4-5; Encore Comments at 7; Encore Reply Comments at 3-4; ACA International Comments at 9 (recommending an intercept announcement and a SIP signaling error code); Noble Comments at 10; Noble Reply Comments at 3 (same); INCOMPAS Comments at 4 (same); Sirius XM Reply Comments at 6 (same).  PACE notes that legal calls are often mislabeled as scam or spam, most likely due to crowd-sourced data and analytics algorithms.  PACE Comments at 4.  NORC contends that the Commission should have defined safeguards to allow legitimate callers to challenge incorrect blocks immediately so that they can be resolved without delay.  NORC Comments at 8; NAFCU Comments at 4.</w:t>
      </w:r>
    </w:p>
  </w:footnote>
  <w:footnote w:id="316">
    <w:p w:rsidR="007B2A7B" w:rsidP="00C8156F" w14:paraId="5D51C4D0" w14:textId="076B4382">
      <w:pPr>
        <w:pStyle w:val="FootnoteText"/>
      </w:pPr>
      <w:r>
        <w:rPr>
          <w:rStyle w:val="FootnoteReference"/>
        </w:rPr>
        <w:footnoteRef/>
      </w:r>
      <w:r>
        <w:t xml:space="preserve"> AT&amp;T’s network-based call blocking program, which was run by AT&amp;T’s global fraud team initially, was implemented on the wholesale IP platform and subsequently expanded to the wireless network.  AT&amp;T Letter at 4-5.</w:t>
      </w:r>
    </w:p>
  </w:footnote>
  <w:footnote w:id="317">
    <w:p w:rsidR="007B2A7B" w14:paraId="1D1AA3CE" w14:textId="1BD3611C">
      <w:pPr>
        <w:pStyle w:val="FootnoteText"/>
      </w:pPr>
      <w:r>
        <w:rPr>
          <w:rStyle w:val="FootnoteReference"/>
        </w:rPr>
        <w:footnoteRef/>
      </w:r>
      <w:r>
        <w:t xml:space="preserve"> These Nomorobo-blocked calls, like the network-blocked AT&amp;T and Verizon calls, would not reach the subscriber.</w:t>
      </w:r>
    </w:p>
  </w:footnote>
  <w:footnote w:id="318">
    <w:p w:rsidR="007B2A7B" w:rsidP="00D957E6" w14:paraId="027A1275" w14:textId="5E58FD25">
      <w:pPr>
        <w:pStyle w:val="FootnoteText"/>
      </w:pPr>
      <w:r>
        <w:rPr>
          <w:rStyle w:val="FootnoteReference"/>
        </w:rPr>
        <w:footnoteRef/>
      </w:r>
      <w:r>
        <w:t xml:space="preserve"> Encore Comments at 8-9; Encore Reply Comments at 4;</w:t>
      </w:r>
      <w:r w:rsidRPr="00511B6C">
        <w:t xml:space="preserve"> </w:t>
      </w:r>
      <w:r>
        <w:t>ACA International Comments at 9; NAFCU Comments at 2; PRA Comments at 4; Ad Hoc Comments at 5-7; Sirius XM Reply Comments at 4.  Encore suggests that voice service providers unblock legitimate calls within 24 hours.  Encore Reply Comments at 5.</w:t>
      </w:r>
    </w:p>
  </w:footnote>
  <w:footnote w:id="319">
    <w:p w:rsidR="007B2A7B" w:rsidP="00F022CD" w14:paraId="2022B5CC" w14:textId="77777777">
      <w:pPr>
        <w:pStyle w:val="FootnoteText"/>
      </w:pPr>
      <w:r>
        <w:rPr>
          <w:rStyle w:val="FootnoteReference"/>
        </w:rPr>
        <w:footnoteRef/>
      </w:r>
      <w:r>
        <w:t xml:space="preserve"> </w:t>
      </w:r>
      <w:r>
        <w:t>USTelecom</w:t>
      </w:r>
      <w:r>
        <w:t xml:space="preserve"> Reply Comments at 7; CTIA Reply Comments at 14.</w:t>
      </w:r>
    </w:p>
  </w:footnote>
  <w:footnote w:id="320">
    <w:p w:rsidR="007B2A7B" w:rsidP="006F760B" w14:paraId="6EA51BCA" w14:textId="77777777">
      <w:pPr>
        <w:pStyle w:val="FootnoteText"/>
      </w:pPr>
      <w:r>
        <w:rPr>
          <w:rStyle w:val="FootnoteReference"/>
        </w:rPr>
        <w:footnoteRef/>
      </w:r>
      <w:r>
        <w:t xml:space="preserve"> AT&amp;T Letter at 3.</w:t>
      </w:r>
    </w:p>
  </w:footnote>
  <w:footnote w:id="321">
    <w:p w:rsidR="007B2A7B" w:rsidP="002B4A1C" w14:paraId="4B8D106F" w14:textId="77777777">
      <w:pPr>
        <w:pStyle w:val="FootnoteText"/>
      </w:pPr>
      <w:r>
        <w:rPr>
          <w:rStyle w:val="FootnoteReference"/>
        </w:rPr>
        <w:footnoteRef/>
      </w:r>
      <w:r>
        <w:t xml:space="preserve"> </w:t>
      </w:r>
      <w:r>
        <w:t>USTelecom</w:t>
      </w:r>
      <w:r>
        <w:t xml:space="preserve"> Reply Comments at 7.</w:t>
      </w:r>
    </w:p>
  </w:footnote>
  <w:footnote w:id="322">
    <w:p w:rsidR="007B2A7B" w:rsidP="00DB3B74" w14:paraId="33E348C2" w14:textId="77777777">
      <w:pPr>
        <w:pStyle w:val="FootnoteText"/>
      </w:pPr>
      <w:r>
        <w:rPr>
          <w:rStyle w:val="FootnoteReference"/>
        </w:rPr>
        <w:footnoteRef/>
      </w:r>
      <w:r>
        <w:t xml:space="preserve"> First Orion Comments at 8.</w:t>
      </w:r>
    </w:p>
  </w:footnote>
  <w:footnote w:id="323">
    <w:p w:rsidR="007B2A7B" w:rsidP="007E6F21" w14:paraId="622D1D0D" w14:textId="77777777">
      <w:pPr>
        <w:pStyle w:val="FootnoteText"/>
      </w:pPr>
      <w:r>
        <w:rPr>
          <w:rStyle w:val="FootnoteReference"/>
        </w:rPr>
        <w:footnoteRef/>
      </w:r>
      <w:r>
        <w:t xml:space="preserve"> </w:t>
      </w:r>
      <w:r>
        <w:t>USTelecom</w:t>
      </w:r>
      <w:r>
        <w:t xml:space="preserve"> Reply Comments at 7.</w:t>
      </w:r>
    </w:p>
  </w:footnote>
  <w:footnote w:id="324">
    <w:p w:rsidR="007B2A7B" w:rsidP="004956E9" w14:paraId="0E4D44BA" w14:textId="3634D9B0">
      <w:pPr>
        <w:pStyle w:val="FootnoteText"/>
      </w:pPr>
      <w:r>
        <w:rPr>
          <w:rStyle w:val="FootnoteReference"/>
        </w:rPr>
        <w:footnoteRef/>
      </w:r>
      <w:r>
        <w:t xml:space="preserve"> Hiya Letter at 4;</w:t>
      </w:r>
      <w:r w:rsidRPr="00E822C2">
        <w:rPr>
          <w:i/>
          <w:iCs/>
        </w:rPr>
        <w:t xml:space="preserve"> </w:t>
      </w:r>
      <w:r>
        <w:rPr>
          <w:i/>
          <w:iCs/>
        </w:rPr>
        <w:t xml:space="preserve">see </w:t>
      </w:r>
      <w:r w:rsidRPr="002C0DE5">
        <w:t>Hiya</w:t>
      </w:r>
      <w:r>
        <w:t xml:space="preserve">, </w:t>
      </w:r>
      <w:r w:rsidRPr="00201C3E">
        <w:rPr>
          <w:i/>
          <w:iCs/>
        </w:rPr>
        <w:t>I Want to Change or Remove the Caller ID Information or Spam Rating of a Number</w:t>
      </w:r>
      <w:r>
        <w:t xml:space="preserve">, </w:t>
      </w:r>
      <w:hyperlink r:id="rId86" w:history="1">
        <w:r>
          <w:rPr>
            <w:rStyle w:val="Hyperlink"/>
          </w:rPr>
          <w:t>https://hiyahelp.zendesk.com/hc/en-us/articles/115014815387-I-want-to-change-or-remove-the-caller-ID-information-or-Spam-Rating-of-a-number</w:t>
        </w:r>
      </w:hyperlink>
      <w:r>
        <w:t xml:space="preserve"> (last visited June 9, 2020).</w:t>
      </w:r>
    </w:p>
  </w:footnote>
  <w:footnote w:id="325">
    <w:p w:rsidR="007B2A7B" w:rsidP="00365646" w14:paraId="1BCAAD78" w14:textId="24900AE2">
      <w:pPr>
        <w:pStyle w:val="FootnoteText"/>
      </w:pPr>
      <w:r>
        <w:rPr>
          <w:rStyle w:val="FootnoteReference"/>
        </w:rPr>
        <w:footnoteRef/>
      </w:r>
      <w:r>
        <w:t xml:space="preserve"> </w:t>
      </w:r>
      <w:r w:rsidRPr="004D4308">
        <w:rPr>
          <w:i/>
          <w:iCs/>
        </w:rPr>
        <w:t xml:space="preserve">How </w:t>
      </w:r>
      <w:r>
        <w:rPr>
          <w:i/>
          <w:iCs/>
        </w:rPr>
        <w:t>C</w:t>
      </w:r>
      <w:r w:rsidRPr="004D4308">
        <w:rPr>
          <w:i/>
          <w:iCs/>
        </w:rPr>
        <w:t xml:space="preserve">an I Allow a Call Nomorobo </w:t>
      </w:r>
      <w:r>
        <w:rPr>
          <w:i/>
          <w:iCs/>
        </w:rPr>
        <w:t>I</w:t>
      </w:r>
      <w:r w:rsidRPr="004D4308">
        <w:rPr>
          <w:i/>
          <w:iCs/>
        </w:rPr>
        <w:t>s Blocking to Ring Through?</w:t>
      </w:r>
      <w:r>
        <w:t xml:space="preserve">, </w:t>
      </w:r>
      <w:hyperlink r:id="rId75" w:history="1">
        <w:r>
          <w:rPr>
            <w:rStyle w:val="Hyperlink"/>
          </w:rPr>
          <w:t>https://nomorobo.zendesk.com/hc/en-us/articles/205063319-How-can-I-allow-a-call-Nomorobo-is-blocking-to-ring-through-</w:t>
        </w:r>
      </w:hyperlink>
      <w:r>
        <w:t xml:space="preserve"> (last visited June 9, 2020).  </w:t>
      </w:r>
    </w:p>
  </w:footnote>
  <w:footnote w:id="326">
    <w:p w:rsidR="007B2A7B" w:rsidP="005E6E2A" w14:paraId="1A5F3C41" w14:textId="77777777">
      <w:pPr>
        <w:pStyle w:val="FootnoteText"/>
      </w:pPr>
      <w:r>
        <w:rPr>
          <w:rStyle w:val="FootnoteReference"/>
        </w:rPr>
        <w:footnoteRef/>
      </w:r>
      <w:r>
        <w:t xml:space="preserve"> CTIA Reply Comments at 14.</w:t>
      </w:r>
    </w:p>
  </w:footnote>
  <w:footnote w:id="327">
    <w:p w:rsidR="007B2A7B" w:rsidP="005E6E2A" w14:paraId="2953E4B6" w14:textId="77777777">
      <w:pPr>
        <w:pStyle w:val="FootnoteText"/>
      </w:pPr>
      <w:r>
        <w:rPr>
          <w:rStyle w:val="FootnoteReference"/>
        </w:rPr>
        <w:footnoteRef/>
      </w:r>
      <w:r>
        <w:t xml:space="preserve"> T-Mobile Comments at 6; CTIA Reply Comments at 14.</w:t>
      </w:r>
    </w:p>
  </w:footnote>
  <w:footnote w:id="328">
    <w:p w:rsidR="007B2A7B" w:rsidP="005E6E2A" w14:paraId="0FF4B51F" w14:textId="77777777">
      <w:pPr>
        <w:pStyle w:val="FootnoteText"/>
      </w:pPr>
      <w:r>
        <w:rPr>
          <w:rStyle w:val="FootnoteReference"/>
        </w:rPr>
        <w:footnoteRef/>
      </w:r>
      <w:r>
        <w:t xml:space="preserve"> TNS Comments at 14.  </w:t>
      </w:r>
    </w:p>
  </w:footnote>
  <w:footnote w:id="329">
    <w:p w:rsidR="007B2A7B" w:rsidP="005E6E2A" w14:paraId="240E65DE" w14:textId="77777777">
      <w:pPr>
        <w:pStyle w:val="FootnoteText"/>
      </w:pPr>
      <w:r>
        <w:rPr>
          <w:rStyle w:val="FootnoteReference"/>
        </w:rPr>
        <w:footnoteRef/>
      </w:r>
      <w:r>
        <w:t xml:space="preserve"> CTIA Reply Comments at 14.</w:t>
      </w:r>
    </w:p>
  </w:footnote>
  <w:footnote w:id="330">
    <w:p w:rsidR="007B2A7B" w:rsidP="00224D2B" w14:paraId="4F280C91" w14:textId="77777777">
      <w:pPr>
        <w:pStyle w:val="FootnoteText"/>
      </w:pPr>
      <w:r>
        <w:rPr>
          <w:rStyle w:val="FootnoteReference"/>
        </w:rPr>
        <w:footnoteRef/>
      </w:r>
      <w:r>
        <w:t xml:space="preserve"> </w:t>
      </w:r>
      <w:r>
        <w:t>USTelecom</w:t>
      </w:r>
      <w:r>
        <w:t xml:space="preserve"> Reply Comments at 7.</w:t>
      </w:r>
    </w:p>
  </w:footnote>
  <w:footnote w:id="331">
    <w:p w:rsidR="007B2A7B" w:rsidP="00F9774F" w14:paraId="45FB3259" w14:textId="7851B371">
      <w:pPr>
        <w:pStyle w:val="FootnoteText"/>
      </w:pPr>
      <w:r>
        <w:rPr>
          <w:rStyle w:val="FootnoteReference"/>
        </w:rPr>
        <w:footnoteRef/>
      </w:r>
      <w:r>
        <w:t xml:space="preserve"> </w:t>
      </w:r>
      <w:r w:rsidRPr="00900AD5">
        <w:rPr>
          <w:i/>
          <w:iCs/>
        </w:rPr>
        <w:t>Id</w:t>
      </w:r>
      <w:r>
        <w:t>.</w:t>
      </w:r>
    </w:p>
  </w:footnote>
  <w:footnote w:id="332">
    <w:p w:rsidR="007B2A7B" w14:paraId="756E07A8" w14:textId="77777777">
      <w:pPr>
        <w:pStyle w:val="FootnoteText"/>
      </w:pPr>
      <w:r>
        <w:rPr>
          <w:rStyle w:val="FootnoteReference"/>
        </w:rPr>
        <w:footnoteRef/>
      </w:r>
      <w:r>
        <w:t xml:space="preserve"> Charter Comments at 6; Comcast Comments at 10-11; T-Mobile Comments at 9; First Orion Comments at 10; TNS Comments at 17.</w:t>
      </w:r>
    </w:p>
  </w:footnote>
  <w:footnote w:id="333">
    <w:p w:rsidR="007B2A7B" w14:paraId="1A4CE5EC" w14:textId="10790BBA">
      <w:pPr>
        <w:pStyle w:val="FootnoteText"/>
      </w:pPr>
      <w:r>
        <w:rPr>
          <w:rStyle w:val="FootnoteReference"/>
        </w:rPr>
        <w:footnoteRef/>
      </w:r>
      <w:r>
        <w:t xml:space="preserve"> In the Further Notice of Proposed Rulemaking attached to the </w:t>
      </w:r>
      <w:r>
        <w:rPr>
          <w:i/>
          <w:iCs/>
        </w:rPr>
        <w:t xml:space="preserve">2019 </w:t>
      </w:r>
      <w:r w:rsidRPr="004525ED">
        <w:rPr>
          <w:i/>
          <w:iCs/>
        </w:rPr>
        <w:t>Call Blocking Declaratory Ruling</w:t>
      </w:r>
      <w:r>
        <w:t xml:space="preserve">, the Commission sought comment on requiring any voice service provider that offers call blocking to maintain a Critical Calls List of numbers it may not block, including outbound PSAP numbers and government emergency numbers.  </w:t>
      </w:r>
      <w:r w:rsidRPr="00CB0A3D">
        <w:rPr>
          <w:i/>
          <w:iCs/>
        </w:rPr>
        <w:t>2019</w:t>
      </w:r>
      <w:r>
        <w:t xml:space="preserve"> </w:t>
      </w:r>
      <w:r w:rsidRPr="004525ED">
        <w:rPr>
          <w:i/>
          <w:iCs/>
        </w:rPr>
        <w:t>Call Blocking Declaratory Ruling</w:t>
      </w:r>
      <w:r>
        <w:t>, 34 FCC Rcd at 4896, para. 64.</w:t>
      </w:r>
    </w:p>
  </w:footnote>
  <w:footnote w:id="334">
    <w:p w:rsidR="007B2A7B" w:rsidP="002D63B7" w14:paraId="1928BF21" w14:textId="77777777">
      <w:pPr>
        <w:pStyle w:val="FootnoteText"/>
      </w:pPr>
      <w:r>
        <w:rPr>
          <w:rStyle w:val="FootnoteReference"/>
        </w:rPr>
        <w:footnoteRef/>
      </w:r>
      <w:r>
        <w:t xml:space="preserve"> CTIA Reply Comments at 10.</w:t>
      </w:r>
    </w:p>
  </w:footnote>
  <w:footnote w:id="335">
    <w:p w:rsidR="007B2A7B" w:rsidP="002D63B7" w14:paraId="4B391BA5" w14:textId="77777777">
      <w:pPr>
        <w:pStyle w:val="FootnoteText"/>
      </w:pPr>
      <w:r>
        <w:rPr>
          <w:rStyle w:val="FootnoteReference"/>
        </w:rPr>
        <w:footnoteRef/>
      </w:r>
      <w:r>
        <w:t xml:space="preserve"> PRA Comments at 4; Sirius XM Reply Comments at 7; Encore Reply Comments at 4-5.</w:t>
      </w:r>
    </w:p>
  </w:footnote>
  <w:footnote w:id="336">
    <w:p w:rsidR="007B2A7B" w:rsidRPr="00C913F9" w:rsidP="00EC1243" w14:paraId="6E78FA60" w14:textId="2FFBB995">
      <w:pPr>
        <w:pStyle w:val="FootnoteText"/>
      </w:pPr>
      <w:r>
        <w:rPr>
          <w:rStyle w:val="FootnoteReference"/>
        </w:rPr>
        <w:footnoteRef/>
      </w:r>
      <w:r>
        <w:t xml:space="preserve"> </w:t>
      </w:r>
      <w:r w:rsidRPr="0002396B">
        <w:rPr>
          <w:i/>
          <w:iCs/>
        </w:rPr>
        <w:t xml:space="preserve">2019 </w:t>
      </w:r>
      <w:r>
        <w:rPr>
          <w:i/>
          <w:iCs/>
        </w:rPr>
        <w:t>Call Blocking Declaratory Ruling</w:t>
      </w:r>
      <w:r>
        <w:t>, 34 FCC Rcd at 4904, para. 89.</w:t>
      </w:r>
    </w:p>
  </w:footnote>
  <w:footnote w:id="337">
    <w:p w:rsidR="007B2A7B" w:rsidRPr="008F3258" w:rsidP="00C37333" w14:paraId="28B0572D" w14:textId="62614AA4">
      <w:pPr>
        <w:pStyle w:val="FootnoteText"/>
      </w:pPr>
      <w:r w:rsidRPr="008F3258">
        <w:rPr>
          <w:rStyle w:val="FootnoteReference"/>
        </w:rPr>
        <w:footnoteRef/>
      </w:r>
      <w:r w:rsidRPr="008F3258">
        <w:t xml:space="preserve"> </w:t>
      </w:r>
      <w:r w:rsidRPr="00DC7DE7">
        <w:rPr>
          <w:i/>
          <w:iCs/>
        </w:rPr>
        <w:t>STIR/SHAKEN Order</w:t>
      </w:r>
      <w:r>
        <w:t>, 35 FCC Rcd at 3249-3251, paras. 18-21.</w:t>
      </w:r>
    </w:p>
  </w:footnote>
  <w:footnote w:id="338">
    <w:p w:rsidR="007B2A7B" w:rsidRPr="008F3258" w:rsidP="00C37333" w14:paraId="100D1931" w14:textId="77777777">
      <w:pPr>
        <w:autoSpaceDE w:val="0"/>
        <w:autoSpaceDN w:val="0"/>
        <w:adjustRightInd w:val="0"/>
        <w:spacing w:after="120"/>
        <w:rPr>
          <w:sz w:val="24"/>
        </w:rPr>
      </w:pPr>
      <w:r w:rsidRPr="008F3258">
        <w:rPr>
          <w:rStyle w:val="FootnoteReference"/>
        </w:rPr>
        <w:footnoteRef/>
      </w:r>
      <w:r w:rsidRPr="008F3258">
        <w:rPr>
          <w:sz w:val="20"/>
        </w:rPr>
        <w:t xml:space="preserve"> </w:t>
      </w:r>
      <w:r w:rsidRPr="008F3258">
        <w:rPr>
          <w:i/>
          <w:sz w:val="20"/>
        </w:rPr>
        <w:t xml:space="preserve">See </w:t>
      </w:r>
      <w:r w:rsidRPr="008F3258">
        <w:rPr>
          <w:iCs/>
          <w:sz w:val="20"/>
        </w:rPr>
        <w:t xml:space="preserve">Letter from Linda S. </w:t>
      </w:r>
      <w:r w:rsidRPr="008F3258">
        <w:rPr>
          <w:iCs/>
          <w:sz w:val="20"/>
        </w:rPr>
        <w:t>Vandeloop</w:t>
      </w:r>
      <w:r w:rsidRPr="008F3258">
        <w:rPr>
          <w:iCs/>
          <w:sz w:val="20"/>
        </w:rPr>
        <w:t xml:space="preserve">, Assistant Vice President, Regulatory Affairs, AT&amp;T Services, Inc., to Marlene H. Dortch, Secretary, FCC, WC Docket No. 17-97, at 1 (filed Feb. 5, 2020) (AT&amp;T </w:t>
      </w:r>
      <w:r w:rsidRPr="008F3258">
        <w:rPr>
          <w:i/>
          <w:iCs/>
          <w:sz w:val="20"/>
        </w:rPr>
        <w:t xml:space="preserve">Ex </w:t>
      </w:r>
      <w:r w:rsidRPr="008F3258">
        <w:rPr>
          <w:i/>
          <w:iCs/>
          <w:sz w:val="20"/>
        </w:rPr>
        <w:t>Parte</w:t>
      </w:r>
      <w:r w:rsidRPr="008F3258">
        <w:rPr>
          <w:iCs/>
          <w:sz w:val="20"/>
        </w:rPr>
        <w:t xml:space="preserve">); Letter from Greg Rogers, Head of Global Policy and Regulatory Affairs, Bandwidth, to Marlene H. Dortch, Secretary, FCC, CG Docket No. 17-59, WC Docket No. 17-97, at 1 (Jan. 31, 2020) (Bandwidth </w:t>
      </w:r>
      <w:r w:rsidRPr="008F3258">
        <w:rPr>
          <w:i/>
          <w:iCs/>
          <w:sz w:val="20"/>
        </w:rPr>
        <w:t xml:space="preserve">Ex </w:t>
      </w:r>
      <w:r w:rsidRPr="008F3258">
        <w:rPr>
          <w:i/>
          <w:iCs/>
          <w:sz w:val="20"/>
        </w:rPr>
        <w:t>Parte</w:t>
      </w:r>
      <w:r w:rsidRPr="008F3258">
        <w:rPr>
          <w:iCs/>
          <w:sz w:val="20"/>
        </w:rPr>
        <w:t xml:space="preserve">); Letter from Audrey Connors, Senior Director, Government Affairs, Charter Communications, to Hon. </w:t>
      </w:r>
      <w:r w:rsidRPr="008F3258">
        <w:rPr>
          <w:iCs/>
          <w:sz w:val="20"/>
        </w:rPr>
        <w:t>Ajit</w:t>
      </w:r>
      <w:r w:rsidRPr="008F3258">
        <w:rPr>
          <w:iCs/>
          <w:sz w:val="20"/>
        </w:rPr>
        <w:t xml:space="preserve"> V. Pai, Chairman, FCC, WC Docket No. 17-97, at 1 (filed Dec. 13, 2019) (Charter </w:t>
      </w:r>
      <w:r w:rsidRPr="008F3258">
        <w:rPr>
          <w:i/>
          <w:iCs/>
          <w:sz w:val="20"/>
        </w:rPr>
        <w:t xml:space="preserve">Ex </w:t>
      </w:r>
      <w:r w:rsidRPr="008F3258">
        <w:rPr>
          <w:i/>
          <w:iCs/>
          <w:sz w:val="20"/>
        </w:rPr>
        <w:t>Parte</w:t>
      </w:r>
      <w:r w:rsidRPr="008F3258">
        <w:rPr>
          <w:iCs/>
          <w:sz w:val="20"/>
        </w:rPr>
        <w:t xml:space="preserve">); Letter from Beth Choroser, Vice President, Regulatory Affairs, Comcast Corporation, to Marlene H. Dortch, Secretary, FCC, WC Docket No. 17-97, CG Docket No. 17-59, at 2 (filed Jan. 31, 2020) (Comcast </w:t>
      </w:r>
      <w:r w:rsidRPr="008F3258">
        <w:rPr>
          <w:i/>
          <w:iCs/>
          <w:sz w:val="20"/>
        </w:rPr>
        <w:t xml:space="preserve">Ex </w:t>
      </w:r>
      <w:r w:rsidRPr="008F3258">
        <w:rPr>
          <w:i/>
          <w:iCs/>
          <w:sz w:val="20"/>
        </w:rPr>
        <w:t>Parte</w:t>
      </w:r>
      <w:r w:rsidRPr="008F3258">
        <w:rPr>
          <w:iCs/>
          <w:sz w:val="20"/>
        </w:rPr>
        <w:t xml:space="preserve">); Cox </w:t>
      </w:r>
      <w:r w:rsidRPr="008F3258">
        <w:rPr>
          <w:i/>
          <w:iCs/>
          <w:sz w:val="20"/>
        </w:rPr>
        <w:t xml:space="preserve">Ex </w:t>
      </w:r>
      <w:r w:rsidRPr="008F3258">
        <w:rPr>
          <w:i/>
          <w:iCs/>
          <w:sz w:val="20"/>
        </w:rPr>
        <w:t>Parte</w:t>
      </w:r>
      <w:r w:rsidRPr="008F3258">
        <w:rPr>
          <w:iCs/>
          <w:sz w:val="20"/>
        </w:rPr>
        <w:t xml:space="preserve"> at 1; Letter from Cathleen A. Massey, Vice President, Federal Regulatory Affairs, T-Mobile, to Marlene H. Dortch, Secretary, FCC, WC Docket No. 17-97, at 1 (filed Jan. 30, 2020) (T-Mobile </w:t>
      </w:r>
      <w:r w:rsidRPr="008F3258">
        <w:rPr>
          <w:i/>
          <w:iCs/>
          <w:sz w:val="20"/>
        </w:rPr>
        <w:t xml:space="preserve">Ex </w:t>
      </w:r>
      <w:r w:rsidRPr="008F3258">
        <w:rPr>
          <w:i/>
          <w:iCs/>
          <w:sz w:val="20"/>
        </w:rPr>
        <w:t>Parte</w:t>
      </w:r>
      <w:r w:rsidRPr="008F3258">
        <w:rPr>
          <w:iCs/>
          <w:sz w:val="20"/>
        </w:rPr>
        <w:t xml:space="preserve">); Letter from Joe Russo, Senior Vice President, Network Operations, Verizon, to Marlene H. Dortch, Secretary, FCC, WC Docket No. 17-97, at 1 (filed Feb. 7, 2020) (Verizon </w:t>
      </w:r>
      <w:r w:rsidRPr="008F3258">
        <w:rPr>
          <w:i/>
          <w:iCs/>
          <w:sz w:val="20"/>
        </w:rPr>
        <w:t xml:space="preserve">Ex </w:t>
      </w:r>
      <w:r w:rsidRPr="008F3258">
        <w:rPr>
          <w:i/>
          <w:iCs/>
          <w:sz w:val="20"/>
        </w:rPr>
        <w:t>Parte</w:t>
      </w:r>
      <w:r w:rsidRPr="008F3258">
        <w:rPr>
          <w:iCs/>
          <w:sz w:val="20"/>
        </w:rPr>
        <w:t>).</w:t>
      </w:r>
    </w:p>
  </w:footnote>
  <w:footnote w:id="339">
    <w:p w:rsidR="007B2A7B" w:rsidRPr="008F3258" w:rsidP="00C37333" w14:paraId="618C16FC" w14:textId="77777777">
      <w:pPr>
        <w:pStyle w:val="FootnoteText"/>
      </w:pPr>
      <w:r w:rsidRPr="008F3258">
        <w:rPr>
          <w:rStyle w:val="FootnoteReference"/>
        </w:rPr>
        <w:footnoteRef/>
      </w:r>
      <w:r w:rsidRPr="008F3258">
        <w:t xml:space="preserve"> AT&amp;T </w:t>
      </w:r>
      <w:r w:rsidRPr="008F3258">
        <w:rPr>
          <w:i/>
        </w:rPr>
        <w:t xml:space="preserve">Ex </w:t>
      </w:r>
      <w:r w:rsidRPr="008F3258">
        <w:rPr>
          <w:i/>
        </w:rPr>
        <w:t>Parte</w:t>
      </w:r>
      <w:r w:rsidRPr="008F3258">
        <w:rPr>
          <w:iCs/>
        </w:rPr>
        <w:t xml:space="preserve"> at 1.</w:t>
      </w:r>
    </w:p>
  </w:footnote>
  <w:footnote w:id="340">
    <w:p w:rsidR="007B2A7B" w:rsidRPr="008F3258" w:rsidP="00C37333" w14:paraId="565AA580" w14:textId="77777777">
      <w:pPr>
        <w:pStyle w:val="FootnoteText"/>
      </w:pPr>
      <w:r w:rsidRPr="008F3258">
        <w:rPr>
          <w:rStyle w:val="FootnoteReference"/>
        </w:rPr>
        <w:footnoteRef/>
      </w:r>
      <w:r w:rsidRPr="008F3258">
        <w:t xml:space="preserve"> Charter </w:t>
      </w:r>
      <w:r w:rsidRPr="008F3258">
        <w:rPr>
          <w:i/>
          <w:iCs/>
        </w:rPr>
        <w:t xml:space="preserve">Ex </w:t>
      </w:r>
      <w:r w:rsidRPr="008F3258">
        <w:rPr>
          <w:i/>
          <w:iCs/>
        </w:rPr>
        <w:t>Parte</w:t>
      </w:r>
      <w:r w:rsidRPr="008F3258">
        <w:t xml:space="preserve"> at 1.</w:t>
      </w:r>
    </w:p>
  </w:footnote>
  <w:footnote w:id="341">
    <w:p w:rsidR="007B2A7B" w:rsidRPr="008F3258" w:rsidP="00C37333" w14:paraId="6E8C052D" w14:textId="77777777">
      <w:pPr>
        <w:pStyle w:val="FootnoteText"/>
        <w:rPr>
          <w:iCs/>
        </w:rPr>
      </w:pPr>
      <w:r w:rsidRPr="008F3258">
        <w:rPr>
          <w:rStyle w:val="FootnoteReference"/>
        </w:rPr>
        <w:footnoteRef/>
      </w:r>
      <w:r w:rsidRPr="008F3258">
        <w:t xml:space="preserve"> Comcast </w:t>
      </w:r>
      <w:r w:rsidRPr="008F3258">
        <w:rPr>
          <w:i/>
        </w:rPr>
        <w:t xml:space="preserve">Ex </w:t>
      </w:r>
      <w:r w:rsidRPr="008F3258">
        <w:rPr>
          <w:i/>
        </w:rPr>
        <w:t>Parte</w:t>
      </w:r>
      <w:r w:rsidRPr="008F3258">
        <w:rPr>
          <w:i/>
        </w:rPr>
        <w:t xml:space="preserve"> </w:t>
      </w:r>
      <w:r w:rsidRPr="008F3258">
        <w:rPr>
          <w:iCs/>
        </w:rPr>
        <w:t>at 2 (also explaining that “virtually all calls originating from a Comcast residential subscriber and bound for customers of other voice providers are signed with a STIR/SHAKEN-compliant header when the call is initiated”).</w:t>
      </w:r>
    </w:p>
  </w:footnote>
  <w:footnote w:id="342">
    <w:p w:rsidR="007B2A7B" w:rsidRPr="008F3258" w:rsidP="00C37333" w14:paraId="0CAF7BD9" w14:textId="77777777">
      <w:pPr>
        <w:pStyle w:val="FootnoteText"/>
      </w:pPr>
      <w:r w:rsidRPr="008F3258">
        <w:rPr>
          <w:rStyle w:val="FootnoteReference"/>
        </w:rPr>
        <w:footnoteRef/>
      </w:r>
      <w:r w:rsidRPr="008F3258">
        <w:t xml:space="preserve"> Cox </w:t>
      </w:r>
      <w:r w:rsidRPr="008F3258">
        <w:rPr>
          <w:i/>
          <w:iCs/>
        </w:rPr>
        <w:t xml:space="preserve">Ex </w:t>
      </w:r>
      <w:r w:rsidRPr="008F3258">
        <w:rPr>
          <w:i/>
          <w:iCs/>
        </w:rPr>
        <w:t>Parte</w:t>
      </w:r>
      <w:r w:rsidRPr="008F3258">
        <w:t xml:space="preserve"> at 1.</w:t>
      </w:r>
    </w:p>
  </w:footnote>
  <w:footnote w:id="343">
    <w:p w:rsidR="007B2A7B" w:rsidRPr="008F3258" w:rsidP="00C37333" w14:paraId="432EE7E8" w14:textId="77777777">
      <w:pPr>
        <w:pStyle w:val="FootnoteText"/>
      </w:pPr>
      <w:r w:rsidRPr="008F3258">
        <w:rPr>
          <w:rStyle w:val="FootnoteReference"/>
        </w:rPr>
        <w:footnoteRef/>
      </w:r>
      <w:r w:rsidRPr="008F3258">
        <w:t xml:space="preserve"> T-Mobile </w:t>
      </w:r>
      <w:r w:rsidRPr="008F3258">
        <w:rPr>
          <w:i/>
          <w:iCs/>
        </w:rPr>
        <w:t xml:space="preserve">Ex </w:t>
      </w:r>
      <w:r w:rsidRPr="008F3258">
        <w:rPr>
          <w:i/>
          <w:iCs/>
        </w:rPr>
        <w:t>Parte</w:t>
      </w:r>
      <w:r w:rsidRPr="008F3258">
        <w:rPr>
          <w:i/>
          <w:iCs/>
        </w:rPr>
        <w:t xml:space="preserve"> </w:t>
      </w:r>
      <w:r w:rsidRPr="008F3258">
        <w:t>at 1.</w:t>
      </w:r>
    </w:p>
  </w:footnote>
  <w:footnote w:id="344">
    <w:p w:rsidR="007B2A7B" w:rsidRPr="008F3258" w:rsidP="00C37333" w14:paraId="79839255" w14:textId="77777777">
      <w:pPr>
        <w:pStyle w:val="FootnoteText"/>
      </w:pPr>
      <w:r w:rsidRPr="008F3258">
        <w:rPr>
          <w:rStyle w:val="FootnoteReference"/>
        </w:rPr>
        <w:footnoteRef/>
      </w:r>
      <w:r w:rsidRPr="008F3258">
        <w:t xml:space="preserve"> Verizon </w:t>
      </w:r>
      <w:r w:rsidRPr="008F3258">
        <w:rPr>
          <w:i/>
        </w:rPr>
        <w:t xml:space="preserve">Ex </w:t>
      </w:r>
      <w:r w:rsidRPr="008F3258">
        <w:rPr>
          <w:i/>
        </w:rPr>
        <w:t>Parte</w:t>
      </w:r>
      <w:r w:rsidRPr="008F3258">
        <w:rPr>
          <w:i/>
        </w:rPr>
        <w:t xml:space="preserve"> </w:t>
      </w:r>
      <w:r w:rsidRPr="008F3258">
        <w:rPr>
          <w:iCs/>
        </w:rPr>
        <w:t>at 1.</w:t>
      </w:r>
      <w:r w:rsidRPr="008F3258">
        <w:rPr>
          <w:i/>
        </w:rPr>
        <w:t xml:space="preserve"> </w:t>
      </w:r>
    </w:p>
  </w:footnote>
  <w:footnote w:id="345">
    <w:p w:rsidR="007B2A7B" w:rsidRPr="008F3258" w:rsidP="00C37333" w14:paraId="4791CC07" w14:textId="77777777">
      <w:pPr>
        <w:spacing w:after="120"/>
        <w:rPr>
          <w:sz w:val="20"/>
        </w:rPr>
      </w:pPr>
      <w:r w:rsidRPr="008F3258">
        <w:rPr>
          <w:rStyle w:val="FootnoteReference"/>
        </w:rPr>
        <w:footnoteRef/>
      </w:r>
      <w:r w:rsidRPr="008F3258">
        <w:rPr>
          <w:sz w:val="20"/>
        </w:rPr>
        <w:t xml:space="preserve"> </w:t>
      </w:r>
      <w:r w:rsidRPr="008F3258">
        <w:rPr>
          <w:i/>
          <w:sz w:val="20"/>
        </w:rPr>
        <w:t xml:space="preserve">See </w:t>
      </w:r>
      <w:r w:rsidRPr="008F3258">
        <w:rPr>
          <w:sz w:val="20"/>
        </w:rPr>
        <w:t xml:space="preserve">AT&amp;T </w:t>
      </w:r>
      <w:r w:rsidRPr="008F3258">
        <w:rPr>
          <w:i/>
          <w:sz w:val="20"/>
        </w:rPr>
        <w:t xml:space="preserve">Ex </w:t>
      </w:r>
      <w:r w:rsidRPr="008F3258">
        <w:rPr>
          <w:i/>
          <w:sz w:val="20"/>
        </w:rPr>
        <w:t>Parte</w:t>
      </w:r>
      <w:r w:rsidRPr="008F3258">
        <w:rPr>
          <w:sz w:val="20"/>
        </w:rPr>
        <w:t xml:space="preserve">; Bandwidth </w:t>
      </w:r>
      <w:r w:rsidRPr="008F3258">
        <w:rPr>
          <w:i/>
          <w:sz w:val="20"/>
        </w:rPr>
        <w:t xml:space="preserve">Ex </w:t>
      </w:r>
      <w:r w:rsidRPr="008F3258">
        <w:rPr>
          <w:i/>
          <w:sz w:val="20"/>
        </w:rPr>
        <w:t>Parte</w:t>
      </w:r>
      <w:r w:rsidRPr="008F3258">
        <w:rPr>
          <w:sz w:val="20"/>
        </w:rPr>
        <w:t xml:space="preserve">; Comcast </w:t>
      </w:r>
      <w:r w:rsidRPr="008F3258">
        <w:rPr>
          <w:i/>
          <w:sz w:val="20"/>
        </w:rPr>
        <w:t xml:space="preserve">Ex </w:t>
      </w:r>
      <w:r w:rsidRPr="008F3258">
        <w:rPr>
          <w:i/>
          <w:sz w:val="20"/>
        </w:rPr>
        <w:t>Parte</w:t>
      </w:r>
      <w:r w:rsidRPr="008F3258">
        <w:rPr>
          <w:sz w:val="20"/>
        </w:rPr>
        <w:t xml:space="preserve"> at 1-2; T-Mobile </w:t>
      </w:r>
      <w:r w:rsidRPr="008F3258">
        <w:rPr>
          <w:i/>
          <w:sz w:val="20"/>
        </w:rPr>
        <w:t xml:space="preserve">Ex </w:t>
      </w:r>
      <w:r w:rsidRPr="008F3258">
        <w:rPr>
          <w:i/>
          <w:sz w:val="20"/>
        </w:rPr>
        <w:t>Parte</w:t>
      </w:r>
      <w:r w:rsidRPr="008F3258">
        <w:rPr>
          <w:sz w:val="20"/>
        </w:rPr>
        <w:t xml:space="preserve"> at 2; Verizon </w:t>
      </w:r>
      <w:r w:rsidRPr="008F3258">
        <w:rPr>
          <w:i/>
          <w:iCs/>
          <w:sz w:val="20"/>
        </w:rPr>
        <w:t xml:space="preserve">Ex </w:t>
      </w:r>
      <w:r w:rsidRPr="008F3258">
        <w:rPr>
          <w:i/>
          <w:iCs/>
          <w:sz w:val="20"/>
        </w:rPr>
        <w:t>Parte</w:t>
      </w:r>
      <w:r w:rsidRPr="008F3258">
        <w:rPr>
          <w:i/>
          <w:iCs/>
          <w:sz w:val="20"/>
        </w:rPr>
        <w:t xml:space="preserve"> </w:t>
      </w:r>
      <w:r w:rsidRPr="008F3258">
        <w:rPr>
          <w:sz w:val="20"/>
        </w:rPr>
        <w:t xml:space="preserve">at 2.  </w:t>
      </w:r>
    </w:p>
  </w:footnote>
  <w:footnote w:id="346">
    <w:p w:rsidR="007B2A7B" w:rsidRPr="008F3258" w:rsidP="00C37333" w14:paraId="3F4CF9D7" w14:textId="77777777">
      <w:pPr>
        <w:pStyle w:val="FootnoteText"/>
      </w:pPr>
      <w:r w:rsidRPr="008F3258">
        <w:rPr>
          <w:rStyle w:val="FootnoteReference"/>
        </w:rPr>
        <w:footnoteRef/>
      </w:r>
      <w:r w:rsidRPr="008F3258">
        <w:t xml:space="preserve"> Comcast </w:t>
      </w:r>
      <w:r w:rsidRPr="008F3258">
        <w:rPr>
          <w:i/>
        </w:rPr>
        <w:t xml:space="preserve">Ex </w:t>
      </w:r>
      <w:r w:rsidRPr="008F3258">
        <w:rPr>
          <w:i/>
        </w:rPr>
        <w:t>Parte</w:t>
      </w:r>
      <w:r w:rsidRPr="008F3258">
        <w:t xml:space="preserve"> at 1-2.</w:t>
      </w:r>
    </w:p>
  </w:footnote>
  <w:footnote w:id="347">
    <w:p w:rsidR="007B2A7B" w:rsidRPr="008F3258" w:rsidP="00C37333" w14:paraId="07198A05" w14:textId="77777777">
      <w:pPr>
        <w:pStyle w:val="FootnoteText"/>
      </w:pPr>
      <w:r w:rsidRPr="008F3258">
        <w:rPr>
          <w:rStyle w:val="FootnoteReference"/>
        </w:rPr>
        <w:footnoteRef/>
      </w:r>
      <w:r w:rsidRPr="008F3258">
        <w:t xml:space="preserve"> </w:t>
      </w:r>
      <w:r w:rsidRPr="008F3258">
        <w:rPr>
          <w:i/>
          <w:iCs/>
        </w:rPr>
        <w:t>Id.</w:t>
      </w:r>
      <w:r w:rsidRPr="008F3258">
        <w:t xml:space="preserve"> at 2. </w:t>
      </w:r>
    </w:p>
  </w:footnote>
  <w:footnote w:id="348">
    <w:p w:rsidR="007B2A7B" w:rsidRPr="008F3258" w:rsidP="00C37333" w14:paraId="79D09E48" w14:textId="77777777">
      <w:pPr>
        <w:pStyle w:val="FootnoteText"/>
      </w:pPr>
      <w:r w:rsidRPr="008F3258">
        <w:rPr>
          <w:rStyle w:val="FootnoteReference"/>
        </w:rPr>
        <w:footnoteRef/>
      </w:r>
      <w:r w:rsidRPr="008F3258">
        <w:t xml:space="preserve"> T-Mobile </w:t>
      </w:r>
      <w:r w:rsidRPr="008F3258">
        <w:rPr>
          <w:i/>
        </w:rPr>
        <w:t xml:space="preserve">Ex </w:t>
      </w:r>
      <w:r w:rsidRPr="008F3258">
        <w:rPr>
          <w:i/>
        </w:rPr>
        <w:t>Parte</w:t>
      </w:r>
      <w:r w:rsidRPr="008F3258">
        <w:t xml:space="preserve"> at 2.</w:t>
      </w:r>
    </w:p>
  </w:footnote>
  <w:footnote w:id="349">
    <w:p w:rsidR="007B2A7B" w:rsidRPr="008F3258" w:rsidP="00C37333" w14:paraId="53552066" w14:textId="77777777">
      <w:pPr>
        <w:pStyle w:val="FootnoteText"/>
      </w:pPr>
      <w:r w:rsidRPr="008F3258">
        <w:rPr>
          <w:rStyle w:val="FootnoteReference"/>
        </w:rPr>
        <w:footnoteRef/>
      </w:r>
      <w:r w:rsidRPr="008F3258">
        <w:t xml:space="preserve"> AT&amp;T </w:t>
      </w:r>
      <w:r w:rsidRPr="008F3258">
        <w:rPr>
          <w:i/>
        </w:rPr>
        <w:t xml:space="preserve">Ex </w:t>
      </w:r>
      <w:r w:rsidRPr="008F3258">
        <w:rPr>
          <w:i/>
        </w:rPr>
        <w:t>Parte</w:t>
      </w:r>
      <w:r w:rsidRPr="008F3258">
        <w:t xml:space="preserve"> at 2.</w:t>
      </w:r>
    </w:p>
  </w:footnote>
  <w:footnote w:id="350">
    <w:p w:rsidR="007B2A7B" w:rsidRPr="008F3258" w:rsidP="00C37333" w14:paraId="03C8C6CB" w14:textId="77777777">
      <w:pPr>
        <w:pStyle w:val="FootnoteText"/>
      </w:pPr>
      <w:r w:rsidRPr="008F3258">
        <w:rPr>
          <w:rStyle w:val="FootnoteReference"/>
        </w:rPr>
        <w:footnoteRef/>
      </w:r>
      <w:r w:rsidRPr="008F3258">
        <w:t xml:space="preserve"> Verizon </w:t>
      </w:r>
      <w:r w:rsidRPr="008F3258">
        <w:rPr>
          <w:i/>
          <w:iCs/>
        </w:rPr>
        <w:t xml:space="preserve">Ex </w:t>
      </w:r>
      <w:r w:rsidRPr="008F3258">
        <w:rPr>
          <w:i/>
          <w:iCs/>
        </w:rPr>
        <w:t>Parte</w:t>
      </w:r>
      <w:r w:rsidRPr="008F3258">
        <w:rPr>
          <w:i/>
          <w:iCs/>
        </w:rPr>
        <w:t xml:space="preserve"> </w:t>
      </w:r>
      <w:r w:rsidRPr="008F3258">
        <w:t>at 2.</w:t>
      </w:r>
    </w:p>
  </w:footnote>
  <w:footnote w:id="351">
    <w:p w:rsidR="007B2A7B" w:rsidRPr="008F3258" w:rsidP="00C37333" w14:paraId="487F1623" w14:textId="77777777">
      <w:pPr>
        <w:pStyle w:val="FootnoteText"/>
      </w:pPr>
      <w:r w:rsidRPr="008F3258">
        <w:rPr>
          <w:rStyle w:val="FootnoteReference"/>
        </w:rPr>
        <w:footnoteRef/>
      </w:r>
      <w:r w:rsidRPr="008F3258">
        <w:t xml:space="preserve"> Cox </w:t>
      </w:r>
      <w:r w:rsidRPr="008F3258">
        <w:rPr>
          <w:i/>
          <w:iCs/>
        </w:rPr>
        <w:t xml:space="preserve">Ex </w:t>
      </w:r>
      <w:r w:rsidRPr="008F3258">
        <w:rPr>
          <w:i/>
          <w:iCs/>
        </w:rPr>
        <w:t>Parte</w:t>
      </w:r>
      <w:r w:rsidRPr="008F3258">
        <w:t xml:space="preserve"> at 1.</w:t>
      </w:r>
    </w:p>
  </w:footnote>
  <w:footnote w:id="352">
    <w:p w:rsidR="007B2A7B" w:rsidRPr="008F3258" w:rsidP="00C37333" w14:paraId="4E8125FD" w14:textId="77777777">
      <w:pPr>
        <w:pStyle w:val="FootnoteText"/>
      </w:pPr>
      <w:r w:rsidRPr="008F3258">
        <w:rPr>
          <w:rStyle w:val="FootnoteReference"/>
        </w:rPr>
        <w:footnoteRef/>
      </w:r>
      <w:r w:rsidRPr="008F3258">
        <w:t xml:space="preserve"> Charter </w:t>
      </w:r>
      <w:r w:rsidRPr="008F3258">
        <w:rPr>
          <w:i/>
          <w:iCs/>
        </w:rPr>
        <w:t xml:space="preserve">Ex </w:t>
      </w:r>
      <w:r w:rsidRPr="008F3258">
        <w:rPr>
          <w:i/>
          <w:iCs/>
        </w:rPr>
        <w:t>Parte</w:t>
      </w:r>
      <w:r w:rsidRPr="008F3258">
        <w:t xml:space="preserve"> at 1.</w:t>
      </w:r>
    </w:p>
  </w:footnote>
  <w:footnote w:id="353">
    <w:p w:rsidR="007B2A7B" w:rsidRPr="008F3258" w:rsidP="00C37333" w14:paraId="4B9B3C9E" w14:textId="77777777">
      <w:pPr>
        <w:pStyle w:val="FootnoteText"/>
        <w:rPr>
          <w:iCs/>
        </w:rPr>
      </w:pPr>
      <w:r w:rsidRPr="008F3258">
        <w:rPr>
          <w:rStyle w:val="FootnoteReference"/>
        </w:rPr>
        <w:footnoteRef/>
      </w:r>
      <w:r w:rsidRPr="008F3258">
        <w:t xml:space="preserve"> Bandwidth </w:t>
      </w:r>
      <w:r w:rsidRPr="008F3258">
        <w:rPr>
          <w:i/>
        </w:rPr>
        <w:t xml:space="preserve">Ex </w:t>
      </w:r>
      <w:r w:rsidRPr="008F3258">
        <w:rPr>
          <w:i/>
        </w:rPr>
        <w:t>Parte</w:t>
      </w:r>
      <w:r w:rsidRPr="008F3258">
        <w:rPr>
          <w:i/>
        </w:rPr>
        <w:t xml:space="preserve"> </w:t>
      </w:r>
      <w:r w:rsidRPr="008F3258">
        <w:rPr>
          <w:iCs/>
        </w:rPr>
        <w:t>at 1.</w:t>
      </w:r>
    </w:p>
  </w:footnote>
  <w:footnote w:id="354">
    <w:p w:rsidR="007B2A7B" w:rsidRPr="008F3258" w:rsidP="00C37333" w14:paraId="1D714DD8" w14:textId="076448F3">
      <w:pPr>
        <w:pStyle w:val="FootnoteText"/>
      </w:pPr>
      <w:r w:rsidRPr="008F3258">
        <w:rPr>
          <w:rStyle w:val="FootnoteReference"/>
        </w:rPr>
        <w:footnoteRef/>
      </w:r>
      <w:r w:rsidRPr="008F3258">
        <w:t xml:space="preserve"> </w:t>
      </w:r>
      <w:r w:rsidRPr="008F3258">
        <w:rPr>
          <w:i/>
        </w:rPr>
        <w:t>See</w:t>
      </w:r>
      <w:r w:rsidRPr="008F3258">
        <w:t xml:space="preserve"> Letter from Diana Eisner, Director, Federal Regulatory, Frontier Communications, to Marlene H. Dortch, Secretary, FCC, WC Docket No 17-97 at 1 (filed Feb. 21, 2020) (Frontier </w:t>
      </w:r>
      <w:r w:rsidRPr="008F3258">
        <w:rPr>
          <w:i/>
        </w:rPr>
        <w:t xml:space="preserve">Ex </w:t>
      </w:r>
      <w:r w:rsidRPr="008F3258">
        <w:rPr>
          <w:i/>
        </w:rPr>
        <w:t>Parte</w:t>
      </w:r>
      <w:r w:rsidRPr="008F3258">
        <w:rPr>
          <w:iCs/>
        </w:rPr>
        <w:t>)</w:t>
      </w:r>
      <w:r w:rsidRPr="008F3258">
        <w:t xml:space="preserve">; Letter from Charles W. McKee, Vice President, Government Affairs, Sprint Corporation, to Marlene H. Dortch, Secretary, FCC, CG Docket No. 17-59, WC Docket No. 17-97 at 1 (filed Feb. 13, 2019) (Sprint </w:t>
      </w:r>
      <w:r w:rsidRPr="008F3258">
        <w:rPr>
          <w:i/>
        </w:rPr>
        <w:t xml:space="preserve">Ex </w:t>
      </w:r>
      <w:r w:rsidRPr="008F3258">
        <w:rPr>
          <w:i/>
        </w:rPr>
        <w:t>Parte</w:t>
      </w:r>
      <w:r w:rsidRPr="008F3258">
        <w:t xml:space="preserve">); U.S. Cellular </w:t>
      </w:r>
      <w:r w:rsidRPr="008F3258">
        <w:rPr>
          <w:i/>
          <w:iCs/>
        </w:rPr>
        <w:t xml:space="preserve">Ex </w:t>
      </w:r>
      <w:r w:rsidRPr="008F3258">
        <w:rPr>
          <w:i/>
          <w:iCs/>
        </w:rPr>
        <w:t>Parte</w:t>
      </w:r>
      <w:r w:rsidRPr="008F3258">
        <w:t xml:space="preserve"> at 1; Vonage </w:t>
      </w:r>
      <w:r w:rsidRPr="008F3258">
        <w:rPr>
          <w:i/>
          <w:iCs/>
        </w:rPr>
        <w:t xml:space="preserve">Ex </w:t>
      </w:r>
      <w:r w:rsidRPr="008F3258">
        <w:rPr>
          <w:i/>
          <w:iCs/>
        </w:rPr>
        <w:t>Parte</w:t>
      </w:r>
      <w:r w:rsidRPr="008F3258">
        <w:t xml:space="preserve"> at 1.</w:t>
      </w:r>
    </w:p>
  </w:footnote>
  <w:footnote w:id="355">
    <w:p w:rsidR="007B2A7B" w:rsidRPr="008F3258" w:rsidP="00C37333" w14:paraId="1EC42625" w14:textId="77777777">
      <w:pPr>
        <w:pStyle w:val="FootnoteText"/>
      </w:pPr>
      <w:r w:rsidRPr="008F3258">
        <w:rPr>
          <w:rStyle w:val="FootnoteReference"/>
        </w:rPr>
        <w:footnoteRef/>
      </w:r>
      <w:r w:rsidRPr="008F3258">
        <w:t xml:space="preserve"> Frontier </w:t>
      </w:r>
      <w:r w:rsidRPr="008F3258">
        <w:rPr>
          <w:i/>
        </w:rPr>
        <w:t xml:space="preserve">Ex </w:t>
      </w:r>
      <w:r w:rsidRPr="008F3258">
        <w:rPr>
          <w:i/>
        </w:rPr>
        <w:t>Parte</w:t>
      </w:r>
      <w:r w:rsidRPr="008F3258">
        <w:rPr>
          <w:i/>
        </w:rPr>
        <w:t xml:space="preserve"> </w:t>
      </w:r>
      <w:r w:rsidRPr="008F3258">
        <w:t>at 1.</w:t>
      </w:r>
    </w:p>
  </w:footnote>
  <w:footnote w:id="356">
    <w:p w:rsidR="007B2A7B" w:rsidRPr="008F3258" w:rsidP="00C37333" w14:paraId="65F828A3" w14:textId="77777777">
      <w:pPr>
        <w:pStyle w:val="FootnoteText"/>
      </w:pPr>
      <w:r w:rsidRPr="008F3258">
        <w:rPr>
          <w:rStyle w:val="FootnoteReference"/>
        </w:rPr>
        <w:footnoteRef/>
      </w:r>
      <w:r w:rsidRPr="008F3258">
        <w:t xml:space="preserve"> Sprint </w:t>
      </w:r>
      <w:r w:rsidRPr="008F3258">
        <w:rPr>
          <w:i/>
          <w:iCs/>
        </w:rPr>
        <w:t xml:space="preserve">Ex </w:t>
      </w:r>
      <w:r w:rsidRPr="008F3258">
        <w:rPr>
          <w:i/>
          <w:iCs/>
        </w:rPr>
        <w:t>Parte</w:t>
      </w:r>
      <w:r w:rsidRPr="008F3258">
        <w:rPr>
          <w:i/>
          <w:iCs/>
        </w:rPr>
        <w:t xml:space="preserve"> at </w:t>
      </w:r>
      <w:r w:rsidRPr="008F3258">
        <w:t>1.</w:t>
      </w:r>
    </w:p>
  </w:footnote>
  <w:footnote w:id="357">
    <w:p w:rsidR="007B2A7B" w:rsidRPr="008F3258" w:rsidP="00C37333" w14:paraId="7C3BF530" w14:textId="77777777">
      <w:pPr>
        <w:pStyle w:val="FootnoteText"/>
        <w:rPr>
          <w:iCs/>
        </w:rPr>
      </w:pPr>
      <w:r w:rsidRPr="008F3258">
        <w:rPr>
          <w:rStyle w:val="FootnoteReference"/>
        </w:rPr>
        <w:footnoteRef/>
      </w:r>
      <w:r w:rsidRPr="008F3258">
        <w:t xml:space="preserve"> U.S. Cellular </w:t>
      </w:r>
      <w:r w:rsidRPr="008F3258">
        <w:rPr>
          <w:i/>
        </w:rPr>
        <w:t xml:space="preserve">Ex </w:t>
      </w:r>
      <w:r w:rsidRPr="008F3258">
        <w:rPr>
          <w:i/>
        </w:rPr>
        <w:t>Parte</w:t>
      </w:r>
      <w:r w:rsidRPr="008F3258">
        <w:rPr>
          <w:i/>
        </w:rPr>
        <w:t xml:space="preserve"> </w:t>
      </w:r>
      <w:r w:rsidRPr="008F3258">
        <w:rPr>
          <w:iCs/>
        </w:rPr>
        <w:t>at 1.</w:t>
      </w:r>
    </w:p>
  </w:footnote>
  <w:footnote w:id="358">
    <w:p w:rsidR="007B2A7B" w:rsidRPr="008F3258" w:rsidP="00C37333" w14:paraId="233A3BEF" w14:textId="77777777">
      <w:pPr>
        <w:pStyle w:val="FootnoteText"/>
        <w:rPr>
          <w:iCs/>
        </w:rPr>
      </w:pPr>
      <w:r w:rsidRPr="008F3258">
        <w:rPr>
          <w:rStyle w:val="FootnoteReference"/>
        </w:rPr>
        <w:footnoteRef/>
      </w:r>
      <w:r w:rsidRPr="008F3258">
        <w:t xml:space="preserve"> Vonage </w:t>
      </w:r>
      <w:r w:rsidRPr="008F3258">
        <w:rPr>
          <w:i/>
        </w:rPr>
        <w:t xml:space="preserve">Ex </w:t>
      </w:r>
      <w:r w:rsidRPr="008F3258">
        <w:rPr>
          <w:i/>
        </w:rPr>
        <w:t>Parte</w:t>
      </w:r>
      <w:r w:rsidRPr="008F3258">
        <w:rPr>
          <w:i/>
        </w:rPr>
        <w:t xml:space="preserve"> </w:t>
      </w:r>
      <w:r w:rsidRPr="008F3258">
        <w:rPr>
          <w:iCs/>
        </w:rPr>
        <w:t>at 1.</w:t>
      </w:r>
    </w:p>
  </w:footnote>
  <w:footnote w:id="359">
    <w:p w:rsidR="007B2A7B" w:rsidRPr="008F3258" w:rsidP="00C37333" w14:paraId="0C19FF4B" w14:textId="77777777">
      <w:pPr>
        <w:pStyle w:val="FootnoteText"/>
      </w:pPr>
      <w:r w:rsidRPr="008F3258">
        <w:rPr>
          <w:rStyle w:val="FootnoteReference"/>
        </w:rPr>
        <w:footnoteRef/>
      </w:r>
      <w:r w:rsidRPr="008F3258">
        <w:t xml:space="preserve"> </w:t>
      </w:r>
      <w:r w:rsidRPr="008F3258">
        <w:rPr>
          <w:i/>
        </w:rPr>
        <w:t xml:space="preserve">See </w:t>
      </w:r>
      <w:r w:rsidRPr="008F3258">
        <w:t xml:space="preserve">CenturyLink </w:t>
      </w:r>
      <w:r w:rsidRPr="008F3258">
        <w:rPr>
          <w:i/>
          <w:iCs/>
        </w:rPr>
        <w:t xml:space="preserve">Ex </w:t>
      </w:r>
      <w:r w:rsidRPr="008F3258">
        <w:rPr>
          <w:i/>
          <w:iCs/>
        </w:rPr>
        <w:t>Parte</w:t>
      </w:r>
      <w:r w:rsidRPr="008F3258">
        <w:t xml:space="preserve"> at 1-2; TDS </w:t>
      </w:r>
      <w:r w:rsidRPr="008F3258">
        <w:rPr>
          <w:i/>
          <w:iCs/>
        </w:rPr>
        <w:t xml:space="preserve">Ex </w:t>
      </w:r>
      <w:r w:rsidRPr="008F3258">
        <w:rPr>
          <w:i/>
          <w:iCs/>
        </w:rPr>
        <w:t>Parte</w:t>
      </w:r>
      <w:r w:rsidRPr="008F3258">
        <w:t xml:space="preserve"> at 1.</w:t>
      </w:r>
    </w:p>
  </w:footnote>
  <w:footnote w:id="360">
    <w:p w:rsidR="007B2A7B" w:rsidRPr="008F3258" w:rsidP="00C37333" w14:paraId="5C638DF3" w14:textId="77777777">
      <w:pPr>
        <w:pStyle w:val="FootnoteText"/>
        <w:rPr>
          <w:iCs/>
        </w:rPr>
      </w:pPr>
      <w:r w:rsidRPr="008F3258">
        <w:rPr>
          <w:rStyle w:val="FootnoteReference"/>
        </w:rPr>
        <w:footnoteRef/>
      </w:r>
      <w:r w:rsidRPr="008F3258">
        <w:t xml:space="preserve"> CenturyLink </w:t>
      </w:r>
      <w:r w:rsidRPr="008F3258">
        <w:rPr>
          <w:i/>
        </w:rPr>
        <w:t xml:space="preserve">Ex </w:t>
      </w:r>
      <w:r w:rsidRPr="008F3258">
        <w:rPr>
          <w:i/>
        </w:rPr>
        <w:t>Parte</w:t>
      </w:r>
      <w:r w:rsidRPr="008F3258">
        <w:rPr>
          <w:i/>
        </w:rPr>
        <w:t xml:space="preserve"> </w:t>
      </w:r>
      <w:r w:rsidRPr="008F3258">
        <w:rPr>
          <w:iCs/>
        </w:rPr>
        <w:t>at 2.</w:t>
      </w:r>
    </w:p>
  </w:footnote>
  <w:footnote w:id="361">
    <w:p w:rsidR="007B2A7B" w:rsidRPr="008F3258" w:rsidP="00C37333" w14:paraId="72499BD6" w14:textId="77777777">
      <w:pPr>
        <w:pStyle w:val="FootnoteText"/>
      </w:pPr>
      <w:r w:rsidRPr="008F3258">
        <w:rPr>
          <w:rStyle w:val="FootnoteReference"/>
        </w:rPr>
        <w:footnoteRef/>
      </w:r>
      <w:r w:rsidRPr="008F3258">
        <w:t xml:space="preserve"> TDS </w:t>
      </w:r>
      <w:r w:rsidRPr="008F3258">
        <w:rPr>
          <w:i/>
        </w:rPr>
        <w:t xml:space="preserve">Ex </w:t>
      </w:r>
      <w:r w:rsidRPr="008F3258">
        <w:rPr>
          <w:i/>
        </w:rPr>
        <w:t>Parte</w:t>
      </w:r>
      <w:r w:rsidRPr="008F3258">
        <w:rPr>
          <w:i/>
        </w:rPr>
        <w:t xml:space="preserve"> </w:t>
      </w:r>
      <w:r w:rsidRPr="008F3258">
        <w:rPr>
          <w:iCs/>
        </w:rPr>
        <w:t>at 1.</w:t>
      </w:r>
    </w:p>
  </w:footnote>
  <w:footnote w:id="362">
    <w:p w:rsidR="007B2A7B" w:rsidRPr="008F3258" w:rsidP="00C37333" w14:paraId="0CEC448D" w14:textId="6F0DB2F1">
      <w:pPr>
        <w:pStyle w:val="FootnoteText"/>
        <w:rPr>
          <w:iCs/>
        </w:rPr>
      </w:pPr>
      <w:r w:rsidRPr="008F3258">
        <w:rPr>
          <w:rStyle w:val="FootnoteReference"/>
        </w:rPr>
        <w:footnoteRef/>
      </w:r>
      <w:r w:rsidRPr="008F3258">
        <w:t xml:space="preserve"> </w:t>
      </w:r>
      <w:r>
        <w:rPr>
          <w:i/>
          <w:iCs/>
        </w:rPr>
        <w:t>I</w:t>
      </w:r>
      <w:r w:rsidRPr="008F3258">
        <w:rPr>
          <w:i/>
          <w:iCs/>
        </w:rPr>
        <w:t>d.</w:t>
      </w:r>
    </w:p>
  </w:footnote>
  <w:footnote w:id="363">
    <w:p w:rsidR="007B2A7B" w:rsidRPr="008F3258" w:rsidP="00C37333" w14:paraId="5F0E8699" w14:textId="7B96B0F9">
      <w:pPr>
        <w:pStyle w:val="FootnoteText"/>
      </w:pPr>
      <w:r w:rsidRPr="008F3258">
        <w:rPr>
          <w:rStyle w:val="FootnoteReference"/>
        </w:rPr>
        <w:footnoteRef/>
      </w:r>
      <w:r w:rsidRPr="008F3258">
        <w:t xml:space="preserve"> Letter from Darah Franklin, Counsel, Google, LLC, to G. Patrick Webre, Bureau Chief, Consumer and Government Affairs Bureau, FCC, CG Docket No. 17-59, WC Docket No. 17-97 at 2 (filed Feb. 28, 2020) (Google </w:t>
      </w:r>
      <w:r w:rsidRPr="008F3258">
        <w:rPr>
          <w:i/>
          <w:iCs/>
        </w:rPr>
        <w:t xml:space="preserve">Ex </w:t>
      </w:r>
      <w:r w:rsidRPr="008F3258">
        <w:rPr>
          <w:i/>
          <w:iCs/>
        </w:rPr>
        <w:t>Parte</w:t>
      </w:r>
      <w:r w:rsidRPr="008F3258">
        <w:t>) (noting that Google “began a SHAKEN/STIR implementation with Comcast in December 2019, and that we are working toward a similar integration with another major voice service provider this year</w:t>
      </w:r>
      <w:r>
        <w:t>.</w:t>
      </w:r>
      <w:r w:rsidRPr="008F3258">
        <w:t>”).</w:t>
      </w:r>
    </w:p>
  </w:footnote>
  <w:footnote w:id="364">
    <w:p w:rsidR="007B2A7B" w:rsidRPr="008F3258" w:rsidP="00C37333" w14:paraId="4B4E9052" w14:textId="77777777">
      <w:pPr>
        <w:pStyle w:val="FootnoteText"/>
      </w:pPr>
      <w:r w:rsidRPr="008F3258">
        <w:rPr>
          <w:rStyle w:val="FootnoteReference"/>
        </w:rPr>
        <w:footnoteRef/>
      </w:r>
      <w:r w:rsidRPr="008F3258">
        <w:t xml:space="preserve"> </w:t>
      </w:r>
      <w:r w:rsidRPr="008F3258">
        <w:rPr>
          <w:i/>
          <w:iCs/>
        </w:rPr>
        <w:t xml:space="preserve">See </w:t>
      </w:r>
      <w:r w:rsidRPr="008F3258">
        <w:t xml:space="preserve">Press Release, T-Mobile, Cross-Network STIR/SHAKEN Rollout Helps Stop Number-Spoofing, Keeping Consumers Safer from Scammers (Feb. 4, 2020), </w:t>
      </w:r>
      <w:hyperlink r:id="rId87" w:history="1">
        <w:r w:rsidRPr="008F3258">
          <w:rPr>
            <w:rStyle w:val="Hyperlink"/>
          </w:rPr>
          <w:t>https://www.t-mobile.com/news/tmobile-sprint-callerverified</w:t>
        </w:r>
      </w:hyperlink>
      <w:r w:rsidRPr="008F3258">
        <w:t>.</w:t>
      </w:r>
    </w:p>
  </w:footnote>
  <w:footnote w:id="365">
    <w:p w:rsidR="007B2A7B" w:rsidRPr="008D2A1E" w14:paraId="5FB2193A" w14:textId="4F45EC43">
      <w:pPr>
        <w:pStyle w:val="FootnoteText"/>
      </w:pPr>
      <w:r>
        <w:rPr>
          <w:rStyle w:val="FootnoteReference"/>
        </w:rPr>
        <w:footnoteRef/>
      </w:r>
      <w:r>
        <w:t xml:space="preserve"> </w:t>
      </w:r>
      <w:r>
        <w:rPr>
          <w:i/>
          <w:iCs/>
        </w:rPr>
        <w:t xml:space="preserve">See </w:t>
      </w:r>
      <w:r>
        <w:t xml:space="preserve">Press Release, Bandwidth, Bandwidth Announces Successful STIR/SHAKEN Interop with T-Mobile (Mar. 25, 2020), </w:t>
      </w:r>
      <w:hyperlink r:id="rId88" w:history="1">
        <w:r w:rsidRPr="00334C02">
          <w:rPr>
            <w:rStyle w:val="Hyperlink"/>
          </w:rPr>
          <w:t>https://www.prnewswire.com/news-releases/bandwidth-announces-successful-stirshaken-interop-with-t-mobile-301029410.html</w:t>
        </w:r>
      </w:hyperlink>
      <w:r>
        <w:t>.</w:t>
      </w:r>
    </w:p>
  </w:footnote>
  <w:footnote w:id="366">
    <w:p w:rsidR="007B2A7B" w:rsidRPr="00986EAA" w14:paraId="094290C9" w14:textId="2CFE3524">
      <w:pPr>
        <w:pStyle w:val="FootnoteText"/>
      </w:pPr>
      <w:r>
        <w:rPr>
          <w:rStyle w:val="FootnoteReference"/>
        </w:rPr>
        <w:footnoteRef/>
      </w:r>
      <w:r>
        <w:t xml:space="preserve"> ATIS, STI-GA NANC Update at 2 (May 5, 2020), </w:t>
      </w:r>
      <w:hyperlink r:id="rId89" w:history="1">
        <w:r w:rsidRPr="00334C02">
          <w:rPr>
            <w:rStyle w:val="Hyperlink"/>
          </w:rPr>
          <w:t>http://nanc-chair.org/docs/200505STIGANANCUpdate.pdf</w:t>
        </w:r>
      </w:hyperlink>
      <w:r>
        <w:t xml:space="preserve">; </w:t>
      </w:r>
      <w:r w:rsidRPr="002C0DE5">
        <w:rPr>
          <w:i/>
          <w:iCs/>
        </w:rPr>
        <w:t>s</w:t>
      </w:r>
      <w:r>
        <w:rPr>
          <w:i/>
          <w:iCs/>
        </w:rPr>
        <w:t xml:space="preserve">ee </w:t>
      </w:r>
      <w:r w:rsidRPr="002C0DE5">
        <w:rPr>
          <w:i/>
          <w:iCs/>
        </w:rPr>
        <w:t>also</w:t>
      </w:r>
      <w:r>
        <w:rPr>
          <w:i/>
          <w:iCs/>
        </w:rPr>
        <w:t xml:space="preserve"> </w:t>
      </w:r>
      <w:r>
        <w:t>iconectiv</w:t>
      </w:r>
      <w:r>
        <w:t xml:space="preserve">, </w:t>
      </w:r>
      <w:r>
        <w:rPr>
          <w:i/>
          <w:iCs/>
        </w:rPr>
        <w:t>Authorized Service Providers</w:t>
      </w:r>
      <w:r>
        <w:t xml:space="preserve">, </w:t>
      </w:r>
      <w:hyperlink r:id="rId90" w:history="1">
        <w:r w:rsidRPr="00334C02">
          <w:rPr>
            <w:rStyle w:val="Hyperlink"/>
          </w:rPr>
          <w:t>https://authenticate.iconectiv.com/authorized-service-providers-authenticate</w:t>
        </w:r>
      </w:hyperlink>
      <w:r>
        <w:t xml:space="preserve"> (last visited May 5, 2020) (listing approved voice service providers).</w:t>
      </w:r>
    </w:p>
  </w:footnote>
  <w:footnote w:id="367">
    <w:p w:rsidR="007B2A7B" w:rsidRPr="008F3258" w:rsidP="00C37333" w14:paraId="2003737B" w14:textId="77777777">
      <w:pPr>
        <w:pStyle w:val="FootnoteText"/>
      </w:pPr>
      <w:r w:rsidRPr="008F3258">
        <w:rPr>
          <w:rStyle w:val="FootnoteReference"/>
        </w:rPr>
        <w:footnoteRef/>
      </w:r>
      <w:r w:rsidRPr="008F3258">
        <w:t xml:space="preserve"> </w:t>
      </w:r>
      <w:r w:rsidRPr="008F3258">
        <w:rPr>
          <w:i/>
          <w:iCs/>
        </w:rPr>
        <w:t xml:space="preserve">See </w:t>
      </w:r>
      <w:r w:rsidRPr="008F3258">
        <w:t xml:space="preserve">Press Release, Peerless Network, Peerless Network Delivers, Exceeds SHAKEN/STIR Requirements (Oct. 9, 2019), </w:t>
      </w:r>
      <w:hyperlink r:id="rId91" w:history="1">
        <w:r w:rsidRPr="008F3258">
          <w:rPr>
            <w:rStyle w:val="Hyperlink"/>
          </w:rPr>
          <w:t>https://www.peerlessnetwork.com/peerless-network-delivers-exceeds-shaken-stir-requirements</w:t>
        </w:r>
      </w:hyperlink>
      <w:r w:rsidRPr="008F3258">
        <w:t>.</w:t>
      </w:r>
    </w:p>
  </w:footnote>
  <w:footnote w:id="368">
    <w:p w:rsidR="007B2A7B" w:rsidRPr="008F3258" w:rsidP="00C37333" w14:paraId="3F71F96B" w14:textId="77777777">
      <w:pPr>
        <w:pStyle w:val="FootnoteText"/>
      </w:pPr>
      <w:r w:rsidRPr="008F3258">
        <w:rPr>
          <w:rStyle w:val="FootnoteReference"/>
        </w:rPr>
        <w:footnoteRef/>
      </w:r>
      <w:r w:rsidRPr="008F3258">
        <w:t xml:space="preserve"> </w:t>
      </w:r>
      <w:r w:rsidRPr="008F3258">
        <w:rPr>
          <w:i/>
          <w:iCs/>
        </w:rPr>
        <w:t xml:space="preserve">See </w:t>
      </w:r>
      <w:r w:rsidRPr="008F3258">
        <w:t xml:space="preserve">Press Release, T-Mobile, T-Mobile, Comcast and </w:t>
      </w:r>
      <w:r w:rsidRPr="008F3258">
        <w:t>Inteliquent</w:t>
      </w:r>
      <w:r w:rsidRPr="008F3258">
        <w:t xml:space="preserve"> Deliver Industry First in War Against Illegal Call Spoofing (Nov. 21, 2019), </w:t>
      </w:r>
      <w:hyperlink r:id="rId92" w:history="1">
        <w:r w:rsidRPr="008F3258">
          <w:rPr>
            <w:rStyle w:val="Hyperlink"/>
          </w:rPr>
          <w:t>https://www.t-mobile.com/news/tmobile-comcast-inteliqent</w:t>
        </w:r>
      </w:hyperlink>
      <w:r w:rsidRPr="008F3258">
        <w:t>.</w:t>
      </w:r>
    </w:p>
  </w:footnote>
  <w:footnote w:id="369">
    <w:p w:rsidR="007B2A7B" w:rsidRPr="008F3258" w:rsidP="00C37333" w14:paraId="127A5F81" w14:textId="77777777">
      <w:pPr>
        <w:pStyle w:val="FootnoteText"/>
      </w:pPr>
      <w:r w:rsidRPr="008F3258">
        <w:rPr>
          <w:rStyle w:val="FootnoteReference"/>
        </w:rPr>
        <w:footnoteRef/>
      </w:r>
      <w:r w:rsidRPr="008F3258">
        <w:t xml:space="preserve"> Press Release, PR Newswire, </w:t>
      </w:r>
      <w:r w:rsidRPr="008F3258">
        <w:t>Brightlink</w:t>
      </w:r>
      <w:r w:rsidRPr="008F3258">
        <w:t xml:space="preserve"> Takes on Robocalling with STIR/SHAKEN Solution (Feb. 26, 2020), </w:t>
      </w:r>
      <w:hyperlink r:id="rId93" w:history="1">
        <w:r w:rsidRPr="008F3258">
          <w:rPr>
            <w:rStyle w:val="Hyperlink"/>
          </w:rPr>
          <w:t>https://finance.yahoo.com/news/brightlink-takes-robocalling-stir-shaken-150000143.html</w:t>
        </w:r>
      </w:hyperlink>
      <w:r w:rsidRPr="008F3258">
        <w:t>.</w:t>
      </w:r>
    </w:p>
  </w:footnote>
  <w:footnote w:id="370">
    <w:p w:rsidR="007B2A7B" w:rsidRPr="008F3258" w:rsidP="00C37333" w14:paraId="7BAEA556" w14:textId="77777777">
      <w:pPr>
        <w:pStyle w:val="FootnoteText"/>
      </w:pPr>
      <w:r w:rsidRPr="008F3258">
        <w:rPr>
          <w:rStyle w:val="FootnoteReference"/>
        </w:rPr>
        <w:footnoteRef/>
      </w:r>
      <w:r w:rsidRPr="008F3258">
        <w:t xml:space="preserve"> Press Release, </w:t>
      </w:r>
      <w:r w:rsidRPr="008F3258">
        <w:t>PRWeb</w:t>
      </w:r>
      <w:r w:rsidRPr="008F3258">
        <w:t xml:space="preserve">, </w:t>
      </w:r>
      <w:r w:rsidRPr="008F3258">
        <w:t>Ytel</w:t>
      </w:r>
      <w:r w:rsidRPr="008F3258">
        <w:t xml:space="preserve"> Completes One of the First STIR/SHAKEN Calls from </w:t>
      </w:r>
      <w:r w:rsidRPr="008F3258">
        <w:t>CPaaS</w:t>
      </w:r>
      <w:r w:rsidRPr="008F3258">
        <w:t xml:space="preserve"> Platform (Feb. 27, 2020), </w:t>
      </w:r>
      <w:hyperlink r:id="rId94" w:history="1">
        <w:r w:rsidRPr="008F3258">
          <w:rPr>
            <w:rStyle w:val="Hyperlink"/>
          </w:rPr>
          <w:t>https://www.prweb.com/releases/ytel_completes_one_of_the_first_stir_shaken_calls_from_cpaas_platform/prweb16942695.htm</w:t>
        </w:r>
      </w:hyperlink>
      <w:r w:rsidRPr="008F3258">
        <w:t>.</w:t>
      </w:r>
    </w:p>
  </w:footnote>
  <w:footnote w:id="371">
    <w:p w:rsidR="007B2A7B" w:rsidRPr="005579FD" w14:paraId="1A141532" w14:textId="0C5FB527">
      <w:pPr>
        <w:pStyle w:val="FootnoteText"/>
      </w:pPr>
      <w:r>
        <w:rPr>
          <w:rStyle w:val="FootnoteReference"/>
        </w:rPr>
        <w:footnoteRef/>
      </w:r>
      <w:r>
        <w:t xml:space="preserve"> </w:t>
      </w:r>
      <w:r>
        <w:rPr>
          <w:i/>
          <w:iCs/>
        </w:rPr>
        <w:t xml:space="preserve">See </w:t>
      </w:r>
      <w:r>
        <w:t xml:space="preserve">Twilio, </w:t>
      </w:r>
      <w:r w:rsidRPr="002C0DE5">
        <w:rPr>
          <w:i/>
          <w:iCs/>
        </w:rPr>
        <w:t>About</w:t>
      </w:r>
      <w:r>
        <w:t xml:space="preserve">, </w:t>
      </w:r>
      <w:hyperlink r:id="rId95" w:history="1">
        <w:r w:rsidRPr="00334C02">
          <w:rPr>
            <w:rStyle w:val="Hyperlink"/>
          </w:rPr>
          <w:t>https://www.twilio.com/company</w:t>
        </w:r>
      </w:hyperlink>
      <w:r>
        <w:t xml:space="preserve"> (last visited May 4, 2020).</w:t>
      </w:r>
    </w:p>
  </w:footnote>
  <w:footnote w:id="372">
    <w:p w:rsidR="007B2A7B" w:rsidRPr="005579FD" w14:paraId="7861A276" w14:textId="1BEDCC6D">
      <w:pPr>
        <w:pStyle w:val="FootnoteText"/>
      </w:pPr>
      <w:r>
        <w:rPr>
          <w:rStyle w:val="FootnoteReference"/>
        </w:rPr>
        <w:footnoteRef/>
      </w:r>
      <w:r>
        <w:t xml:space="preserve"> </w:t>
      </w:r>
      <w:r>
        <w:rPr>
          <w:i/>
          <w:iCs/>
        </w:rPr>
        <w:t xml:space="preserve">See </w:t>
      </w:r>
      <w:r>
        <w:t xml:space="preserve">Press Release, Business Wire, Twilio Begins Signing Enterprise Calls Using SHAKEN/STIR Protocols to Help Stop Illegal Robocalls for Business Users (April 8, 2020), </w:t>
      </w:r>
      <w:hyperlink r:id="rId96" w:history="1">
        <w:r w:rsidRPr="00334C02">
          <w:rPr>
            <w:rStyle w:val="Hyperlink"/>
          </w:rPr>
          <w:t>https://finance.yahoo.com/news/twilio-begins-signing-enterprise-calls-130000912.html</w:t>
        </w:r>
      </w:hyperlink>
      <w:r>
        <w:t>.</w:t>
      </w:r>
    </w:p>
  </w:footnote>
  <w:footnote w:id="373">
    <w:p w:rsidR="007B2A7B" w:rsidRPr="00124BC2" w:rsidP="00E52459" w14:paraId="77F26C46" w14:textId="77777777">
      <w:pPr>
        <w:pStyle w:val="FootnoteText"/>
      </w:pPr>
      <w:r>
        <w:rPr>
          <w:rStyle w:val="FootnoteReference"/>
        </w:rPr>
        <w:footnoteRef/>
      </w:r>
      <w:r>
        <w:t xml:space="preserve"> </w:t>
      </w:r>
      <w:r>
        <w:rPr>
          <w:i/>
          <w:iCs/>
        </w:rPr>
        <w:t xml:space="preserve">See </w:t>
      </w:r>
      <w:r>
        <w:t xml:space="preserve">Press Release, PRNewswire, Quality Voice &amp; Data Attains Authorized SHAKEN Service Provider Status (May 26, 2020), </w:t>
      </w:r>
      <w:hyperlink r:id="rId97" w:history="1">
        <w:r w:rsidRPr="00BC43EF">
          <w:rPr>
            <w:rStyle w:val="Hyperlink"/>
          </w:rPr>
          <w:t>https://www.prnewswire.com/news-releases/quality-voice--data-attains-authorized-shaken-service-provider-status-301064069.html</w:t>
        </w:r>
      </w:hyperlink>
      <w:r>
        <w:t>.</w:t>
      </w:r>
    </w:p>
  </w:footnote>
  <w:footnote w:id="374">
    <w:p w:rsidR="007B2A7B" w:rsidP="00564261" w14:paraId="1FCA96B0" w14:textId="77777777">
      <w:pPr>
        <w:pStyle w:val="FootnoteText"/>
      </w:pPr>
      <w:r>
        <w:rPr>
          <w:rStyle w:val="FootnoteReference"/>
        </w:rPr>
        <w:footnoteRef/>
      </w:r>
      <w:r>
        <w:t xml:space="preserve"> NENA Comments at 1.</w:t>
      </w:r>
    </w:p>
  </w:footnote>
  <w:footnote w:id="375">
    <w:p w:rsidR="007B2A7B" w:rsidP="00564261" w14:paraId="3A038E58" w14:textId="71A327D9">
      <w:pPr>
        <w:pStyle w:val="FootnoteText"/>
      </w:pPr>
      <w:r>
        <w:rPr>
          <w:rStyle w:val="FootnoteReference"/>
        </w:rPr>
        <w:footnoteRef/>
      </w:r>
      <w:r>
        <w:t xml:space="preserve"> </w:t>
      </w:r>
      <w:r>
        <w:rPr>
          <w:i/>
          <w:iCs/>
        </w:rPr>
        <w:t>Id.</w:t>
      </w:r>
      <w:r>
        <w:t xml:space="preserve"> at 1-2.  </w:t>
      </w:r>
    </w:p>
  </w:footnote>
  <w:footnote w:id="376">
    <w:p w:rsidR="007B2A7B" w:rsidP="00564261" w14:paraId="3578867C" w14:textId="1B3CAE50">
      <w:pPr>
        <w:pStyle w:val="FootnoteText"/>
      </w:pPr>
      <w:r>
        <w:rPr>
          <w:rStyle w:val="FootnoteReference"/>
        </w:rPr>
        <w:footnoteRef/>
      </w:r>
      <w:r>
        <w:t xml:space="preserve"> </w:t>
      </w:r>
      <w:r>
        <w:rPr>
          <w:i/>
          <w:iCs/>
        </w:rPr>
        <w:t>Id.</w:t>
      </w:r>
      <w:r>
        <w:t xml:space="preserve"> at 2. </w:t>
      </w:r>
    </w:p>
  </w:footnote>
  <w:footnote w:id="377">
    <w:p w:rsidR="007B2A7B" w:rsidP="00564261" w14:paraId="6BCC0595" w14:textId="77777777">
      <w:pPr>
        <w:pStyle w:val="FootnoteText"/>
      </w:pPr>
      <w:r>
        <w:rPr>
          <w:rStyle w:val="FootnoteReference"/>
        </w:rPr>
        <w:footnoteRef/>
      </w:r>
      <w:r>
        <w:t xml:space="preserve"> Verizon Letter at 5-6; </w:t>
      </w:r>
      <w:r w:rsidRPr="00585612">
        <w:t>TNS Comments at 17; TNS Letter at 5</w:t>
      </w:r>
      <w:r>
        <w:t xml:space="preserve">; </w:t>
      </w:r>
      <w:r w:rsidRPr="00585612">
        <w:t>Hiya Letter at 5</w:t>
      </w:r>
      <w:r>
        <w:t>; Cox Comments at 4; T-Mobile Comments at 8-9;</w:t>
      </w:r>
      <w:r w:rsidRPr="00634964">
        <w:t xml:space="preserve"> </w:t>
      </w:r>
      <w:r>
        <w:t>Nomorobo Reply Comments at 3.</w:t>
      </w:r>
    </w:p>
  </w:footnote>
  <w:footnote w:id="378">
    <w:p w:rsidR="007B2A7B" w:rsidP="00564261" w14:paraId="0CFF0A5C" w14:textId="77777777">
      <w:pPr>
        <w:pStyle w:val="FootnoteText"/>
      </w:pPr>
      <w:r>
        <w:rPr>
          <w:rStyle w:val="FootnoteReference"/>
        </w:rPr>
        <w:footnoteRef/>
      </w:r>
      <w:r>
        <w:t xml:space="preserve"> Sprint Comments at 5; Sprint Letter at 3.</w:t>
      </w:r>
    </w:p>
  </w:footnote>
  <w:footnote w:id="379">
    <w:p w:rsidR="007B2A7B" w:rsidP="00564261" w14:paraId="2F3D2E2F" w14:textId="77777777">
      <w:pPr>
        <w:pStyle w:val="FootnoteText"/>
      </w:pPr>
      <w:r>
        <w:rPr>
          <w:rStyle w:val="FootnoteReference"/>
        </w:rPr>
        <w:footnoteRef/>
      </w:r>
      <w:r>
        <w:t xml:space="preserve"> Charter Comments at 5-6.</w:t>
      </w:r>
    </w:p>
  </w:footnote>
  <w:footnote w:id="380">
    <w:p w:rsidR="007B2A7B" w:rsidP="00564261" w14:paraId="592194D8" w14:textId="77777777">
      <w:pPr>
        <w:pStyle w:val="FootnoteText"/>
      </w:pPr>
      <w:r>
        <w:rPr>
          <w:rStyle w:val="FootnoteReference"/>
        </w:rPr>
        <w:footnoteRef/>
      </w:r>
      <w:r>
        <w:t xml:space="preserve"> T-Mobile Comments at 9; First Orion Comments at 9.</w:t>
      </w:r>
    </w:p>
  </w:footnote>
  <w:footnote w:id="381">
    <w:p w:rsidR="007B2A7B" w:rsidP="00564261" w14:paraId="7857FF27" w14:textId="77777777">
      <w:pPr>
        <w:pStyle w:val="FootnoteText"/>
      </w:pPr>
      <w:r>
        <w:rPr>
          <w:rStyle w:val="FootnoteReference"/>
        </w:rPr>
        <w:footnoteRef/>
      </w:r>
      <w:r>
        <w:t xml:space="preserve"> Nomorobo Reply Comments at 3.</w:t>
      </w:r>
    </w:p>
  </w:footnote>
  <w:footnote w:id="382">
    <w:p w:rsidR="007B2A7B" w:rsidRPr="00EC5E80" w:rsidP="00564261" w14:paraId="62E46F74" w14:textId="77777777">
      <w:pPr>
        <w:pStyle w:val="FootnoteText"/>
      </w:pPr>
      <w:r>
        <w:rPr>
          <w:rStyle w:val="FootnoteReference"/>
        </w:rPr>
        <w:footnoteRef/>
      </w:r>
      <w:r>
        <w:t xml:space="preserve"> </w:t>
      </w:r>
      <w:r>
        <w:rPr>
          <w:i/>
        </w:rPr>
        <w:t>See, e.g.</w:t>
      </w:r>
      <w:r w:rsidRPr="002C0DE5">
        <w:rPr>
          <w:iCs/>
        </w:rPr>
        <w:t>,</w:t>
      </w:r>
      <w:r>
        <w:rPr>
          <w:i/>
        </w:rPr>
        <w:t xml:space="preserve"> </w:t>
      </w:r>
      <w:r>
        <w:t>NENA Comments at 3 (“Given the life-threatening implications of any PSAP call backs being blocked, we urge the Commission and voice service providers to ensure that any action to reduce robocalls will not result in inadvertently or purposefully blocking calls from PSAPs.”).</w:t>
      </w:r>
    </w:p>
  </w:footnote>
  <w:footnote w:id="383">
    <w:p w:rsidR="007B2A7B" w:rsidP="00564261" w14:paraId="7094B1BE" w14:textId="5F10302C">
      <w:pPr>
        <w:pStyle w:val="FootnoteText"/>
      </w:pPr>
      <w:r>
        <w:rPr>
          <w:rStyle w:val="FootnoteReference"/>
        </w:rPr>
        <w:footnoteRef/>
      </w:r>
      <w:r>
        <w:t xml:space="preserve"> </w:t>
      </w:r>
      <w:r>
        <w:t>Teltech</w:t>
      </w:r>
      <w:r>
        <w:t xml:space="preserve"> Comments at 3; </w:t>
      </w:r>
      <w:r>
        <w:rPr>
          <w:i/>
        </w:rPr>
        <w:t>see also</w:t>
      </w:r>
      <w:r w:rsidRPr="00EC5E80">
        <w:t xml:space="preserve"> </w:t>
      </w:r>
      <w:r>
        <w:t>First Orion Letter at 5.</w:t>
      </w:r>
      <w:r>
        <w:rPr>
          <w:i/>
        </w:rPr>
        <w:t xml:space="preserve"> </w:t>
      </w:r>
    </w:p>
  </w:footnote>
  <w:footnote w:id="384">
    <w:p w:rsidR="007B2A7B" w:rsidP="00564261" w14:paraId="1373C8DA" w14:textId="77777777">
      <w:pPr>
        <w:pStyle w:val="FootnoteText"/>
      </w:pPr>
      <w:r>
        <w:rPr>
          <w:rStyle w:val="FootnoteReference"/>
        </w:rPr>
        <w:footnoteRef/>
      </w:r>
      <w:r>
        <w:t xml:space="preserve"> NENA Comments at 2.</w:t>
      </w:r>
    </w:p>
  </w:footnote>
  <w:footnote w:id="385">
    <w:p w:rsidR="007B2A7B" w:rsidP="00564261" w14:paraId="5BED0C5D" w14:textId="77777777">
      <w:pPr>
        <w:pStyle w:val="FootnoteText"/>
      </w:pPr>
      <w:r>
        <w:rPr>
          <w:rStyle w:val="FootnoteReference"/>
        </w:rPr>
        <w:footnoteRef/>
      </w:r>
      <w:r>
        <w:t xml:space="preserve"> TNS Comments at 17; TNS Letter at 5.</w:t>
      </w:r>
    </w:p>
  </w:footnote>
  <w:footnote w:id="386">
    <w:p w:rsidR="007B2A7B" w:rsidP="00564261" w14:paraId="30003C54" w14:textId="77777777">
      <w:pPr>
        <w:pStyle w:val="FootnoteText"/>
      </w:pPr>
      <w:r>
        <w:rPr>
          <w:rStyle w:val="FootnoteReference"/>
        </w:rPr>
        <w:footnoteRef/>
      </w:r>
      <w:r>
        <w:t xml:space="preserve"> TNS Comments at 18.</w:t>
      </w:r>
    </w:p>
  </w:footnote>
  <w:footnote w:id="387">
    <w:p w:rsidR="007B2A7B" w:rsidP="00564261" w14:paraId="1417359D" w14:textId="77777777">
      <w:pPr>
        <w:pStyle w:val="FootnoteText"/>
      </w:pPr>
      <w:r>
        <w:rPr>
          <w:rStyle w:val="FootnoteReference"/>
        </w:rPr>
        <w:footnoteRef/>
      </w:r>
      <w:r>
        <w:t xml:space="preserve"> ATIS Comments at 3-4.</w:t>
      </w:r>
    </w:p>
  </w:footnote>
  <w:footnote w:id="388">
    <w:p w:rsidR="007B2A7B" w14:paraId="24E6B95A" w14:textId="5FCDCF77">
      <w:pPr>
        <w:pStyle w:val="FootnoteText"/>
      </w:pPr>
      <w:r>
        <w:rPr>
          <w:rStyle w:val="FootnoteReference"/>
        </w:rPr>
        <w:footnoteRef/>
      </w:r>
      <w:r>
        <w:rPr>
          <w:i/>
          <w:iCs/>
        </w:rPr>
        <w:t xml:space="preserve"> </w:t>
      </w:r>
      <w:r w:rsidRPr="00236D31">
        <w:rPr>
          <w:i/>
          <w:iCs/>
        </w:rPr>
        <w:t>STIR/SHAKEN Order</w:t>
      </w:r>
      <w:r>
        <w:t>, 35 FCC Rcd at 3242, para. 1.</w:t>
      </w:r>
    </w:p>
  </w:footnote>
  <w:footnote w:id="389">
    <w:p w:rsidR="007B2A7B" w:rsidP="00B978BC" w14:paraId="27B1F9BD" w14:textId="11FA4104">
      <w:pPr>
        <w:pStyle w:val="FootnoteText"/>
      </w:pPr>
      <w:r>
        <w:rPr>
          <w:rStyle w:val="FootnoteReference"/>
        </w:rPr>
        <w:footnoteRef/>
      </w:r>
      <w:r>
        <w:t xml:space="preserve"> </w:t>
      </w:r>
      <w:r w:rsidRPr="0015473E">
        <w:rPr>
          <w:i/>
          <w:iCs/>
        </w:rPr>
        <w:t>See</w:t>
      </w:r>
      <w:r w:rsidRPr="0002396B">
        <w:rPr>
          <w:i/>
        </w:rPr>
        <w:t>,</w:t>
      </w:r>
      <w:r w:rsidRPr="0015473E">
        <w:rPr>
          <w:i/>
          <w:iCs/>
        </w:rPr>
        <w:t xml:space="preserve"> e.g</w:t>
      </w:r>
      <w:r>
        <w:t xml:space="preserve">., </w:t>
      </w:r>
      <w:r>
        <w:rPr>
          <w:i/>
          <w:iCs/>
        </w:rPr>
        <w:t>Roesel</w:t>
      </w:r>
      <w:r>
        <w:rPr>
          <w:i/>
          <w:iCs/>
        </w:rPr>
        <w:t xml:space="preserve"> Forfeiture Order</w:t>
      </w:r>
      <w:r>
        <w:t>, 33 FCC Rcd 9204;</w:t>
      </w:r>
      <w:r w:rsidRPr="0078436E">
        <w:rPr>
          <w:i/>
          <w:iCs/>
        </w:rPr>
        <w:t xml:space="preserve"> </w:t>
      </w:r>
      <w:r>
        <w:rPr>
          <w:i/>
          <w:iCs/>
        </w:rPr>
        <w:t>Abramovich Forfeiture Order</w:t>
      </w:r>
      <w:r>
        <w:t xml:space="preserve">, 33 FCC Rcd 4663.  </w:t>
      </w:r>
    </w:p>
  </w:footnote>
  <w:footnote w:id="390">
    <w:p w:rsidR="007B2A7B" w:rsidP="00B978BC" w14:paraId="71C69D4D" w14:textId="6E891DB2">
      <w:pPr>
        <w:pStyle w:val="FootnoteText"/>
      </w:pPr>
      <w:r>
        <w:rPr>
          <w:rStyle w:val="FootnoteReference"/>
        </w:rPr>
        <w:footnoteRef/>
      </w:r>
      <w:r>
        <w:t xml:space="preserve"> </w:t>
      </w:r>
      <w:r>
        <w:rPr>
          <w:rFonts w:eastAsia="Calibri"/>
          <w:i/>
        </w:rPr>
        <w:t xml:space="preserve">2019 </w:t>
      </w:r>
      <w:r w:rsidRPr="00C16A5B">
        <w:rPr>
          <w:rFonts w:eastAsia="Calibri"/>
          <w:i/>
        </w:rPr>
        <w:t xml:space="preserve">Call Blocking </w:t>
      </w:r>
      <w:r w:rsidRPr="001A50F6">
        <w:rPr>
          <w:rFonts w:eastAsia="Calibri"/>
          <w:i/>
        </w:rPr>
        <w:t xml:space="preserve">Declaratory </w:t>
      </w:r>
      <w:r w:rsidRPr="002C0DE5">
        <w:rPr>
          <w:rFonts w:eastAsia="Calibri"/>
          <w:i/>
        </w:rPr>
        <w:t>Ruling</w:t>
      </w:r>
      <w:r>
        <w:rPr>
          <w:rFonts w:ascii="TimesNewRoman,Italic" w:eastAsia="Calibri" w:hAnsi="TimesNewRoman,Italic" w:cs="TimesNewRoman,Italic"/>
        </w:rPr>
        <w:t xml:space="preserve">, </w:t>
      </w:r>
      <w:r w:rsidRPr="00B978BC">
        <w:rPr>
          <w:rFonts w:eastAsia="Calibri"/>
        </w:rPr>
        <w:t>34</w:t>
      </w:r>
      <w:r>
        <w:rPr>
          <w:rFonts w:eastAsia="Calibri"/>
        </w:rPr>
        <w:t xml:space="preserve"> FCC Rcd at 4886-88, paras. 33-34</w:t>
      </w:r>
      <w:r>
        <w:t xml:space="preserve">; </w:t>
      </w:r>
      <w:r w:rsidRPr="00DC7DE7">
        <w:rPr>
          <w:i/>
          <w:iCs/>
        </w:rPr>
        <w:t xml:space="preserve">2017 </w:t>
      </w:r>
      <w:r>
        <w:rPr>
          <w:i/>
          <w:iCs/>
        </w:rPr>
        <w:t xml:space="preserve">Call Blocking </w:t>
      </w:r>
      <w:r w:rsidRPr="00DC7DE7">
        <w:rPr>
          <w:i/>
          <w:iCs/>
        </w:rPr>
        <w:t xml:space="preserve">Report and </w:t>
      </w:r>
      <w:r w:rsidRPr="002C0DE5">
        <w:rPr>
          <w:i/>
          <w:iCs/>
        </w:rPr>
        <w:t>Order</w:t>
      </w:r>
      <w:r>
        <w:t xml:space="preserve">, </w:t>
      </w:r>
      <w:r w:rsidRPr="00B978BC">
        <w:t>32</w:t>
      </w:r>
      <w:r>
        <w:t xml:space="preserve"> FCC Rcd 9706.</w:t>
      </w:r>
    </w:p>
  </w:footnote>
  <w:footnote w:id="391">
    <w:p w:rsidR="007B2A7B" w:rsidP="00B978BC" w14:paraId="6B8D8469" w14:textId="5F0AA7E6">
      <w:pPr>
        <w:pStyle w:val="FootnoteText"/>
      </w:pPr>
      <w:r>
        <w:rPr>
          <w:rStyle w:val="FootnoteReference"/>
        </w:rPr>
        <w:footnoteRef/>
      </w:r>
      <w:r>
        <w:t xml:space="preserve"> </w:t>
      </w:r>
      <w:r w:rsidRPr="00DC7DE7">
        <w:rPr>
          <w:i/>
          <w:iCs/>
        </w:rPr>
        <w:t>STIR/SHAKEN Order</w:t>
      </w:r>
      <w:r>
        <w:t>, 35 FCC Rcd at 3252, para. 24.</w:t>
      </w:r>
    </w:p>
  </w:footnote>
  <w:footnote w:id="392">
    <w:p w:rsidR="007B2A7B" w14:paraId="5705F618" w14:textId="209B8C78">
      <w:pPr>
        <w:pStyle w:val="FootnoteText"/>
      </w:pPr>
      <w:r>
        <w:rPr>
          <w:rStyle w:val="FootnoteReference"/>
        </w:rPr>
        <w:footnoteRef/>
      </w:r>
      <w:r>
        <w:t xml:space="preserve"> </w:t>
      </w:r>
      <w:r w:rsidRPr="00F11544">
        <w:rPr>
          <w:i/>
          <w:iCs/>
        </w:rPr>
        <w:t>2019 Call Blocking Declaratory Ruling</w:t>
      </w:r>
      <w:r>
        <w:t>, 34 FCC Rcd at 4904, paras. 87-90.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2A7B" w:rsidP="00810B6F" w14:paraId="4261853E" w14:textId="77777777">
    <w:pPr>
      <w:pStyle w:val="Header"/>
      <w:rPr>
        <w:b w:val="0"/>
      </w:rPr>
    </w:pPr>
    <w:r>
      <w:tab/>
    </w:r>
  </w:p>
  <w:p w:rsidR="007B2A7B" w14:paraId="3241634E" w14:textId="682FC8A5">
    <w:pPr>
      <w:tabs>
        <w:tab w:val="left" w:pos="-720"/>
      </w:tabs>
      <w:suppressAutoHyphens/>
      <w:spacing w:line="19" w:lineRule="exact"/>
      <w:rPr>
        <w:spacing w:val="-2"/>
      </w:rPr>
    </w:pPr>
    <w:r w:rsidRPr="0078281B">
      <w:rPr>
        <w:noProof/>
        <w:snapToGrid/>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p w:rsidR="007B2A7B" w14:paraId="118B81A1"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2A7B" w:rsidP="00810B6F" w14:paraId="5DDABA26" w14:textId="0491F72D">
    <w:pPr>
      <w:pStyle w:val="Header"/>
      <w:rPr>
        <w:b w:val="0"/>
      </w:rPr>
    </w:pPr>
    <w:r w:rsidRPr="0078281B">
      <w:rPr>
        <w:noProof/>
        <w:snapToGrid/>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730196"/>
    <w:multiLevelType w:val="hybridMultilevel"/>
    <w:tmpl w:val="0F2C47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60D4E06"/>
    <w:multiLevelType w:val="hybridMultilevel"/>
    <w:tmpl w:val="23B89F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16F7477F"/>
    <w:multiLevelType w:val="hybridMultilevel"/>
    <w:tmpl w:val="B888BF4A"/>
    <w:lvl w:ilvl="0">
      <w:start w:val="14"/>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2F86582B"/>
    <w:multiLevelType w:val="hybridMultilevel"/>
    <w:tmpl w:val="3E50F54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391B133E"/>
    <w:multiLevelType w:val="hybridMultilevel"/>
    <w:tmpl w:val="784EB8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79D1D4E"/>
    <w:multiLevelType w:val="hybridMultilevel"/>
    <w:tmpl w:val="D9A66D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5BD12C97"/>
    <w:multiLevelType w:val="hybridMultilevel"/>
    <w:tmpl w:val="B8368D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61182925"/>
    <w:multiLevelType w:val="singleLevel"/>
    <w:tmpl w:val="BC36F738"/>
    <w:lvl w:ilvl="0">
      <w:start w:val="1"/>
      <w:numFmt w:val="decimal"/>
      <w:pStyle w:val="ParaNum"/>
      <w:lvlText w:val="%1."/>
      <w:lvlJc w:val="left"/>
      <w:pPr>
        <w:tabs>
          <w:tab w:val="num" w:pos="1080"/>
        </w:tabs>
        <w:ind w:left="0" w:firstLine="720"/>
      </w:pPr>
      <w:rPr>
        <w:rFonts w:ascii="Times New Roman" w:hAnsi="Times New Roman" w:cs="Times New Roman" w:hint="default"/>
      </w:rPr>
    </w:lvl>
  </w:abstractNum>
  <w:abstractNum w:abstractNumId="13">
    <w:nsid w:val="73FC5F10"/>
    <w:multiLevelType w:val="hybridMultilevel"/>
    <w:tmpl w:val="945ABFC4"/>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
  </w:num>
  <w:num w:numId="2">
    <w:abstractNumId w:val="12"/>
  </w:num>
  <w:num w:numId="3">
    <w:abstractNumId w:val="6"/>
  </w:num>
  <w:num w:numId="4">
    <w:abstractNumId w:val="10"/>
  </w:num>
  <w:num w:numId="5">
    <w:abstractNumId w:val="5"/>
  </w:num>
  <w:num w:numId="6">
    <w:abstractNumId w:val="2"/>
  </w:num>
  <w:num w:numId="7">
    <w:abstractNumId w:val="13"/>
  </w:num>
  <w:num w:numId="8">
    <w:abstractNumId w:val="12"/>
    <w:lvlOverride w:ilvl="0">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2"/>
    <w:lvlOverride w:ilvl="0">
      <w:startOverride w:val="1"/>
    </w:lvlOverride>
  </w:num>
  <w:num w:numId="12">
    <w:abstractNumId w:val="12"/>
  </w:num>
  <w:num w:numId="13">
    <w:abstractNumId w:val="12"/>
  </w:num>
  <w:num w:numId="14">
    <w:abstractNumId w:val="12"/>
  </w:num>
  <w:num w:numId="15">
    <w:abstractNumId w:val="12"/>
  </w:num>
  <w:num w:numId="16">
    <w:abstractNumId w:val="7"/>
  </w:num>
  <w:num w:numId="17">
    <w:abstractNumId w:val="12"/>
    <w:lvlOverride w:ilvl="0">
      <w:startOverride w:val="1"/>
    </w:lvlOverride>
  </w:num>
  <w:num w:numId="18">
    <w:abstractNumId w:val="12"/>
    <w:lvlOverride w:ilvl="0">
      <w:startOverride w:val="1"/>
    </w:lvlOverride>
  </w:num>
  <w:num w:numId="19">
    <w:abstractNumId w:val="1"/>
  </w:num>
  <w:num w:numId="20">
    <w:abstractNumId w:val="3"/>
  </w:num>
  <w:num w:numId="21">
    <w:abstractNumId w:val="12"/>
    <w:lvlOverride w:ilvl="0">
      <w:startOverride w:val="1"/>
    </w:lvlOverride>
  </w:num>
  <w:num w:numId="22">
    <w:abstractNumId w:val="11"/>
  </w:num>
  <w:num w:numId="23">
    <w:abstractNumId w:val="12"/>
    <w:lvlOverride w:ilvl="0">
      <w:startOverride w:val="1"/>
    </w:lvlOverride>
  </w:num>
  <w:num w:numId="24">
    <w:abstractNumId w:val="12"/>
    <w:lvlOverride w:ilvl="0">
      <w:startOverride w:val="1"/>
    </w:lvlOverride>
  </w:num>
  <w:num w:numId="25">
    <w:abstractNumId w:val="12"/>
    <w:lvlOverride w:ilvl="0">
      <w:startOverride w:val="1"/>
    </w:lvlOverride>
  </w:num>
  <w:num w:numId="26">
    <w:abstractNumId w:val="0"/>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95721A"/>
    <w:rsid w:val="000001DC"/>
    <w:rsid w:val="00000550"/>
    <w:rsid w:val="00001309"/>
    <w:rsid w:val="00001322"/>
    <w:rsid w:val="0000135A"/>
    <w:rsid w:val="0000157A"/>
    <w:rsid w:val="00001B98"/>
    <w:rsid w:val="00002007"/>
    <w:rsid w:val="000026F9"/>
    <w:rsid w:val="00004109"/>
    <w:rsid w:val="00005D38"/>
    <w:rsid w:val="0000602A"/>
    <w:rsid w:val="000064E3"/>
    <w:rsid w:val="00007438"/>
    <w:rsid w:val="000116D4"/>
    <w:rsid w:val="00011E75"/>
    <w:rsid w:val="0001275D"/>
    <w:rsid w:val="00013139"/>
    <w:rsid w:val="000143C0"/>
    <w:rsid w:val="00014CA1"/>
    <w:rsid w:val="0001617B"/>
    <w:rsid w:val="00016C4B"/>
    <w:rsid w:val="00020345"/>
    <w:rsid w:val="00021843"/>
    <w:rsid w:val="00023335"/>
    <w:rsid w:val="0002396B"/>
    <w:rsid w:val="00023CB6"/>
    <w:rsid w:val="00024277"/>
    <w:rsid w:val="00024D26"/>
    <w:rsid w:val="00024DCA"/>
    <w:rsid w:val="000253A8"/>
    <w:rsid w:val="000253E8"/>
    <w:rsid w:val="000256C5"/>
    <w:rsid w:val="00025D7F"/>
    <w:rsid w:val="00026B28"/>
    <w:rsid w:val="00026F65"/>
    <w:rsid w:val="00030295"/>
    <w:rsid w:val="00030AEC"/>
    <w:rsid w:val="00030B62"/>
    <w:rsid w:val="00030F6D"/>
    <w:rsid w:val="000310E6"/>
    <w:rsid w:val="0003191C"/>
    <w:rsid w:val="00031DE2"/>
    <w:rsid w:val="00032A7D"/>
    <w:rsid w:val="000334EC"/>
    <w:rsid w:val="00033DA6"/>
    <w:rsid w:val="00034482"/>
    <w:rsid w:val="0003451C"/>
    <w:rsid w:val="000358BF"/>
    <w:rsid w:val="00035E64"/>
    <w:rsid w:val="00036039"/>
    <w:rsid w:val="00036475"/>
    <w:rsid w:val="00036C57"/>
    <w:rsid w:val="00037CE4"/>
    <w:rsid w:val="00037DCF"/>
    <w:rsid w:val="00037F90"/>
    <w:rsid w:val="00040BAB"/>
    <w:rsid w:val="0004190E"/>
    <w:rsid w:val="000422C3"/>
    <w:rsid w:val="000425A1"/>
    <w:rsid w:val="000434F8"/>
    <w:rsid w:val="000444E5"/>
    <w:rsid w:val="00044878"/>
    <w:rsid w:val="00044DA3"/>
    <w:rsid w:val="00045E14"/>
    <w:rsid w:val="00045E94"/>
    <w:rsid w:val="0004638B"/>
    <w:rsid w:val="00046FF4"/>
    <w:rsid w:val="0004797A"/>
    <w:rsid w:val="00047B40"/>
    <w:rsid w:val="00047CBF"/>
    <w:rsid w:val="000512FC"/>
    <w:rsid w:val="00051935"/>
    <w:rsid w:val="00051D28"/>
    <w:rsid w:val="00053498"/>
    <w:rsid w:val="00053790"/>
    <w:rsid w:val="00053872"/>
    <w:rsid w:val="00054281"/>
    <w:rsid w:val="000551DD"/>
    <w:rsid w:val="00055E3B"/>
    <w:rsid w:val="00055F32"/>
    <w:rsid w:val="00057C0F"/>
    <w:rsid w:val="00060417"/>
    <w:rsid w:val="000604BD"/>
    <w:rsid w:val="000605ED"/>
    <w:rsid w:val="00060DC5"/>
    <w:rsid w:val="000628EA"/>
    <w:rsid w:val="00063761"/>
    <w:rsid w:val="00063789"/>
    <w:rsid w:val="00063C83"/>
    <w:rsid w:val="000643D7"/>
    <w:rsid w:val="000656B5"/>
    <w:rsid w:val="00065C53"/>
    <w:rsid w:val="00065EFC"/>
    <w:rsid w:val="000701A8"/>
    <w:rsid w:val="0007109B"/>
    <w:rsid w:val="00071B7C"/>
    <w:rsid w:val="00071F9F"/>
    <w:rsid w:val="00072001"/>
    <w:rsid w:val="00072027"/>
    <w:rsid w:val="00072A85"/>
    <w:rsid w:val="0007327A"/>
    <w:rsid w:val="00073716"/>
    <w:rsid w:val="00074251"/>
    <w:rsid w:val="00074C86"/>
    <w:rsid w:val="00075362"/>
    <w:rsid w:val="000755A6"/>
    <w:rsid w:val="00075625"/>
    <w:rsid w:val="00075ACF"/>
    <w:rsid w:val="00076C51"/>
    <w:rsid w:val="00077828"/>
    <w:rsid w:val="00077888"/>
    <w:rsid w:val="00077B02"/>
    <w:rsid w:val="00081AB9"/>
    <w:rsid w:val="000823D0"/>
    <w:rsid w:val="00082A71"/>
    <w:rsid w:val="00082A7C"/>
    <w:rsid w:val="000848DB"/>
    <w:rsid w:val="000853EC"/>
    <w:rsid w:val="00085494"/>
    <w:rsid w:val="00086D98"/>
    <w:rsid w:val="00086F75"/>
    <w:rsid w:val="00086FE1"/>
    <w:rsid w:val="000875BF"/>
    <w:rsid w:val="00087779"/>
    <w:rsid w:val="00087A72"/>
    <w:rsid w:val="00087E3A"/>
    <w:rsid w:val="00090098"/>
    <w:rsid w:val="00090A1B"/>
    <w:rsid w:val="00091024"/>
    <w:rsid w:val="000912AB"/>
    <w:rsid w:val="000918E6"/>
    <w:rsid w:val="000918FD"/>
    <w:rsid w:val="00091934"/>
    <w:rsid w:val="000919B2"/>
    <w:rsid w:val="000928D1"/>
    <w:rsid w:val="00094003"/>
    <w:rsid w:val="0009415F"/>
    <w:rsid w:val="00094F33"/>
    <w:rsid w:val="0009510F"/>
    <w:rsid w:val="0009567B"/>
    <w:rsid w:val="00096D8C"/>
    <w:rsid w:val="00096FE7"/>
    <w:rsid w:val="000972F2"/>
    <w:rsid w:val="000A0BBA"/>
    <w:rsid w:val="000A0D27"/>
    <w:rsid w:val="000A2803"/>
    <w:rsid w:val="000A31D8"/>
    <w:rsid w:val="000A3A1C"/>
    <w:rsid w:val="000A3E5E"/>
    <w:rsid w:val="000A40B4"/>
    <w:rsid w:val="000A4FEE"/>
    <w:rsid w:val="000A559B"/>
    <w:rsid w:val="000A565E"/>
    <w:rsid w:val="000A57C2"/>
    <w:rsid w:val="000A5ABE"/>
    <w:rsid w:val="000A5AD1"/>
    <w:rsid w:val="000A61A5"/>
    <w:rsid w:val="000A65C6"/>
    <w:rsid w:val="000A668D"/>
    <w:rsid w:val="000A66EC"/>
    <w:rsid w:val="000A7276"/>
    <w:rsid w:val="000B04AD"/>
    <w:rsid w:val="000B0AF4"/>
    <w:rsid w:val="000B0FD3"/>
    <w:rsid w:val="000B12A8"/>
    <w:rsid w:val="000B1A9F"/>
    <w:rsid w:val="000B1D97"/>
    <w:rsid w:val="000B1E42"/>
    <w:rsid w:val="000B2926"/>
    <w:rsid w:val="000B2B74"/>
    <w:rsid w:val="000B364C"/>
    <w:rsid w:val="000B3AEF"/>
    <w:rsid w:val="000B4022"/>
    <w:rsid w:val="000B4985"/>
    <w:rsid w:val="000B535F"/>
    <w:rsid w:val="000B5C25"/>
    <w:rsid w:val="000B615E"/>
    <w:rsid w:val="000B6930"/>
    <w:rsid w:val="000B7E3D"/>
    <w:rsid w:val="000C084A"/>
    <w:rsid w:val="000C08E7"/>
    <w:rsid w:val="000C0B65"/>
    <w:rsid w:val="000C167C"/>
    <w:rsid w:val="000C1743"/>
    <w:rsid w:val="000C1808"/>
    <w:rsid w:val="000C1CAE"/>
    <w:rsid w:val="000C25F5"/>
    <w:rsid w:val="000C2BCB"/>
    <w:rsid w:val="000C2E4D"/>
    <w:rsid w:val="000C2E6C"/>
    <w:rsid w:val="000C397A"/>
    <w:rsid w:val="000C3BEF"/>
    <w:rsid w:val="000C3C86"/>
    <w:rsid w:val="000C414A"/>
    <w:rsid w:val="000C4F55"/>
    <w:rsid w:val="000C55C7"/>
    <w:rsid w:val="000D1463"/>
    <w:rsid w:val="000D18D2"/>
    <w:rsid w:val="000D1F12"/>
    <w:rsid w:val="000D2657"/>
    <w:rsid w:val="000D4AE2"/>
    <w:rsid w:val="000D4F5B"/>
    <w:rsid w:val="000D7836"/>
    <w:rsid w:val="000E05FE"/>
    <w:rsid w:val="000E0F4B"/>
    <w:rsid w:val="000E1471"/>
    <w:rsid w:val="000E16C7"/>
    <w:rsid w:val="000E17C4"/>
    <w:rsid w:val="000E1A5F"/>
    <w:rsid w:val="000E1B69"/>
    <w:rsid w:val="000E2979"/>
    <w:rsid w:val="000E31A3"/>
    <w:rsid w:val="000E3D42"/>
    <w:rsid w:val="000E445E"/>
    <w:rsid w:val="000E4678"/>
    <w:rsid w:val="000E4E3A"/>
    <w:rsid w:val="000E7178"/>
    <w:rsid w:val="000E7B5B"/>
    <w:rsid w:val="000E7C18"/>
    <w:rsid w:val="000F0B42"/>
    <w:rsid w:val="000F1152"/>
    <w:rsid w:val="000F1C03"/>
    <w:rsid w:val="000F367A"/>
    <w:rsid w:val="000F3D11"/>
    <w:rsid w:val="000F3F9B"/>
    <w:rsid w:val="000F45B3"/>
    <w:rsid w:val="000F4A1F"/>
    <w:rsid w:val="000F4B14"/>
    <w:rsid w:val="000F4DE0"/>
    <w:rsid w:val="000F517F"/>
    <w:rsid w:val="000F572E"/>
    <w:rsid w:val="000F58E2"/>
    <w:rsid w:val="000F63DF"/>
    <w:rsid w:val="000F7F81"/>
    <w:rsid w:val="00100852"/>
    <w:rsid w:val="0010117D"/>
    <w:rsid w:val="00101464"/>
    <w:rsid w:val="0010162E"/>
    <w:rsid w:val="00102131"/>
    <w:rsid w:val="0010269A"/>
    <w:rsid w:val="001029D7"/>
    <w:rsid w:val="00102F17"/>
    <w:rsid w:val="00102FD5"/>
    <w:rsid w:val="00103129"/>
    <w:rsid w:val="00103E65"/>
    <w:rsid w:val="001055C1"/>
    <w:rsid w:val="00105CA0"/>
    <w:rsid w:val="001066EC"/>
    <w:rsid w:val="00106DC9"/>
    <w:rsid w:val="001070CD"/>
    <w:rsid w:val="00110085"/>
    <w:rsid w:val="0011020C"/>
    <w:rsid w:val="0011159F"/>
    <w:rsid w:val="00111882"/>
    <w:rsid w:val="0011243E"/>
    <w:rsid w:val="0011272E"/>
    <w:rsid w:val="0011357A"/>
    <w:rsid w:val="00113C3E"/>
    <w:rsid w:val="00115919"/>
    <w:rsid w:val="00115CB9"/>
    <w:rsid w:val="00117529"/>
    <w:rsid w:val="00117C5F"/>
    <w:rsid w:val="00120B27"/>
    <w:rsid w:val="001218F8"/>
    <w:rsid w:val="0012230B"/>
    <w:rsid w:val="001228ED"/>
    <w:rsid w:val="00122BD5"/>
    <w:rsid w:val="001242EC"/>
    <w:rsid w:val="00124B63"/>
    <w:rsid w:val="00124BC2"/>
    <w:rsid w:val="00124C07"/>
    <w:rsid w:val="00124DB0"/>
    <w:rsid w:val="00125880"/>
    <w:rsid w:val="001259C0"/>
    <w:rsid w:val="0012654C"/>
    <w:rsid w:val="001265FE"/>
    <w:rsid w:val="00126702"/>
    <w:rsid w:val="00126AE2"/>
    <w:rsid w:val="00126C2D"/>
    <w:rsid w:val="001275FC"/>
    <w:rsid w:val="00127772"/>
    <w:rsid w:val="001307A8"/>
    <w:rsid w:val="00131AB6"/>
    <w:rsid w:val="00131B3E"/>
    <w:rsid w:val="00133F79"/>
    <w:rsid w:val="00134428"/>
    <w:rsid w:val="00134873"/>
    <w:rsid w:val="0013521D"/>
    <w:rsid w:val="00135BAF"/>
    <w:rsid w:val="00136013"/>
    <w:rsid w:val="00136C1A"/>
    <w:rsid w:val="00136EB7"/>
    <w:rsid w:val="0013714B"/>
    <w:rsid w:val="001375CF"/>
    <w:rsid w:val="001376F0"/>
    <w:rsid w:val="001379B0"/>
    <w:rsid w:val="00137B40"/>
    <w:rsid w:val="00137E0F"/>
    <w:rsid w:val="00140348"/>
    <w:rsid w:val="00140802"/>
    <w:rsid w:val="001420E6"/>
    <w:rsid w:val="001435AF"/>
    <w:rsid w:val="00143703"/>
    <w:rsid w:val="00143F73"/>
    <w:rsid w:val="0014532B"/>
    <w:rsid w:val="0014539A"/>
    <w:rsid w:val="001457EC"/>
    <w:rsid w:val="00145877"/>
    <w:rsid w:val="0014635B"/>
    <w:rsid w:val="0014640D"/>
    <w:rsid w:val="00146AF0"/>
    <w:rsid w:val="00147B57"/>
    <w:rsid w:val="00147DA8"/>
    <w:rsid w:val="00150A09"/>
    <w:rsid w:val="00150BF5"/>
    <w:rsid w:val="001521DA"/>
    <w:rsid w:val="00152AF7"/>
    <w:rsid w:val="0015341A"/>
    <w:rsid w:val="00153BCA"/>
    <w:rsid w:val="001540FC"/>
    <w:rsid w:val="0015473E"/>
    <w:rsid w:val="001547F8"/>
    <w:rsid w:val="001548DE"/>
    <w:rsid w:val="00155BB2"/>
    <w:rsid w:val="00155E2B"/>
    <w:rsid w:val="00156B0C"/>
    <w:rsid w:val="00157E12"/>
    <w:rsid w:val="001618F0"/>
    <w:rsid w:val="00161B7F"/>
    <w:rsid w:val="00161F46"/>
    <w:rsid w:val="00164973"/>
    <w:rsid w:val="00164F5A"/>
    <w:rsid w:val="00164FE7"/>
    <w:rsid w:val="00165BC8"/>
    <w:rsid w:val="00165F4A"/>
    <w:rsid w:val="001662B7"/>
    <w:rsid w:val="0016651A"/>
    <w:rsid w:val="001666C0"/>
    <w:rsid w:val="00166E2D"/>
    <w:rsid w:val="001674E0"/>
    <w:rsid w:val="00167AE2"/>
    <w:rsid w:val="00167E86"/>
    <w:rsid w:val="00170870"/>
    <w:rsid w:val="0017224E"/>
    <w:rsid w:val="001725C3"/>
    <w:rsid w:val="0017438D"/>
    <w:rsid w:val="001745E0"/>
    <w:rsid w:val="00174881"/>
    <w:rsid w:val="00175388"/>
    <w:rsid w:val="00177A38"/>
    <w:rsid w:val="00180326"/>
    <w:rsid w:val="0018088D"/>
    <w:rsid w:val="00180E43"/>
    <w:rsid w:val="0018146E"/>
    <w:rsid w:val="001816BF"/>
    <w:rsid w:val="00181B6B"/>
    <w:rsid w:val="0018252E"/>
    <w:rsid w:val="00182643"/>
    <w:rsid w:val="001826F3"/>
    <w:rsid w:val="0018395B"/>
    <w:rsid w:val="00183C69"/>
    <w:rsid w:val="00183FB9"/>
    <w:rsid w:val="00184646"/>
    <w:rsid w:val="00185795"/>
    <w:rsid w:val="0018592A"/>
    <w:rsid w:val="00185FC5"/>
    <w:rsid w:val="0018784E"/>
    <w:rsid w:val="00187AA3"/>
    <w:rsid w:val="001900D0"/>
    <w:rsid w:val="001904A0"/>
    <w:rsid w:val="00190AB9"/>
    <w:rsid w:val="00190E90"/>
    <w:rsid w:val="00191225"/>
    <w:rsid w:val="00191FE7"/>
    <w:rsid w:val="001927BF"/>
    <w:rsid w:val="001929BB"/>
    <w:rsid w:val="00193A81"/>
    <w:rsid w:val="001940F0"/>
    <w:rsid w:val="00194A66"/>
    <w:rsid w:val="00194FEC"/>
    <w:rsid w:val="00195E37"/>
    <w:rsid w:val="001960DC"/>
    <w:rsid w:val="001971DD"/>
    <w:rsid w:val="001A08EA"/>
    <w:rsid w:val="001A23FC"/>
    <w:rsid w:val="001A2CD7"/>
    <w:rsid w:val="001A3051"/>
    <w:rsid w:val="001A3CF9"/>
    <w:rsid w:val="001A3F7F"/>
    <w:rsid w:val="001A41C7"/>
    <w:rsid w:val="001A501E"/>
    <w:rsid w:val="001A50F6"/>
    <w:rsid w:val="001A6FC1"/>
    <w:rsid w:val="001A7347"/>
    <w:rsid w:val="001A7C90"/>
    <w:rsid w:val="001B0801"/>
    <w:rsid w:val="001B17E7"/>
    <w:rsid w:val="001B2895"/>
    <w:rsid w:val="001B446E"/>
    <w:rsid w:val="001B48F4"/>
    <w:rsid w:val="001B49DC"/>
    <w:rsid w:val="001B5994"/>
    <w:rsid w:val="001B623F"/>
    <w:rsid w:val="001B6576"/>
    <w:rsid w:val="001B6BA4"/>
    <w:rsid w:val="001B7173"/>
    <w:rsid w:val="001B77C0"/>
    <w:rsid w:val="001B7980"/>
    <w:rsid w:val="001B79FE"/>
    <w:rsid w:val="001C0066"/>
    <w:rsid w:val="001C1361"/>
    <w:rsid w:val="001C1D01"/>
    <w:rsid w:val="001C2CD0"/>
    <w:rsid w:val="001C3570"/>
    <w:rsid w:val="001C38FE"/>
    <w:rsid w:val="001C5623"/>
    <w:rsid w:val="001C60F6"/>
    <w:rsid w:val="001C65D8"/>
    <w:rsid w:val="001C668C"/>
    <w:rsid w:val="001C7AF6"/>
    <w:rsid w:val="001D019D"/>
    <w:rsid w:val="001D0740"/>
    <w:rsid w:val="001D0965"/>
    <w:rsid w:val="001D09AD"/>
    <w:rsid w:val="001D0D19"/>
    <w:rsid w:val="001D124E"/>
    <w:rsid w:val="001D1748"/>
    <w:rsid w:val="001D1B6F"/>
    <w:rsid w:val="001D1D2C"/>
    <w:rsid w:val="001D2314"/>
    <w:rsid w:val="001D35A1"/>
    <w:rsid w:val="001D44DE"/>
    <w:rsid w:val="001D6597"/>
    <w:rsid w:val="001D6BCF"/>
    <w:rsid w:val="001D714F"/>
    <w:rsid w:val="001E01CA"/>
    <w:rsid w:val="001E050C"/>
    <w:rsid w:val="001E12E8"/>
    <w:rsid w:val="001E2D6E"/>
    <w:rsid w:val="001E2EBD"/>
    <w:rsid w:val="001E39AC"/>
    <w:rsid w:val="001E61E5"/>
    <w:rsid w:val="001E66D5"/>
    <w:rsid w:val="001E6B55"/>
    <w:rsid w:val="001E6C21"/>
    <w:rsid w:val="001E6FDC"/>
    <w:rsid w:val="001E70C8"/>
    <w:rsid w:val="001E7AE5"/>
    <w:rsid w:val="001F1771"/>
    <w:rsid w:val="001F1EB3"/>
    <w:rsid w:val="001F25C9"/>
    <w:rsid w:val="001F27B5"/>
    <w:rsid w:val="001F4784"/>
    <w:rsid w:val="001F5F5C"/>
    <w:rsid w:val="001F64B4"/>
    <w:rsid w:val="001F7053"/>
    <w:rsid w:val="002004CC"/>
    <w:rsid w:val="0020053A"/>
    <w:rsid w:val="00200F2C"/>
    <w:rsid w:val="002012E6"/>
    <w:rsid w:val="00201C3E"/>
    <w:rsid w:val="0020278B"/>
    <w:rsid w:val="00202806"/>
    <w:rsid w:val="00202966"/>
    <w:rsid w:val="00203DCB"/>
    <w:rsid w:val="00203EE3"/>
    <w:rsid w:val="00204E9E"/>
    <w:rsid w:val="00205A70"/>
    <w:rsid w:val="002069BE"/>
    <w:rsid w:val="0020725F"/>
    <w:rsid w:val="002075C6"/>
    <w:rsid w:val="002077F6"/>
    <w:rsid w:val="00207E16"/>
    <w:rsid w:val="00210049"/>
    <w:rsid w:val="002102CD"/>
    <w:rsid w:val="002122E3"/>
    <w:rsid w:val="002127A8"/>
    <w:rsid w:val="00213532"/>
    <w:rsid w:val="002142DF"/>
    <w:rsid w:val="00214FAC"/>
    <w:rsid w:val="002153F7"/>
    <w:rsid w:val="00215BAE"/>
    <w:rsid w:val="00217363"/>
    <w:rsid w:val="002200DA"/>
    <w:rsid w:val="00221AB9"/>
    <w:rsid w:val="002233B2"/>
    <w:rsid w:val="00223800"/>
    <w:rsid w:val="00223FE8"/>
    <w:rsid w:val="00224379"/>
    <w:rsid w:val="002245FF"/>
    <w:rsid w:val="002247D1"/>
    <w:rsid w:val="00224D2B"/>
    <w:rsid w:val="002256C7"/>
    <w:rsid w:val="00225E2D"/>
    <w:rsid w:val="002262F2"/>
    <w:rsid w:val="0022773E"/>
    <w:rsid w:val="00227A6C"/>
    <w:rsid w:val="00227B27"/>
    <w:rsid w:val="00227C08"/>
    <w:rsid w:val="00231E2D"/>
    <w:rsid w:val="002328F8"/>
    <w:rsid w:val="00232B5C"/>
    <w:rsid w:val="00232E1A"/>
    <w:rsid w:val="00232E71"/>
    <w:rsid w:val="00233107"/>
    <w:rsid w:val="002346AE"/>
    <w:rsid w:val="00235E9D"/>
    <w:rsid w:val="00236636"/>
    <w:rsid w:val="0023669A"/>
    <w:rsid w:val="00236D31"/>
    <w:rsid w:val="002374AF"/>
    <w:rsid w:val="00240B52"/>
    <w:rsid w:val="0024125A"/>
    <w:rsid w:val="00241B01"/>
    <w:rsid w:val="0024342C"/>
    <w:rsid w:val="00244964"/>
    <w:rsid w:val="00244BEB"/>
    <w:rsid w:val="00245D50"/>
    <w:rsid w:val="002477B1"/>
    <w:rsid w:val="002479C1"/>
    <w:rsid w:val="00247C45"/>
    <w:rsid w:val="00251B41"/>
    <w:rsid w:val="00252D81"/>
    <w:rsid w:val="00253C5C"/>
    <w:rsid w:val="0025483C"/>
    <w:rsid w:val="00256E33"/>
    <w:rsid w:val="002575D3"/>
    <w:rsid w:val="002578AE"/>
    <w:rsid w:val="00257C5E"/>
    <w:rsid w:val="0026055E"/>
    <w:rsid w:val="0026059C"/>
    <w:rsid w:val="0026150C"/>
    <w:rsid w:val="00262300"/>
    <w:rsid w:val="002625AC"/>
    <w:rsid w:val="002625FD"/>
    <w:rsid w:val="00263836"/>
    <w:rsid w:val="002648CA"/>
    <w:rsid w:val="00265DE5"/>
    <w:rsid w:val="002668D6"/>
    <w:rsid w:val="002669B4"/>
    <w:rsid w:val="00267CEF"/>
    <w:rsid w:val="002718EC"/>
    <w:rsid w:val="00271FC0"/>
    <w:rsid w:val="0027234D"/>
    <w:rsid w:val="00272446"/>
    <w:rsid w:val="00272FC9"/>
    <w:rsid w:val="00273561"/>
    <w:rsid w:val="00273CA9"/>
    <w:rsid w:val="00273EF7"/>
    <w:rsid w:val="002753D9"/>
    <w:rsid w:val="002755A9"/>
    <w:rsid w:val="00275CF5"/>
    <w:rsid w:val="00275D12"/>
    <w:rsid w:val="00275ED1"/>
    <w:rsid w:val="00277823"/>
    <w:rsid w:val="002807C1"/>
    <w:rsid w:val="00281012"/>
    <w:rsid w:val="002819A1"/>
    <w:rsid w:val="00281B6C"/>
    <w:rsid w:val="00282339"/>
    <w:rsid w:val="00282837"/>
    <w:rsid w:val="0028301F"/>
    <w:rsid w:val="00285017"/>
    <w:rsid w:val="00286455"/>
    <w:rsid w:val="0028731B"/>
    <w:rsid w:val="00287631"/>
    <w:rsid w:val="002878FE"/>
    <w:rsid w:val="002914BF"/>
    <w:rsid w:val="00292166"/>
    <w:rsid w:val="00292183"/>
    <w:rsid w:val="00292B19"/>
    <w:rsid w:val="00292FB6"/>
    <w:rsid w:val="0029338B"/>
    <w:rsid w:val="00293AE8"/>
    <w:rsid w:val="00294A51"/>
    <w:rsid w:val="00294D44"/>
    <w:rsid w:val="00295F75"/>
    <w:rsid w:val="00296830"/>
    <w:rsid w:val="00297827"/>
    <w:rsid w:val="002A0A65"/>
    <w:rsid w:val="002A0CF2"/>
    <w:rsid w:val="002A0D28"/>
    <w:rsid w:val="002A2658"/>
    <w:rsid w:val="002A2B73"/>
    <w:rsid w:val="002A2D2E"/>
    <w:rsid w:val="002A3852"/>
    <w:rsid w:val="002A3857"/>
    <w:rsid w:val="002A41EA"/>
    <w:rsid w:val="002A5121"/>
    <w:rsid w:val="002A519A"/>
    <w:rsid w:val="002A7D1F"/>
    <w:rsid w:val="002A7FE4"/>
    <w:rsid w:val="002B123A"/>
    <w:rsid w:val="002B140C"/>
    <w:rsid w:val="002B15D3"/>
    <w:rsid w:val="002B1D30"/>
    <w:rsid w:val="002B2AEE"/>
    <w:rsid w:val="002B3548"/>
    <w:rsid w:val="002B37B1"/>
    <w:rsid w:val="002B41C5"/>
    <w:rsid w:val="002B473E"/>
    <w:rsid w:val="002B4A1C"/>
    <w:rsid w:val="002B5752"/>
    <w:rsid w:val="002B5E72"/>
    <w:rsid w:val="002B6837"/>
    <w:rsid w:val="002B73EC"/>
    <w:rsid w:val="002C00E8"/>
    <w:rsid w:val="002C021B"/>
    <w:rsid w:val="002C0387"/>
    <w:rsid w:val="002C0DE5"/>
    <w:rsid w:val="002C0F8B"/>
    <w:rsid w:val="002C1F16"/>
    <w:rsid w:val="002C2148"/>
    <w:rsid w:val="002C375A"/>
    <w:rsid w:val="002C3A7A"/>
    <w:rsid w:val="002C3F72"/>
    <w:rsid w:val="002C5C4E"/>
    <w:rsid w:val="002C5F73"/>
    <w:rsid w:val="002C7CA3"/>
    <w:rsid w:val="002D1BE0"/>
    <w:rsid w:val="002D221E"/>
    <w:rsid w:val="002D2B75"/>
    <w:rsid w:val="002D39B4"/>
    <w:rsid w:val="002D3B56"/>
    <w:rsid w:val="002D3BAD"/>
    <w:rsid w:val="002D48B4"/>
    <w:rsid w:val="002D5CDA"/>
    <w:rsid w:val="002D63B7"/>
    <w:rsid w:val="002D6522"/>
    <w:rsid w:val="002D6AC3"/>
    <w:rsid w:val="002D6DEA"/>
    <w:rsid w:val="002D75AC"/>
    <w:rsid w:val="002D79C0"/>
    <w:rsid w:val="002E059A"/>
    <w:rsid w:val="002E0777"/>
    <w:rsid w:val="002E0B0F"/>
    <w:rsid w:val="002E345D"/>
    <w:rsid w:val="002E4741"/>
    <w:rsid w:val="002E4F15"/>
    <w:rsid w:val="002E5190"/>
    <w:rsid w:val="002E5CB7"/>
    <w:rsid w:val="002E5FA6"/>
    <w:rsid w:val="002E626B"/>
    <w:rsid w:val="002E673E"/>
    <w:rsid w:val="002E6B19"/>
    <w:rsid w:val="002E73F7"/>
    <w:rsid w:val="002E7D62"/>
    <w:rsid w:val="002F09ED"/>
    <w:rsid w:val="002F1A85"/>
    <w:rsid w:val="002F1C38"/>
    <w:rsid w:val="002F3077"/>
    <w:rsid w:val="002F36FB"/>
    <w:rsid w:val="002F551A"/>
    <w:rsid w:val="002F5810"/>
    <w:rsid w:val="002F6050"/>
    <w:rsid w:val="002F65B2"/>
    <w:rsid w:val="002F68E7"/>
    <w:rsid w:val="002F6CF9"/>
    <w:rsid w:val="002F6DBC"/>
    <w:rsid w:val="002F7372"/>
    <w:rsid w:val="002F76CC"/>
    <w:rsid w:val="00300760"/>
    <w:rsid w:val="003007A4"/>
    <w:rsid w:val="00301084"/>
    <w:rsid w:val="00301F57"/>
    <w:rsid w:val="003020CE"/>
    <w:rsid w:val="00302192"/>
    <w:rsid w:val="00302495"/>
    <w:rsid w:val="00302F5B"/>
    <w:rsid w:val="00303F51"/>
    <w:rsid w:val="003041E6"/>
    <w:rsid w:val="00305513"/>
    <w:rsid w:val="003066BF"/>
    <w:rsid w:val="00306DBB"/>
    <w:rsid w:val="00307323"/>
    <w:rsid w:val="003075AF"/>
    <w:rsid w:val="00307675"/>
    <w:rsid w:val="00307DA7"/>
    <w:rsid w:val="00310C38"/>
    <w:rsid w:val="00310DB5"/>
    <w:rsid w:val="00310EAA"/>
    <w:rsid w:val="00311205"/>
    <w:rsid w:val="0031135A"/>
    <w:rsid w:val="00311D7A"/>
    <w:rsid w:val="003123C4"/>
    <w:rsid w:val="00312A70"/>
    <w:rsid w:val="00312F40"/>
    <w:rsid w:val="003138D5"/>
    <w:rsid w:val="00313A6E"/>
    <w:rsid w:val="00314531"/>
    <w:rsid w:val="0031464E"/>
    <w:rsid w:val="003158C1"/>
    <w:rsid w:val="0031778C"/>
    <w:rsid w:val="00317DBA"/>
    <w:rsid w:val="00317EA1"/>
    <w:rsid w:val="00317EC0"/>
    <w:rsid w:val="00320BA4"/>
    <w:rsid w:val="00321184"/>
    <w:rsid w:val="00321545"/>
    <w:rsid w:val="00321DD3"/>
    <w:rsid w:val="0032209C"/>
    <w:rsid w:val="00322E37"/>
    <w:rsid w:val="0032787E"/>
    <w:rsid w:val="003304A8"/>
    <w:rsid w:val="00330FA6"/>
    <w:rsid w:val="003330FD"/>
    <w:rsid w:val="00333940"/>
    <w:rsid w:val="003346FA"/>
    <w:rsid w:val="0033478B"/>
    <w:rsid w:val="00334C02"/>
    <w:rsid w:val="00334DBF"/>
    <w:rsid w:val="00334F5A"/>
    <w:rsid w:val="003359F0"/>
    <w:rsid w:val="00335EC5"/>
    <w:rsid w:val="00335F46"/>
    <w:rsid w:val="00336376"/>
    <w:rsid w:val="00337444"/>
    <w:rsid w:val="00340371"/>
    <w:rsid w:val="00340567"/>
    <w:rsid w:val="003406A0"/>
    <w:rsid w:val="003414E9"/>
    <w:rsid w:val="003423AF"/>
    <w:rsid w:val="00342A68"/>
    <w:rsid w:val="00342D79"/>
    <w:rsid w:val="00342E84"/>
    <w:rsid w:val="00343140"/>
    <w:rsid w:val="00343749"/>
    <w:rsid w:val="00343C53"/>
    <w:rsid w:val="00343ED8"/>
    <w:rsid w:val="0034402C"/>
    <w:rsid w:val="00344521"/>
    <w:rsid w:val="00344937"/>
    <w:rsid w:val="00344F1C"/>
    <w:rsid w:val="003452C3"/>
    <w:rsid w:val="00347000"/>
    <w:rsid w:val="003471CC"/>
    <w:rsid w:val="00347F91"/>
    <w:rsid w:val="00351F23"/>
    <w:rsid w:val="00352D89"/>
    <w:rsid w:val="00353685"/>
    <w:rsid w:val="0035394D"/>
    <w:rsid w:val="0035499B"/>
    <w:rsid w:val="00354C80"/>
    <w:rsid w:val="00355056"/>
    <w:rsid w:val="0035574D"/>
    <w:rsid w:val="00356B5C"/>
    <w:rsid w:val="0035783F"/>
    <w:rsid w:val="00357871"/>
    <w:rsid w:val="00357A86"/>
    <w:rsid w:val="003614BA"/>
    <w:rsid w:val="00362197"/>
    <w:rsid w:val="00362B8C"/>
    <w:rsid w:val="0036324C"/>
    <w:rsid w:val="003638CB"/>
    <w:rsid w:val="003641BD"/>
    <w:rsid w:val="00364518"/>
    <w:rsid w:val="00365646"/>
    <w:rsid w:val="00365658"/>
    <w:rsid w:val="003660ED"/>
    <w:rsid w:val="0036722E"/>
    <w:rsid w:val="00367DA1"/>
    <w:rsid w:val="00370886"/>
    <w:rsid w:val="00370EBC"/>
    <w:rsid w:val="0037165B"/>
    <w:rsid w:val="00375761"/>
    <w:rsid w:val="00376B30"/>
    <w:rsid w:val="00381527"/>
    <w:rsid w:val="00382484"/>
    <w:rsid w:val="0038257E"/>
    <w:rsid w:val="003835D6"/>
    <w:rsid w:val="003843DD"/>
    <w:rsid w:val="003853DD"/>
    <w:rsid w:val="003860EF"/>
    <w:rsid w:val="00386578"/>
    <w:rsid w:val="00386998"/>
    <w:rsid w:val="00387066"/>
    <w:rsid w:val="0038792C"/>
    <w:rsid w:val="00387DA8"/>
    <w:rsid w:val="00387F84"/>
    <w:rsid w:val="00390CBB"/>
    <w:rsid w:val="00391866"/>
    <w:rsid w:val="00391E1F"/>
    <w:rsid w:val="003921B6"/>
    <w:rsid w:val="00393A1D"/>
    <w:rsid w:val="00394084"/>
    <w:rsid w:val="00395710"/>
    <w:rsid w:val="003968D7"/>
    <w:rsid w:val="00396AA6"/>
    <w:rsid w:val="00396E4A"/>
    <w:rsid w:val="0039729C"/>
    <w:rsid w:val="003A0AC1"/>
    <w:rsid w:val="003A140E"/>
    <w:rsid w:val="003A15A1"/>
    <w:rsid w:val="003A1C6C"/>
    <w:rsid w:val="003A1D2F"/>
    <w:rsid w:val="003A223A"/>
    <w:rsid w:val="003A2840"/>
    <w:rsid w:val="003A2A52"/>
    <w:rsid w:val="003A2EB8"/>
    <w:rsid w:val="003A36E6"/>
    <w:rsid w:val="003A4ED3"/>
    <w:rsid w:val="003A4F7E"/>
    <w:rsid w:val="003A6CDE"/>
    <w:rsid w:val="003B0388"/>
    <w:rsid w:val="003B0485"/>
    <w:rsid w:val="003B0550"/>
    <w:rsid w:val="003B0A9D"/>
    <w:rsid w:val="003B163A"/>
    <w:rsid w:val="003B17D3"/>
    <w:rsid w:val="003B1A9D"/>
    <w:rsid w:val="003B2024"/>
    <w:rsid w:val="003B2D69"/>
    <w:rsid w:val="003B440D"/>
    <w:rsid w:val="003B460A"/>
    <w:rsid w:val="003B5090"/>
    <w:rsid w:val="003B50B7"/>
    <w:rsid w:val="003B6447"/>
    <w:rsid w:val="003B694F"/>
    <w:rsid w:val="003B6E14"/>
    <w:rsid w:val="003B70CC"/>
    <w:rsid w:val="003B7EB1"/>
    <w:rsid w:val="003C0091"/>
    <w:rsid w:val="003C0CA2"/>
    <w:rsid w:val="003C153C"/>
    <w:rsid w:val="003C15FA"/>
    <w:rsid w:val="003C1647"/>
    <w:rsid w:val="003C17CF"/>
    <w:rsid w:val="003C182E"/>
    <w:rsid w:val="003C19DE"/>
    <w:rsid w:val="003C29DE"/>
    <w:rsid w:val="003C34A0"/>
    <w:rsid w:val="003C350D"/>
    <w:rsid w:val="003C39A5"/>
    <w:rsid w:val="003C3B1E"/>
    <w:rsid w:val="003C48A0"/>
    <w:rsid w:val="003C4EC4"/>
    <w:rsid w:val="003C583A"/>
    <w:rsid w:val="003C6BF1"/>
    <w:rsid w:val="003C6CC0"/>
    <w:rsid w:val="003C73DF"/>
    <w:rsid w:val="003C7EFF"/>
    <w:rsid w:val="003D0066"/>
    <w:rsid w:val="003D232A"/>
    <w:rsid w:val="003D24BD"/>
    <w:rsid w:val="003D25E3"/>
    <w:rsid w:val="003D2A90"/>
    <w:rsid w:val="003D3574"/>
    <w:rsid w:val="003D3A9C"/>
    <w:rsid w:val="003D4A19"/>
    <w:rsid w:val="003D53A5"/>
    <w:rsid w:val="003D5DC6"/>
    <w:rsid w:val="003E018C"/>
    <w:rsid w:val="003E0C18"/>
    <w:rsid w:val="003E0DE6"/>
    <w:rsid w:val="003E0EA8"/>
    <w:rsid w:val="003E1690"/>
    <w:rsid w:val="003E295F"/>
    <w:rsid w:val="003E2EB3"/>
    <w:rsid w:val="003E3D3B"/>
    <w:rsid w:val="003E3FB8"/>
    <w:rsid w:val="003E52D0"/>
    <w:rsid w:val="003E5896"/>
    <w:rsid w:val="003E5AFE"/>
    <w:rsid w:val="003E5AFF"/>
    <w:rsid w:val="003E6561"/>
    <w:rsid w:val="003F00A2"/>
    <w:rsid w:val="003F0A22"/>
    <w:rsid w:val="003F0FD1"/>
    <w:rsid w:val="003F10FB"/>
    <w:rsid w:val="003F171C"/>
    <w:rsid w:val="003F20BB"/>
    <w:rsid w:val="003F248A"/>
    <w:rsid w:val="003F3FAE"/>
    <w:rsid w:val="003F4AFF"/>
    <w:rsid w:val="003F4BCC"/>
    <w:rsid w:val="003F78BC"/>
    <w:rsid w:val="003F798E"/>
    <w:rsid w:val="00400601"/>
    <w:rsid w:val="00400EAE"/>
    <w:rsid w:val="00402348"/>
    <w:rsid w:val="004026EF"/>
    <w:rsid w:val="0040285A"/>
    <w:rsid w:val="00402C49"/>
    <w:rsid w:val="0040393D"/>
    <w:rsid w:val="004039CF"/>
    <w:rsid w:val="004048AB"/>
    <w:rsid w:val="0040499A"/>
    <w:rsid w:val="00404E73"/>
    <w:rsid w:val="00405018"/>
    <w:rsid w:val="00405925"/>
    <w:rsid w:val="0040596B"/>
    <w:rsid w:val="0040696F"/>
    <w:rsid w:val="004078EB"/>
    <w:rsid w:val="00410ADD"/>
    <w:rsid w:val="00411492"/>
    <w:rsid w:val="0041234C"/>
    <w:rsid w:val="00412553"/>
    <w:rsid w:val="004129DF"/>
    <w:rsid w:val="00412F99"/>
    <w:rsid w:val="00412FC5"/>
    <w:rsid w:val="0041391A"/>
    <w:rsid w:val="0041636B"/>
    <w:rsid w:val="00416FF5"/>
    <w:rsid w:val="00420250"/>
    <w:rsid w:val="004207D7"/>
    <w:rsid w:val="00420903"/>
    <w:rsid w:val="00421221"/>
    <w:rsid w:val="00422276"/>
    <w:rsid w:val="0042306E"/>
    <w:rsid w:val="004230E3"/>
    <w:rsid w:val="00423744"/>
    <w:rsid w:val="004242F1"/>
    <w:rsid w:val="0042457B"/>
    <w:rsid w:val="0042485B"/>
    <w:rsid w:val="00426A77"/>
    <w:rsid w:val="00426DA2"/>
    <w:rsid w:val="00427973"/>
    <w:rsid w:val="004306EF"/>
    <w:rsid w:val="00430792"/>
    <w:rsid w:val="00430DF2"/>
    <w:rsid w:val="00431152"/>
    <w:rsid w:val="0043165E"/>
    <w:rsid w:val="00432030"/>
    <w:rsid w:val="0043363B"/>
    <w:rsid w:val="004337D7"/>
    <w:rsid w:val="00434493"/>
    <w:rsid w:val="00434DAD"/>
    <w:rsid w:val="00435410"/>
    <w:rsid w:val="00435FD9"/>
    <w:rsid w:val="0043626C"/>
    <w:rsid w:val="004367CE"/>
    <w:rsid w:val="004367CF"/>
    <w:rsid w:val="0044030B"/>
    <w:rsid w:val="004406B7"/>
    <w:rsid w:val="00441B2E"/>
    <w:rsid w:val="00441D47"/>
    <w:rsid w:val="004424DC"/>
    <w:rsid w:val="0044393F"/>
    <w:rsid w:val="00444D5F"/>
    <w:rsid w:val="00445A00"/>
    <w:rsid w:val="00445AE9"/>
    <w:rsid w:val="00445CF4"/>
    <w:rsid w:val="004461FC"/>
    <w:rsid w:val="00446F03"/>
    <w:rsid w:val="0044714B"/>
    <w:rsid w:val="00447AC3"/>
    <w:rsid w:val="00447E8B"/>
    <w:rsid w:val="00450B24"/>
    <w:rsid w:val="00450D22"/>
    <w:rsid w:val="004517D8"/>
    <w:rsid w:val="00451A4A"/>
    <w:rsid w:val="00451B0F"/>
    <w:rsid w:val="00451D6A"/>
    <w:rsid w:val="004525ED"/>
    <w:rsid w:val="00452912"/>
    <w:rsid w:val="00453D65"/>
    <w:rsid w:val="0045495D"/>
    <w:rsid w:val="00455CE3"/>
    <w:rsid w:val="004567E1"/>
    <w:rsid w:val="00456F96"/>
    <w:rsid w:val="004604EE"/>
    <w:rsid w:val="0046086F"/>
    <w:rsid w:val="00461015"/>
    <w:rsid w:val="004611AB"/>
    <w:rsid w:val="00461303"/>
    <w:rsid w:val="0046182E"/>
    <w:rsid w:val="0046252B"/>
    <w:rsid w:val="00463B64"/>
    <w:rsid w:val="00463CE7"/>
    <w:rsid w:val="00464E0D"/>
    <w:rsid w:val="00465F63"/>
    <w:rsid w:val="004661F6"/>
    <w:rsid w:val="00466AA6"/>
    <w:rsid w:val="00466E50"/>
    <w:rsid w:val="00467C7F"/>
    <w:rsid w:val="004706A9"/>
    <w:rsid w:val="0047231A"/>
    <w:rsid w:val="0047237D"/>
    <w:rsid w:val="00473193"/>
    <w:rsid w:val="00473389"/>
    <w:rsid w:val="00474557"/>
    <w:rsid w:val="00475407"/>
    <w:rsid w:val="00475A17"/>
    <w:rsid w:val="00477CF9"/>
    <w:rsid w:val="00480610"/>
    <w:rsid w:val="00482118"/>
    <w:rsid w:val="004840EF"/>
    <w:rsid w:val="00484F6A"/>
    <w:rsid w:val="00485480"/>
    <w:rsid w:val="0048614E"/>
    <w:rsid w:val="00487240"/>
    <w:rsid w:val="004908FB"/>
    <w:rsid w:val="00493721"/>
    <w:rsid w:val="004941E4"/>
    <w:rsid w:val="00494B3E"/>
    <w:rsid w:val="004956E9"/>
    <w:rsid w:val="00495980"/>
    <w:rsid w:val="00495A5C"/>
    <w:rsid w:val="00495B75"/>
    <w:rsid w:val="00495BB7"/>
    <w:rsid w:val="004962AD"/>
    <w:rsid w:val="00496891"/>
    <w:rsid w:val="00497F7C"/>
    <w:rsid w:val="004A04CB"/>
    <w:rsid w:val="004A0A74"/>
    <w:rsid w:val="004A0D98"/>
    <w:rsid w:val="004A1B8B"/>
    <w:rsid w:val="004A33C2"/>
    <w:rsid w:val="004A3687"/>
    <w:rsid w:val="004A51A7"/>
    <w:rsid w:val="004A5328"/>
    <w:rsid w:val="004A5976"/>
    <w:rsid w:val="004A77FA"/>
    <w:rsid w:val="004A7DF3"/>
    <w:rsid w:val="004A7E51"/>
    <w:rsid w:val="004B00F6"/>
    <w:rsid w:val="004B152D"/>
    <w:rsid w:val="004B1AD2"/>
    <w:rsid w:val="004B21A4"/>
    <w:rsid w:val="004B223E"/>
    <w:rsid w:val="004B2A3B"/>
    <w:rsid w:val="004B2C97"/>
    <w:rsid w:val="004B32FD"/>
    <w:rsid w:val="004B43B6"/>
    <w:rsid w:val="004B46C5"/>
    <w:rsid w:val="004B47C1"/>
    <w:rsid w:val="004B4FFB"/>
    <w:rsid w:val="004B54E7"/>
    <w:rsid w:val="004B66DD"/>
    <w:rsid w:val="004B6CCF"/>
    <w:rsid w:val="004B72B7"/>
    <w:rsid w:val="004B7430"/>
    <w:rsid w:val="004B793C"/>
    <w:rsid w:val="004B7980"/>
    <w:rsid w:val="004B7ED4"/>
    <w:rsid w:val="004C1BE3"/>
    <w:rsid w:val="004C1DED"/>
    <w:rsid w:val="004C21E9"/>
    <w:rsid w:val="004C294E"/>
    <w:rsid w:val="004C29AB"/>
    <w:rsid w:val="004C2EE3"/>
    <w:rsid w:val="004C394C"/>
    <w:rsid w:val="004C3B0C"/>
    <w:rsid w:val="004C4ACA"/>
    <w:rsid w:val="004C51F6"/>
    <w:rsid w:val="004C55BD"/>
    <w:rsid w:val="004C5700"/>
    <w:rsid w:val="004C5BA3"/>
    <w:rsid w:val="004C6166"/>
    <w:rsid w:val="004C7A01"/>
    <w:rsid w:val="004D0A80"/>
    <w:rsid w:val="004D20DF"/>
    <w:rsid w:val="004D354A"/>
    <w:rsid w:val="004D4308"/>
    <w:rsid w:val="004D5EC7"/>
    <w:rsid w:val="004D603F"/>
    <w:rsid w:val="004D65D5"/>
    <w:rsid w:val="004D6F9C"/>
    <w:rsid w:val="004D713E"/>
    <w:rsid w:val="004D73C2"/>
    <w:rsid w:val="004D78C0"/>
    <w:rsid w:val="004D7B9C"/>
    <w:rsid w:val="004D7D4E"/>
    <w:rsid w:val="004E005D"/>
    <w:rsid w:val="004E11AF"/>
    <w:rsid w:val="004E18B8"/>
    <w:rsid w:val="004E2459"/>
    <w:rsid w:val="004E4318"/>
    <w:rsid w:val="004E44AD"/>
    <w:rsid w:val="004E4A22"/>
    <w:rsid w:val="004E4C96"/>
    <w:rsid w:val="004E5645"/>
    <w:rsid w:val="004E6E6D"/>
    <w:rsid w:val="004F083E"/>
    <w:rsid w:val="004F0F86"/>
    <w:rsid w:val="004F194D"/>
    <w:rsid w:val="004F2572"/>
    <w:rsid w:val="004F28DB"/>
    <w:rsid w:val="004F4F3A"/>
    <w:rsid w:val="004F730C"/>
    <w:rsid w:val="004F7327"/>
    <w:rsid w:val="004F745D"/>
    <w:rsid w:val="005010EA"/>
    <w:rsid w:val="005013A8"/>
    <w:rsid w:val="005015B6"/>
    <w:rsid w:val="0050182F"/>
    <w:rsid w:val="00503D7D"/>
    <w:rsid w:val="005054D1"/>
    <w:rsid w:val="00507173"/>
    <w:rsid w:val="005117EB"/>
    <w:rsid w:val="0051195D"/>
    <w:rsid w:val="00511968"/>
    <w:rsid w:val="00511B6C"/>
    <w:rsid w:val="00512A21"/>
    <w:rsid w:val="00512F10"/>
    <w:rsid w:val="005139F4"/>
    <w:rsid w:val="00513A6F"/>
    <w:rsid w:val="0051412D"/>
    <w:rsid w:val="00514D98"/>
    <w:rsid w:val="00515ADF"/>
    <w:rsid w:val="005168B4"/>
    <w:rsid w:val="005172EC"/>
    <w:rsid w:val="00517E22"/>
    <w:rsid w:val="00521A07"/>
    <w:rsid w:val="00522EE5"/>
    <w:rsid w:val="0052323A"/>
    <w:rsid w:val="00523B4C"/>
    <w:rsid w:val="005241FD"/>
    <w:rsid w:val="00525134"/>
    <w:rsid w:val="00525EAD"/>
    <w:rsid w:val="005265EB"/>
    <w:rsid w:val="00526A34"/>
    <w:rsid w:val="00527458"/>
    <w:rsid w:val="005279B9"/>
    <w:rsid w:val="00527FB6"/>
    <w:rsid w:val="00531AD6"/>
    <w:rsid w:val="005322FF"/>
    <w:rsid w:val="00532550"/>
    <w:rsid w:val="00533895"/>
    <w:rsid w:val="00533F8B"/>
    <w:rsid w:val="00534B18"/>
    <w:rsid w:val="00534E88"/>
    <w:rsid w:val="005354F5"/>
    <w:rsid w:val="00535925"/>
    <w:rsid w:val="00535CEC"/>
    <w:rsid w:val="00535DB3"/>
    <w:rsid w:val="0053674C"/>
    <w:rsid w:val="0053786D"/>
    <w:rsid w:val="00537E1B"/>
    <w:rsid w:val="00540100"/>
    <w:rsid w:val="00541643"/>
    <w:rsid w:val="0054184E"/>
    <w:rsid w:val="00542190"/>
    <w:rsid w:val="00542A30"/>
    <w:rsid w:val="00542D50"/>
    <w:rsid w:val="00542E74"/>
    <w:rsid w:val="005437CD"/>
    <w:rsid w:val="00543E92"/>
    <w:rsid w:val="00544449"/>
    <w:rsid w:val="00544451"/>
    <w:rsid w:val="005444D1"/>
    <w:rsid w:val="00544C1B"/>
    <w:rsid w:val="00545169"/>
    <w:rsid w:val="0054614C"/>
    <w:rsid w:val="005465FF"/>
    <w:rsid w:val="005466CB"/>
    <w:rsid w:val="0054742D"/>
    <w:rsid w:val="005475CA"/>
    <w:rsid w:val="005502C9"/>
    <w:rsid w:val="005504A6"/>
    <w:rsid w:val="005504DC"/>
    <w:rsid w:val="00550DC9"/>
    <w:rsid w:val="00552999"/>
    <w:rsid w:val="00552A3D"/>
    <w:rsid w:val="00553E37"/>
    <w:rsid w:val="00553F60"/>
    <w:rsid w:val="0055520D"/>
    <w:rsid w:val="005552F4"/>
    <w:rsid w:val="00555447"/>
    <w:rsid w:val="0055614C"/>
    <w:rsid w:val="005579FD"/>
    <w:rsid w:val="0056036C"/>
    <w:rsid w:val="005609E5"/>
    <w:rsid w:val="00560BA0"/>
    <w:rsid w:val="00561490"/>
    <w:rsid w:val="005615BE"/>
    <w:rsid w:val="00561601"/>
    <w:rsid w:val="005622D9"/>
    <w:rsid w:val="00562C92"/>
    <w:rsid w:val="00562E2C"/>
    <w:rsid w:val="00564261"/>
    <w:rsid w:val="00566D06"/>
    <w:rsid w:val="0056723C"/>
    <w:rsid w:val="00567939"/>
    <w:rsid w:val="0057054B"/>
    <w:rsid w:val="00570FA7"/>
    <w:rsid w:val="00572778"/>
    <w:rsid w:val="00572BCF"/>
    <w:rsid w:val="00572ED8"/>
    <w:rsid w:val="00574FCE"/>
    <w:rsid w:val="005765A0"/>
    <w:rsid w:val="00580373"/>
    <w:rsid w:val="0058163C"/>
    <w:rsid w:val="005835C4"/>
    <w:rsid w:val="00585612"/>
    <w:rsid w:val="00586401"/>
    <w:rsid w:val="005865A9"/>
    <w:rsid w:val="005866D5"/>
    <w:rsid w:val="00587A8F"/>
    <w:rsid w:val="00587AEA"/>
    <w:rsid w:val="00590690"/>
    <w:rsid w:val="00590815"/>
    <w:rsid w:val="00590FB5"/>
    <w:rsid w:val="00591925"/>
    <w:rsid w:val="00592260"/>
    <w:rsid w:val="0059298F"/>
    <w:rsid w:val="00593C53"/>
    <w:rsid w:val="00594159"/>
    <w:rsid w:val="005966C0"/>
    <w:rsid w:val="00596A21"/>
    <w:rsid w:val="00597245"/>
    <w:rsid w:val="0059767A"/>
    <w:rsid w:val="005A0B24"/>
    <w:rsid w:val="005A14DE"/>
    <w:rsid w:val="005A1519"/>
    <w:rsid w:val="005A2D05"/>
    <w:rsid w:val="005A3690"/>
    <w:rsid w:val="005A4434"/>
    <w:rsid w:val="005A5464"/>
    <w:rsid w:val="005A6D7C"/>
    <w:rsid w:val="005A6DCB"/>
    <w:rsid w:val="005A6F7F"/>
    <w:rsid w:val="005A79AA"/>
    <w:rsid w:val="005B14C1"/>
    <w:rsid w:val="005B17D8"/>
    <w:rsid w:val="005B2E90"/>
    <w:rsid w:val="005B3C11"/>
    <w:rsid w:val="005B5018"/>
    <w:rsid w:val="005B5CCE"/>
    <w:rsid w:val="005B6396"/>
    <w:rsid w:val="005B70AF"/>
    <w:rsid w:val="005B77B3"/>
    <w:rsid w:val="005B7AB2"/>
    <w:rsid w:val="005C021C"/>
    <w:rsid w:val="005C1052"/>
    <w:rsid w:val="005C1EAC"/>
    <w:rsid w:val="005C22D0"/>
    <w:rsid w:val="005C395E"/>
    <w:rsid w:val="005C51A6"/>
    <w:rsid w:val="005C5E65"/>
    <w:rsid w:val="005C60EA"/>
    <w:rsid w:val="005C6CF1"/>
    <w:rsid w:val="005C72B2"/>
    <w:rsid w:val="005C74CA"/>
    <w:rsid w:val="005C7C1C"/>
    <w:rsid w:val="005D01A7"/>
    <w:rsid w:val="005D121F"/>
    <w:rsid w:val="005D2780"/>
    <w:rsid w:val="005D49E0"/>
    <w:rsid w:val="005D5725"/>
    <w:rsid w:val="005D5CCC"/>
    <w:rsid w:val="005D5D37"/>
    <w:rsid w:val="005D622C"/>
    <w:rsid w:val="005D7B04"/>
    <w:rsid w:val="005D7D07"/>
    <w:rsid w:val="005E00DC"/>
    <w:rsid w:val="005E0B91"/>
    <w:rsid w:val="005E1285"/>
    <w:rsid w:val="005E14C2"/>
    <w:rsid w:val="005E1A39"/>
    <w:rsid w:val="005E1A63"/>
    <w:rsid w:val="005E1F5A"/>
    <w:rsid w:val="005E2A50"/>
    <w:rsid w:val="005E2B2C"/>
    <w:rsid w:val="005E3336"/>
    <w:rsid w:val="005E4DA9"/>
    <w:rsid w:val="005E527F"/>
    <w:rsid w:val="005E6E2A"/>
    <w:rsid w:val="005E7ADA"/>
    <w:rsid w:val="005E7E8C"/>
    <w:rsid w:val="005F1533"/>
    <w:rsid w:val="005F2912"/>
    <w:rsid w:val="005F4472"/>
    <w:rsid w:val="005F4BF6"/>
    <w:rsid w:val="005F561E"/>
    <w:rsid w:val="005F65DE"/>
    <w:rsid w:val="005F6A45"/>
    <w:rsid w:val="005F777B"/>
    <w:rsid w:val="005F7A72"/>
    <w:rsid w:val="005F7C6D"/>
    <w:rsid w:val="00601275"/>
    <w:rsid w:val="0060187B"/>
    <w:rsid w:val="00602FA1"/>
    <w:rsid w:val="006036A0"/>
    <w:rsid w:val="00604031"/>
    <w:rsid w:val="00604192"/>
    <w:rsid w:val="00604874"/>
    <w:rsid w:val="00605998"/>
    <w:rsid w:val="00605A66"/>
    <w:rsid w:val="00605ECA"/>
    <w:rsid w:val="006074AA"/>
    <w:rsid w:val="00607B7D"/>
    <w:rsid w:val="00607BA5"/>
    <w:rsid w:val="00607EAA"/>
    <w:rsid w:val="00607F81"/>
    <w:rsid w:val="00610104"/>
    <w:rsid w:val="00610EEB"/>
    <w:rsid w:val="0061142E"/>
    <w:rsid w:val="00611548"/>
    <w:rsid w:val="0061180A"/>
    <w:rsid w:val="00611B02"/>
    <w:rsid w:val="00613E29"/>
    <w:rsid w:val="00614268"/>
    <w:rsid w:val="006145DF"/>
    <w:rsid w:val="006147A8"/>
    <w:rsid w:val="006150FD"/>
    <w:rsid w:val="00615629"/>
    <w:rsid w:val="0061638B"/>
    <w:rsid w:val="00617387"/>
    <w:rsid w:val="00620397"/>
    <w:rsid w:val="00621A22"/>
    <w:rsid w:val="00622411"/>
    <w:rsid w:val="006225C4"/>
    <w:rsid w:val="006227F9"/>
    <w:rsid w:val="0062382B"/>
    <w:rsid w:val="006245A6"/>
    <w:rsid w:val="006248BE"/>
    <w:rsid w:val="00624B20"/>
    <w:rsid w:val="00626191"/>
    <w:rsid w:val="006261F1"/>
    <w:rsid w:val="00626982"/>
    <w:rsid w:val="00626EB6"/>
    <w:rsid w:val="00627BA4"/>
    <w:rsid w:val="00627C94"/>
    <w:rsid w:val="0063187A"/>
    <w:rsid w:val="00631B33"/>
    <w:rsid w:val="006322E0"/>
    <w:rsid w:val="006340FF"/>
    <w:rsid w:val="00634353"/>
    <w:rsid w:val="00634964"/>
    <w:rsid w:val="00635BB8"/>
    <w:rsid w:val="00636F4A"/>
    <w:rsid w:val="006407D6"/>
    <w:rsid w:val="0064090E"/>
    <w:rsid w:val="00644615"/>
    <w:rsid w:val="00652D3C"/>
    <w:rsid w:val="00654768"/>
    <w:rsid w:val="00655D03"/>
    <w:rsid w:val="00656E73"/>
    <w:rsid w:val="006578D3"/>
    <w:rsid w:val="00657CC4"/>
    <w:rsid w:val="00657CF7"/>
    <w:rsid w:val="006618B8"/>
    <w:rsid w:val="00661C0C"/>
    <w:rsid w:val="00663803"/>
    <w:rsid w:val="00663E3F"/>
    <w:rsid w:val="00663F3E"/>
    <w:rsid w:val="006641D7"/>
    <w:rsid w:val="0066537E"/>
    <w:rsid w:val="0066589E"/>
    <w:rsid w:val="00665A12"/>
    <w:rsid w:val="0066620A"/>
    <w:rsid w:val="00666571"/>
    <w:rsid w:val="0066769F"/>
    <w:rsid w:val="00670744"/>
    <w:rsid w:val="00670E1E"/>
    <w:rsid w:val="00670F95"/>
    <w:rsid w:val="0067139B"/>
    <w:rsid w:val="00671909"/>
    <w:rsid w:val="00671CE4"/>
    <w:rsid w:val="006724C5"/>
    <w:rsid w:val="00672521"/>
    <w:rsid w:val="006758D0"/>
    <w:rsid w:val="00676622"/>
    <w:rsid w:val="00676BEF"/>
    <w:rsid w:val="00677197"/>
    <w:rsid w:val="00677359"/>
    <w:rsid w:val="00677680"/>
    <w:rsid w:val="00681AA6"/>
    <w:rsid w:val="00681E3B"/>
    <w:rsid w:val="00683388"/>
    <w:rsid w:val="0068346D"/>
    <w:rsid w:val="00683778"/>
    <w:rsid w:val="00683AC0"/>
    <w:rsid w:val="00683F84"/>
    <w:rsid w:val="00685DCA"/>
    <w:rsid w:val="0068610A"/>
    <w:rsid w:val="006865C5"/>
    <w:rsid w:val="00687BD2"/>
    <w:rsid w:val="00687C61"/>
    <w:rsid w:val="00691E05"/>
    <w:rsid w:val="006933FA"/>
    <w:rsid w:val="00693EDD"/>
    <w:rsid w:val="0069543D"/>
    <w:rsid w:val="006954A2"/>
    <w:rsid w:val="00696E32"/>
    <w:rsid w:val="00697255"/>
    <w:rsid w:val="0069735D"/>
    <w:rsid w:val="006A0138"/>
    <w:rsid w:val="006A07B7"/>
    <w:rsid w:val="006A1EA2"/>
    <w:rsid w:val="006A2D18"/>
    <w:rsid w:val="006A3933"/>
    <w:rsid w:val="006A4335"/>
    <w:rsid w:val="006A4542"/>
    <w:rsid w:val="006A4A55"/>
    <w:rsid w:val="006A539C"/>
    <w:rsid w:val="006A564F"/>
    <w:rsid w:val="006A65B3"/>
    <w:rsid w:val="006A65C5"/>
    <w:rsid w:val="006A6642"/>
    <w:rsid w:val="006A6A81"/>
    <w:rsid w:val="006A6E08"/>
    <w:rsid w:val="006A7251"/>
    <w:rsid w:val="006A72FE"/>
    <w:rsid w:val="006B0238"/>
    <w:rsid w:val="006B15E7"/>
    <w:rsid w:val="006B21A0"/>
    <w:rsid w:val="006B3640"/>
    <w:rsid w:val="006B6BD4"/>
    <w:rsid w:val="006B74D3"/>
    <w:rsid w:val="006C024C"/>
    <w:rsid w:val="006C09D9"/>
    <w:rsid w:val="006C1A80"/>
    <w:rsid w:val="006C20DC"/>
    <w:rsid w:val="006C2CA4"/>
    <w:rsid w:val="006C4B8D"/>
    <w:rsid w:val="006C4DFE"/>
    <w:rsid w:val="006C5D9A"/>
    <w:rsid w:val="006C6139"/>
    <w:rsid w:val="006C6DAC"/>
    <w:rsid w:val="006C759D"/>
    <w:rsid w:val="006D074A"/>
    <w:rsid w:val="006D1D23"/>
    <w:rsid w:val="006D2D03"/>
    <w:rsid w:val="006D3479"/>
    <w:rsid w:val="006D5525"/>
    <w:rsid w:val="006D6039"/>
    <w:rsid w:val="006E062B"/>
    <w:rsid w:val="006E0721"/>
    <w:rsid w:val="006E1983"/>
    <w:rsid w:val="006E19B9"/>
    <w:rsid w:val="006E2633"/>
    <w:rsid w:val="006E2742"/>
    <w:rsid w:val="006E3BCF"/>
    <w:rsid w:val="006E5D56"/>
    <w:rsid w:val="006E61A7"/>
    <w:rsid w:val="006E69BE"/>
    <w:rsid w:val="006E77EE"/>
    <w:rsid w:val="006E7E7B"/>
    <w:rsid w:val="006F009B"/>
    <w:rsid w:val="006F040B"/>
    <w:rsid w:val="006F051E"/>
    <w:rsid w:val="006F3002"/>
    <w:rsid w:val="006F33F4"/>
    <w:rsid w:val="006F34C9"/>
    <w:rsid w:val="006F3541"/>
    <w:rsid w:val="006F3FE8"/>
    <w:rsid w:val="006F41DF"/>
    <w:rsid w:val="006F4B57"/>
    <w:rsid w:val="006F641F"/>
    <w:rsid w:val="006F67D9"/>
    <w:rsid w:val="006F6853"/>
    <w:rsid w:val="006F68B9"/>
    <w:rsid w:val="006F7393"/>
    <w:rsid w:val="006F760B"/>
    <w:rsid w:val="006F7DC5"/>
    <w:rsid w:val="00700562"/>
    <w:rsid w:val="00700E36"/>
    <w:rsid w:val="00701158"/>
    <w:rsid w:val="007018CD"/>
    <w:rsid w:val="0070224F"/>
    <w:rsid w:val="00702970"/>
    <w:rsid w:val="00702ADC"/>
    <w:rsid w:val="0070301C"/>
    <w:rsid w:val="00703D80"/>
    <w:rsid w:val="00703E99"/>
    <w:rsid w:val="0070412D"/>
    <w:rsid w:val="007054BD"/>
    <w:rsid w:val="007058A8"/>
    <w:rsid w:val="0071138F"/>
    <w:rsid w:val="007115F7"/>
    <w:rsid w:val="00711A4E"/>
    <w:rsid w:val="00712558"/>
    <w:rsid w:val="00712756"/>
    <w:rsid w:val="0071294C"/>
    <w:rsid w:val="00712ABC"/>
    <w:rsid w:val="00713AF4"/>
    <w:rsid w:val="007141A6"/>
    <w:rsid w:val="00714A41"/>
    <w:rsid w:val="00714A8D"/>
    <w:rsid w:val="00714E18"/>
    <w:rsid w:val="00715887"/>
    <w:rsid w:val="00717A1F"/>
    <w:rsid w:val="0072031E"/>
    <w:rsid w:val="00720D05"/>
    <w:rsid w:val="007219A5"/>
    <w:rsid w:val="00721FEE"/>
    <w:rsid w:val="00722026"/>
    <w:rsid w:val="00723282"/>
    <w:rsid w:val="0072346F"/>
    <w:rsid w:val="007246BE"/>
    <w:rsid w:val="007248AE"/>
    <w:rsid w:val="00724D5F"/>
    <w:rsid w:val="00725378"/>
    <w:rsid w:val="00726086"/>
    <w:rsid w:val="0072626E"/>
    <w:rsid w:val="00726BA4"/>
    <w:rsid w:val="00726D1C"/>
    <w:rsid w:val="00727EB6"/>
    <w:rsid w:val="007300CE"/>
    <w:rsid w:val="00730A8E"/>
    <w:rsid w:val="00731DEF"/>
    <w:rsid w:val="0073244F"/>
    <w:rsid w:val="00734388"/>
    <w:rsid w:val="00735359"/>
    <w:rsid w:val="0073542F"/>
    <w:rsid w:val="00735AF8"/>
    <w:rsid w:val="007374B9"/>
    <w:rsid w:val="00737C3A"/>
    <w:rsid w:val="0074073C"/>
    <w:rsid w:val="00740E25"/>
    <w:rsid w:val="00740FC6"/>
    <w:rsid w:val="00741414"/>
    <w:rsid w:val="0074170A"/>
    <w:rsid w:val="00742BA5"/>
    <w:rsid w:val="007449F6"/>
    <w:rsid w:val="007450CE"/>
    <w:rsid w:val="00745438"/>
    <w:rsid w:val="00746D31"/>
    <w:rsid w:val="00746F11"/>
    <w:rsid w:val="007474EC"/>
    <w:rsid w:val="007478D9"/>
    <w:rsid w:val="00747F7C"/>
    <w:rsid w:val="00751134"/>
    <w:rsid w:val="00751353"/>
    <w:rsid w:val="00752123"/>
    <w:rsid w:val="0075262F"/>
    <w:rsid w:val="0075264A"/>
    <w:rsid w:val="00753BC9"/>
    <w:rsid w:val="00755CA6"/>
    <w:rsid w:val="00755DE1"/>
    <w:rsid w:val="00756A92"/>
    <w:rsid w:val="00756CBD"/>
    <w:rsid w:val="00760802"/>
    <w:rsid w:val="007622E9"/>
    <w:rsid w:val="00762395"/>
    <w:rsid w:val="00763A5A"/>
    <w:rsid w:val="007649BE"/>
    <w:rsid w:val="007651AC"/>
    <w:rsid w:val="00766292"/>
    <w:rsid w:val="00766BEB"/>
    <w:rsid w:val="00767E24"/>
    <w:rsid w:val="00767F0F"/>
    <w:rsid w:val="007709FD"/>
    <w:rsid w:val="00771254"/>
    <w:rsid w:val="007721CE"/>
    <w:rsid w:val="0077434A"/>
    <w:rsid w:val="00776CCA"/>
    <w:rsid w:val="00777D5A"/>
    <w:rsid w:val="00780728"/>
    <w:rsid w:val="00780B71"/>
    <w:rsid w:val="007814E1"/>
    <w:rsid w:val="007819A0"/>
    <w:rsid w:val="007819E5"/>
    <w:rsid w:val="00782605"/>
    <w:rsid w:val="007826E1"/>
    <w:rsid w:val="0078281B"/>
    <w:rsid w:val="00783675"/>
    <w:rsid w:val="00783F0B"/>
    <w:rsid w:val="0078417B"/>
    <w:rsid w:val="0078436E"/>
    <w:rsid w:val="00784520"/>
    <w:rsid w:val="00785689"/>
    <w:rsid w:val="007859AC"/>
    <w:rsid w:val="00785CCA"/>
    <w:rsid w:val="00787638"/>
    <w:rsid w:val="007916D2"/>
    <w:rsid w:val="00792699"/>
    <w:rsid w:val="00792A62"/>
    <w:rsid w:val="00792FEB"/>
    <w:rsid w:val="00793BE6"/>
    <w:rsid w:val="0079491C"/>
    <w:rsid w:val="0079754B"/>
    <w:rsid w:val="007A1C06"/>
    <w:rsid w:val="007A1E6D"/>
    <w:rsid w:val="007A2188"/>
    <w:rsid w:val="007A4464"/>
    <w:rsid w:val="007A5182"/>
    <w:rsid w:val="007A5930"/>
    <w:rsid w:val="007A676D"/>
    <w:rsid w:val="007A7BEA"/>
    <w:rsid w:val="007A7F25"/>
    <w:rsid w:val="007B0848"/>
    <w:rsid w:val="007B0DE8"/>
    <w:rsid w:val="007B0EB2"/>
    <w:rsid w:val="007B0EDA"/>
    <w:rsid w:val="007B2A7B"/>
    <w:rsid w:val="007B45CE"/>
    <w:rsid w:val="007B4BB9"/>
    <w:rsid w:val="007B53EB"/>
    <w:rsid w:val="007B578E"/>
    <w:rsid w:val="007C0000"/>
    <w:rsid w:val="007C1239"/>
    <w:rsid w:val="007C2544"/>
    <w:rsid w:val="007C2694"/>
    <w:rsid w:val="007C27F1"/>
    <w:rsid w:val="007C2D3E"/>
    <w:rsid w:val="007C32C2"/>
    <w:rsid w:val="007C47FA"/>
    <w:rsid w:val="007C57D2"/>
    <w:rsid w:val="007C5DD4"/>
    <w:rsid w:val="007C605C"/>
    <w:rsid w:val="007C6D3E"/>
    <w:rsid w:val="007C6FD5"/>
    <w:rsid w:val="007C7367"/>
    <w:rsid w:val="007C7675"/>
    <w:rsid w:val="007D0129"/>
    <w:rsid w:val="007D032F"/>
    <w:rsid w:val="007D03CC"/>
    <w:rsid w:val="007D0EDE"/>
    <w:rsid w:val="007D1B55"/>
    <w:rsid w:val="007D2181"/>
    <w:rsid w:val="007D2466"/>
    <w:rsid w:val="007D3E01"/>
    <w:rsid w:val="007D4A0C"/>
    <w:rsid w:val="007D595D"/>
    <w:rsid w:val="007D7C1E"/>
    <w:rsid w:val="007D7CC7"/>
    <w:rsid w:val="007E0966"/>
    <w:rsid w:val="007E1E37"/>
    <w:rsid w:val="007E2DD8"/>
    <w:rsid w:val="007E2E1C"/>
    <w:rsid w:val="007E3E99"/>
    <w:rsid w:val="007E43A6"/>
    <w:rsid w:val="007E452C"/>
    <w:rsid w:val="007E5A13"/>
    <w:rsid w:val="007E5BB4"/>
    <w:rsid w:val="007E6B20"/>
    <w:rsid w:val="007E6F21"/>
    <w:rsid w:val="007E7BA0"/>
    <w:rsid w:val="007F059B"/>
    <w:rsid w:val="007F0B49"/>
    <w:rsid w:val="007F1153"/>
    <w:rsid w:val="007F154B"/>
    <w:rsid w:val="007F2953"/>
    <w:rsid w:val="007F31C0"/>
    <w:rsid w:val="007F33E0"/>
    <w:rsid w:val="007F3C50"/>
    <w:rsid w:val="007F4C80"/>
    <w:rsid w:val="007F5537"/>
    <w:rsid w:val="007F5C5D"/>
    <w:rsid w:val="007F6457"/>
    <w:rsid w:val="007F6F1E"/>
    <w:rsid w:val="00800C31"/>
    <w:rsid w:val="0080156A"/>
    <w:rsid w:val="008017FC"/>
    <w:rsid w:val="00802112"/>
    <w:rsid w:val="0080352F"/>
    <w:rsid w:val="00806C99"/>
    <w:rsid w:val="00806D97"/>
    <w:rsid w:val="008073AD"/>
    <w:rsid w:val="008077CC"/>
    <w:rsid w:val="0081036E"/>
    <w:rsid w:val="00810A9B"/>
    <w:rsid w:val="00810B6F"/>
    <w:rsid w:val="00810FAC"/>
    <w:rsid w:val="008110D9"/>
    <w:rsid w:val="00811AAF"/>
    <w:rsid w:val="00811AED"/>
    <w:rsid w:val="00811C32"/>
    <w:rsid w:val="00811EF1"/>
    <w:rsid w:val="00812B38"/>
    <w:rsid w:val="00814177"/>
    <w:rsid w:val="00814F13"/>
    <w:rsid w:val="00816459"/>
    <w:rsid w:val="00816A2C"/>
    <w:rsid w:val="00817359"/>
    <w:rsid w:val="0081783E"/>
    <w:rsid w:val="008224FD"/>
    <w:rsid w:val="00822CE0"/>
    <w:rsid w:val="008246AF"/>
    <w:rsid w:val="008246F2"/>
    <w:rsid w:val="00824D3C"/>
    <w:rsid w:val="0082503B"/>
    <w:rsid w:val="00825089"/>
    <w:rsid w:val="008274B0"/>
    <w:rsid w:val="00831AA6"/>
    <w:rsid w:val="00832BE2"/>
    <w:rsid w:val="00835E71"/>
    <w:rsid w:val="00836B25"/>
    <w:rsid w:val="0083723C"/>
    <w:rsid w:val="00840C26"/>
    <w:rsid w:val="00841572"/>
    <w:rsid w:val="00841AB1"/>
    <w:rsid w:val="00842178"/>
    <w:rsid w:val="00842608"/>
    <w:rsid w:val="008428B9"/>
    <w:rsid w:val="008429C3"/>
    <w:rsid w:val="00842E74"/>
    <w:rsid w:val="008440F5"/>
    <w:rsid w:val="00844C12"/>
    <w:rsid w:val="008461C3"/>
    <w:rsid w:val="0084731F"/>
    <w:rsid w:val="008474B5"/>
    <w:rsid w:val="008527DC"/>
    <w:rsid w:val="0085340E"/>
    <w:rsid w:val="00854895"/>
    <w:rsid w:val="008552FD"/>
    <w:rsid w:val="008568BD"/>
    <w:rsid w:val="00856FD1"/>
    <w:rsid w:val="0085716E"/>
    <w:rsid w:val="00857190"/>
    <w:rsid w:val="00860553"/>
    <w:rsid w:val="00860CE0"/>
    <w:rsid w:val="00861285"/>
    <w:rsid w:val="008612A1"/>
    <w:rsid w:val="00862D92"/>
    <w:rsid w:val="008632F6"/>
    <w:rsid w:val="00863E26"/>
    <w:rsid w:val="00864058"/>
    <w:rsid w:val="00864B38"/>
    <w:rsid w:val="00866D2D"/>
    <w:rsid w:val="00867FE5"/>
    <w:rsid w:val="00867FF7"/>
    <w:rsid w:val="008708FC"/>
    <w:rsid w:val="00871548"/>
    <w:rsid w:val="00871C40"/>
    <w:rsid w:val="00872B25"/>
    <w:rsid w:val="0087337E"/>
    <w:rsid w:val="00873F95"/>
    <w:rsid w:val="00874D17"/>
    <w:rsid w:val="0087505A"/>
    <w:rsid w:val="00875106"/>
    <w:rsid w:val="008758BB"/>
    <w:rsid w:val="00875EE7"/>
    <w:rsid w:val="008800A3"/>
    <w:rsid w:val="008826E9"/>
    <w:rsid w:val="00885D90"/>
    <w:rsid w:val="0088779F"/>
    <w:rsid w:val="0088784F"/>
    <w:rsid w:val="008909DB"/>
    <w:rsid w:val="00890BDF"/>
    <w:rsid w:val="00891F24"/>
    <w:rsid w:val="00892CD2"/>
    <w:rsid w:val="00892D14"/>
    <w:rsid w:val="00893D81"/>
    <w:rsid w:val="0089432D"/>
    <w:rsid w:val="00896620"/>
    <w:rsid w:val="008A0905"/>
    <w:rsid w:val="008A0D51"/>
    <w:rsid w:val="008A1563"/>
    <w:rsid w:val="008A184A"/>
    <w:rsid w:val="008A419A"/>
    <w:rsid w:val="008A4403"/>
    <w:rsid w:val="008A440E"/>
    <w:rsid w:val="008A4676"/>
    <w:rsid w:val="008A4CC4"/>
    <w:rsid w:val="008A5717"/>
    <w:rsid w:val="008A67EB"/>
    <w:rsid w:val="008A71AA"/>
    <w:rsid w:val="008A7603"/>
    <w:rsid w:val="008B0EEE"/>
    <w:rsid w:val="008B1305"/>
    <w:rsid w:val="008B1885"/>
    <w:rsid w:val="008B30E6"/>
    <w:rsid w:val="008B37A7"/>
    <w:rsid w:val="008B3C35"/>
    <w:rsid w:val="008B4EB1"/>
    <w:rsid w:val="008B4F9C"/>
    <w:rsid w:val="008B5718"/>
    <w:rsid w:val="008B5DEE"/>
    <w:rsid w:val="008B62CB"/>
    <w:rsid w:val="008B669B"/>
    <w:rsid w:val="008C0D44"/>
    <w:rsid w:val="008C1D4F"/>
    <w:rsid w:val="008C219E"/>
    <w:rsid w:val="008C277F"/>
    <w:rsid w:val="008C2E64"/>
    <w:rsid w:val="008C2E8A"/>
    <w:rsid w:val="008C37A8"/>
    <w:rsid w:val="008C3A4E"/>
    <w:rsid w:val="008C4166"/>
    <w:rsid w:val="008C4D89"/>
    <w:rsid w:val="008C568E"/>
    <w:rsid w:val="008C6630"/>
    <w:rsid w:val="008C6799"/>
    <w:rsid w:val="008C68F1"/>
    <w:rsid w:val="008C6D74"/>
    <w:rsid w:val="008C70B2"/>
    <w:rsid w:val="008C78D5"/>
    <w:rsid w:val="008D0FE8"/>
    <w:rsid w:val="008D124E"/>
    <w:rsid w:val="008D19C0"/>
    <w:rsid w:val="008D1BCD"/>
    <w:rsid w:val="008D22D4"/>
    <w:rsid w:val="008D2803"/>
    <w:rsid w:val="008D2A1E"/>
    <w:rsid w:val="008D3EF4"/>
    <w:rsid w:val="008D4A88"/>
    <w:rsid w:val="008D4B1C"/>
    <w:rsid w:val="008D507A"/>
    <w:rsid w:val="008D66DE"/>
    <w:rsid w:val="008D6C45"/>
    <w:rsid w:val="008E0096"/>
    <w:rsid w:val="008E043C"/>
    <w:rsid w:val="008E0956"/>
    <w:rsid w:val="008E0E8C"/>
    <w:rsid w:val="008E0FE6"/>
    <w:rsid w:val="008E10BC"/>
    <w:rsid w:val="008E1224"/>
    <w:rsid w:val="008E4805"/>
    <w:rsid w:val="008E4889"/>
    <w:rsid w:val="008E4FF4"/>
    <w:rsid w:val="008E5844"/>
    <w:rsid w:val="008E5B13"/>
    <w:rsid w:val="008E6E73"/>
    <w:rsid w:val="008E73BA"/>
    <w:rsid w:val="008E78BB"/>
    <w:rsid w:val="008F044C"/>
    <w:rsid w:val="008F1865"/>
    <w:rsid w:val="008F1EEC"/>
    <w:rsid w:val="008F2729"/>
    <w:rsid w:val="008F2C3A"/>
    <w:rsid w:val="008F3258"/>
    <w:rsid w:val="008F3A21"/>
    <w:rsid w:val="008F3E2C"/>
    <w:rsid w:val="008F4082"/>
    <w:rsid w:val="008F51C5"/>
    <w:rsid w:val="008F6974"/>
    <w:rsid w:val="009006AA"/>
    <w:rsid w:val="00900AD5"/>
    <w:rsid w:val="00901F85"/>
    <w:rsid w:val="0090286A"/>
    <w:rsid w:val="00902956"/>
    <w:rsid w:val="00902A5F"/>
    <w:rsid w:val="00903883"/>
    <w:rsid w:val="00903F2E"/>
    <w:rsid w:val="00904D53"/>
    <w:rsid w:val="00904DE3"/>
    <w:rsid w:val="00905735"/>
    <w:rsid w:val="00906BDA"/>
    <w:rsid w:val="00907B54"/>
    <w:rsid w:val="00907C11"/>
    <w:rsid w:val="00910867"/>
    <w:rsid w:val="00910D7D"/>
    <w:rsid w:val="00911330"/>
    <w:rsid w:val="00911A6F"/>
    <w:rsid w:val="009121FF"/>
    <w:rsid w:val="00912586"/>
    <w:rsid w:val="009125EC"/>
    <w:rsid w:val="00913C1B"/>
    <w:rsid w:val="00915036"/>
    <w:rsid w:val="0091595D"/>
    <w:rsid w:val="00920143"/>
    <w:rsid w:val="009204C5"/>
    <w:rsid w:val="00921803"/>
    <w:rsid w:val="00921A30"/>
    <w:rsid w:val="00921C27"/>
    <w:rsid w:val="00922212"/>
    <w:rsid w:val="0092370B"/>
    <w:rsid w:val="00923E8A"/>
    <w:rsid w:val="00923EA9"/>
    <w:rsid w:val="00924A65"/>
    <w:rsid w:val="00925D0E"/>
    <w:rsid w:val="009261B3"/>
    <w:rsid w:val="00926503"/>
    <w:rsid w:val="00926FD2"/>
    <w:rsid w:val="00930390"/>
    <w:rsid w:val="0093060A"/>
    <w:rsid w:val="00930997"/>
    <w:rsid w:val="00930A78"/>
    <w:rsid w:val="009323AC"/>
    <w:rsid w:val="0093275E"/>
    <w:rsid w:val="009333A6"/>
    <w:rsid w:val="00933A9E"/>
    <w:rsid w:val="00935D0B"/>
    <w:rsid w:val="0093629C"/>
    <w:rsid w:val="00936427"/>
    <w:rsid w:val="00936BC6"/>
    <w:rsid w:val="00936E08"/>
    <w:rsid w:val="00937252"/>
    <w:rsid w:val="009373EB"/>
    <w:rsid w:val="0094090C"/>
    <w:rsid w:val="00942854"/>
    <w:rsid w:val="00942DAC"/>
    <w:rsid w:val="0094523C"/>
    <w:rsid w:val="009460B4"/>
    <w:rsid w:val="009463C5"/>
    <w:rsid w:val="009501F6"/>
    <w:rsid w:val="00950470"/>
    <w:rsid w:val="009515D7"/>
    <w:rsid w:val="00953169"/>
    <w:rsid w:val="00954451"/>
    <w:rsid w:val="00954C4E"/>
    <w:rsid w:val="0095721A"/>
    <w:rsid w:val="00957B42"/>
    <w:rsid w:val="00960925"/>
    <w:rsid w:val="00961415"/>
    <w:rsid w:val="00961C25"/>
    <w:rsid w:val="00961F49"/>
    <w:rsid w:val="00962D95"/>
    <w:rsid w:val="009636E7"/>
    <w:rsid w:val="00964E43"/>
    <w:rsid w:val="0096508A"/>
    <w:rsid w:val="00965828"/>
    <w:rsid w:val="009671AE"/>
    <w:rsid w:val="00967989"/>
    <w:rsid w:val="0097142A"/>
    <w:rsid w:val="009726D8"/>
    <w:rsid w:val="00974487"/>
    <w:rsid w:val="009745A3"/>
    <w:rsid w:val="00974F92"/>
    <w:rsid w:val="009751F1"/>
    <w:rsid w:val="00975402"/>
    <w:rsid w:val="00975EB2"/>
    <w:rsid w:val="00976B77"/>
    <w:rsid w:val="00977602"/>
    <w:rsid w:val="009805E1"/>
    <w:rsid w:val="00981666"/>
    <w:rsid w:val="009818BF"/>
    <w:rsid w:val="00981ED7"/>
    <w:rsid w:val="009822A4"/>
    <w:rsid w:val="009832A5"/>
    <w:rsid w:val="0098429A"/>
    <w:rsid w:val="009853F0"/>
    <w:rsid w:val="00985F1C"/>
    <w:rsid w:val="00986401"/>
    <w:rsid w:val="00986DB8"/>
    <w:rsid w:val="00986EAA"/>
    <w:rsid w:val="00987093"/>
    <w:rsid w:val="00990DB8"/>
    <w:rsid w:val="00991DDA"/>
    <w:rsid w:val="009927F5"/>
    <w:rsid w:val="00992D6E"/>
    <w:rsid w:val="00992E08"/>
    <w:rsid w:val="00992E9E"/>
    <w:rsid w:val="0099305E"/>
    <w:rsid w:val="0099410F"/>
    <w:rsid w:val="00994F0E"/>
    <w:rsid w:val="00995584"/>
    <w:rsid w:val="0099603B"/>
    <w:rsid w:val="00996DC1"/>
    <w:rsid w:val="00996ED3"/>
    <w:rsid w:val="009A1983"/>
    <w:rsid w:val="009A1C15"/>
    <w:rsid w:val="009A1D17"/>
    <w:rsid w:val="009A24DB"/>
    <w:rsid w:val="009A2923"/>
    <w:rsid w:val="009A311E"/>
    <w:rsid w:val="009A335A"/>
    <w:rsid w:val="009A4EA8"/>
    <w:rsid w:val="009A6848"/>
    <w:rsid w:val="009B054C"/>
    <w:rsid w:val="009B0573"/>
    <w:rsid w:val="009B2044"/>
    <w:rsid w:val="009B3763"/>
    <w:rsid w:val="009B3A75"/>
    <w:rsid w:val="009B3ED2"/>
    <w:rsid w:val="009B4130"/>
    <w:rsid w:val="009B41BF"/>
    <w:rsid w:val="009B451D"/>
    <w:rsid w:val="009B66E8"/>
    <w:rsid w:val="009B69BA"/>
    <w:rsid w:val="009B6EFB"/>
    <w:rsid w:val="009C0DCD"/>
    <w:rsid w:val="009C2229"/>
    <w:rsid w:val="009C2BE1"/>
    <w:rsid w:val="009C32BC"/>
    <w:rsid w:val="009C54B3"/>
    <w:rsid w:val="009C5E24"/>
    <w:rsid w:val="009C5F8D"/>
    <w:rsid w:val="009C6CCC"/>
    <w:rsid w:val="009D0ED9"/>
    <w:rsid w:val="009D119C"/>
    <w:rsid w:val="009D22E3"/>
    <w:rsid w:val="009D259B"/>
    <w:rsid w:val="009D3C76"/>
    <w:rsid w:val="009D3FA0"/>
    <w:rsid w:val="009D3FAB"/>
    <w:rsid w:val="009D452D"/>
    <w:rsid w:val="009D578D"/>
    <w:rsid w:val="009D5D15"/>
    <w:rsid w:val="009D6251"/>
    <w:rsid w:val="009D6938"/>
    <w:rsid w:val="009D6E3A"/>
    <w:rsid w:val="009D7308"/>
    <w:rsid w:val="009E18BB"/>
    <w:rsid w:val="009E2042"/>
    <w:rsid w:val="009E274E"/>
    <w:rsid w:val="009E2860"/>
    <w:rsid w:val="009E2D08"/>
    <w:rsid w:val="009E5FC3"/>
    <w:rsid w:val="009E668A"/>
    <w:rsid w:val="009F000D"/>
    <w:rsid w:val="009F09CA"/>
    <w:rsid w:val="009F1A76"/>
    <w:rsid w:val="009F1D0B"/>
    <w:rsid w:val="009F1EF2"/>
    <w:rsid w:val="009F262F"/>
    <w:rsid w:val="009F2D2D"/>
    <w:rsid w:val="009F3047"/>
    <w:rsid w:val="009F413F"/>
    <w:rsid w:val="009F466E"/>
    <w:rsid w:val="009F5CCD"/>
    <w:rsid w:val="009F72E7"/>
    <w:rsid w:val="009F76DB"/>
    <w:rsid w:val="009F7B3E"/>
    <w:rsid w:val="009F7C98"/>
    <w:rsid w:val="009F7FBC"/>
    <w:rsid w:val="00A0041A"/>
    <w:rsid w:val="00A01CD7"/>
    <w:rsid w:val="00A02653"/>
    <w:rsid w:val="00A02A0C"/>
    <w:rsid w:val="00A04DB1"/>
    <w:rsid w:val="00A05F87"/>
    <w:rsid w:val="00A06097"/>
    <w:rsid w:val="00A0675A"/>
    <w:rsid w:val="00A07C91"/>
    <w:rsid w:val="00A10397"/>
    <w:rsid w:val="00A10783"/>
    <w:rsid w:val="00A10A67"/>
    <w:rsid w:val="00A10AE3"/>
    <w:rsid w:val="00A11597"/>
    <w:rsid w:val="00A1271D"/>
    <w:rsid w:val="00A12D09"/>
    <w:rsid w:val="00A131E8"/>
    <w:rsid w:val="00A14BA2"/>
    <w:rsid w:val="00A15310"/>
    <w:rsid w:val="00A170B2"/>
    <w:rsid w:val="00A20620"/>
    <w:rsid w:val="00A2254D"/>
    <w:rsid w:val="00A22F9D"/>
    <w:rsid w:val="00A23A76"/>
    <w:rsid w:val="00A24A70"/>
    <w:rsid w:val="00A24FA7"/>
    <w:rsid w:val="00A25642"/>
    <w:rsid w:val="00A25850"/>
    <w:rsid w:val="00A2603A"/>
    <w:rsid w:val="00A265D5"/>
    <w:rsid w:val="00A26F23"/>
    <w:rsid w:val="00A273E1"/>
    <w:rsid w:val="00A27724"/>
    <w:rsid w:val="00A27A2E"/>
    <w:rsid w:val="00A300F7"/>
    <w:rsid w:val="00A30589"/>
    <w:rsid w:val="00A30AA7"/>
    <w:rsid w:val="00A31441"/>
    <w:rsid w:val="00A31E06"/>
    <w:rsid w:val="00A3215E"/>
    <w:rsid w:val="00A3298E"/>
    <w:rsid w:val="00A32C3B"/>
    <w:rsid w:val="00A32C6E"/>
    <w:rsid w:val="00A3341E"/>
    <w:rsid w:val="00A33C2F"/>
    <w:rsid w:val="00A34950"/>
    <w:rsid w:val="00A34D36"/>
    <w:rsid w:val="00A3501B"/>
    <w:rsid w:val="00A41C4F"/>
    <w:rsid w:val="00A42089"/>
    <w:rsid w:val="00A421F3"/>
    <w:rsid w:val="00A4284D"/>
    <w:rsid w:val="00A43645"/>
    <w:rsid w:val="00A44033"/>
    <w:rsid w:val="00A45600"/>
    <w:rsid w:val="00A45621"/>
    <w:rsid w:val="00A458B5"/>
    <w:rsid w:val="00A45F4F"/>
    <w:rsid w:val="00A4650A"/>
    <w:rsid w:val="00A476AC"/>
    <w:rsid w:val="00A47D0A"/>
    <w:rsid w:val="00A47D72"/>
    <w:rsid w:val="00A47FCD"/>
    <w:rsid w:val="00A50C49"/>
    <w:rsid w:val="00A50CB4"/>
    <w:rsid w:val="00A5156E"/>
    <w:rsid w:val="00A5168F"/>
    <w:rsid w:val="00A51727"/>
    <w:rsid w:val="00A52B38"/>
    <w:rsid w:val="00A530C5"/>
    <w:rsid w:val="00A53969"/>
    <w:rsid w:val="00A55814"/>
    <w:rsid w:val="00A55FEE"/>
    <w:rsid w:val="00A561D9"/>
    <w:rsid w:val="00A56E7B"/>
    <w:rsid w:val="00A57707"/>
    <w:rsid w:val="00A600A9"/>
    <w:rsid w:val="00A60493"/>
    <w:rsid w:val="00A60F6F"/>
    <w:rsid w:val="00A611DD"/>
    <w:rsid w:val="00A619B9"/>
    <w:rsid w:val="00A61C79"/>
    <w:rsid w:val="00A6285B"/>
    <w:rsid w:val="00A635A9"/>
    <w:rsid w:val="00A645DB"/>
    <w:rsid w:val="00A648BD"/>
    <w:rsid w:val="00A64E1D"/>
    <w:rsid w:val="00A6566E"/>
    <w:rsid w:val="00A657AD"/>
    <w:rsid w:val="00A66EE2"/>
    <w:rsid w:val="00A671C0"/>
    <w:rsid w:val="00A679CF"/>
    <w:rsid w:val="00A70CAE"/>
    <w:rsid w:val="00A70F61"/>
    <w:rsid w:val="00A71164"/>
    <w:rsid w:val="00A729C2"/>
    <w:rsid w:val="00A72AEE"/>
    <w:rsid w:val="00A72F39"/>
    <w:rsid w:val="00A7376D"/>
    <w:rsid w:val="00A74AA5"/>
    <w:rsid w:val="00A74B17"/>
    <w:rsid w:val="00A7504C"/>
    <w:rsid w:val="00A753FF"/>
    <w:rsid w:val="00A75A99"/>
    <w:rsid w:val="00A75B78"/>
    <w:rsid w:val="00A75BA9"/>
    <w:rsid w:val="00A75D2C"/>
    <w:rsid w:val="00A7610D"/>
    <w:rsid w:val="00A77BC0"/>
    <w:rsid w:val="00A805AD"/>
    <w:rsid w:val="00A82FBC"/>
    <w:rsid w:val="00A83229"/>
    <w:rsid w:val="00A83593"/>
    <w:rsid w:val="00A840BD"/>
    <w:rsid w:val="00A849B5"/>
    <w:rsid w:val="00A8558A"/>
    <w:rsid w:val="00A877F7"/>
    <w:rsid w:val="00A87D02"/>
    <w:rsid w:val="00A87E54"/>
    <w:rsid w:val="00A90A3E"/>
    <w:rsid w:val="00A91501"/>
    <w:rsid w:val="00A918BA"/>
    <w:rsid w:val="00A92708"/>
    <w:rsid w:val="00A92A13"/>
    <w:rsid w:val="00A92C50"/>
    <w:rsid w:val="00A9334C"/>
    <w:rsid w:val="00A9346F"/>
    <w:rsid w:val="00A936A4"/>
    <w:rsid w:val="00A93882"/>
    <w:rsid w:val="00A940A3"/>
    <w:rsid w:val="00A94D8B"/>
    <w:rsid w:val="00A95CEB"/>
    <w:rsid w:val="00A9604A"/>
    <w:rsid w:val="00A9648E"/>
    <w:rsid w:val="00A9666A"/>
    <w:rsid w:val="00A97269"/>
    <w:rsid w:val="00A97AC9"/>
    <w:rsid w:val="00A97C00"/>
    <w:rsid w:val="00A97C45"/>
    <w:rsid w:val="00AA0373"/>
    <w:rsid w:val="00AA153D"/>
    <w:rsid w:val="00AA1FCF"/>
    <w:rsid w:val="00AA2811"/>
    <w:rsid w:val="00AA2C18"/>
    <w:rsid w:val="00AA2DAA"/>
    <w:rsid w:val="00AA467F"/>
    <w:rsid w:val="00AA54BB"/>
    <w:rsid w:val="00AA55B7"/>
    <w:rsid w:val="00AA5B9E"/>
    <w:rsid w:val="00AA5E24"/>
    <w:rsid w:val="00AA5E4E"/>
    <w:rsid w:val="00AA5FEA"/>
    <w:rsid w:val="00AA751B"/>
    <w:rsid w:val="00AA78A6"/>
    <w:rsid w:val="00AA7922"/>
    <w:rsid w:val="00AA7B93"/>
    <w:rsid w:val="00AB02DC"/>
    <w:rsid w:val="00AB07C2"/>
    <w:rsid w:val="00AB17D8"/>
    <w:rsid w:val="00AB1B0C"/>
    <w:rsid w:val="00AB2407"/>
    <w:rsid w:val="00AB26B2"/>
    <w:rsid w:val="00AB3B4B"/>
    <w:rsid w:val="00AB493D"/>
    <w:rsid w:val="00AB53DF"/>
    <w:rsid w:val="00AB5417"/>
    <w:rsid w:val="00AB5448"/>
    <w:rsid w:val="00AB6389"/>
    <w:rsid w:val="00AB66E4"/>
    <w:rsid w:val="00AB6FD4"/>
    <w:rsid w:val="00AB7848"/>
    <w:rsid w:val="00AB7B08"/>
    <w:rsid w:val="00AB7C73"/>
    <w:rsid w:val="00AB7D1F"/>
    <w:rsid w:val="00AC0FFC"/>
    <w:rsid w:val="00AC1C39"/>
    <w:rsid w:val="00AC21D9"/>
    <w:rsid w:val="00AC3EB6"/>
    <w:rsid w:val="00AC4E07"/>
    <w:rsid w:val="00AC541A"/>
    <w:rsid w:val="00AC637B"/>
    <w:rsid w:val="00AD0B2E"/>
    <w:rsid w:val="00AD141F"/>
    <w:rsid w:val="00AD14D8"/>
    <w:rsid w:val="00AD2631"/>
    <w:rsid w:val="00AD556C"/>
    <w:rsid w:val="00AD66DA"/>
    <w:rsid w:val="00AD6B64"/>
    <w:rsid w:val="00AD6D9C"/>
    <w:rsid w:val="00AE0617"/>
    <w:rsid w:val="00AE1116"/>
    <w:rsid w:val="00AE1DF0"/>
    <w:rsid w:val="00AE4054"/>
    <w:rsid w:val="00AE5181"/>
    <w:rsid w:val="00AE5420"/>
    <w:rsid w:val="00AE56B8"/>
    <w:rsid w:val="00AE595F"/>
    <w:rsid w:val="00AE635F"/>
    <w:rsid w:val="00AE6DE0"/>
    <w:rsid w:val="00AE6F6E"/>
    <w:rsid w:val="00AE759A"/>
    <w:rsid w:val="00AE7C56"/>
    <w:rsid w:val="00AF0B17"/>
    <w:rsid w:val="00AF1A02"/>
    <w:rsid w:val="00AF1C71"/>
    <w:rsid w:val="00AF35DB"/>
    <w:rsid w:val="00AF71E2"/>
    <w:rsid w:val="00AF7612"/>
    <w:rsid w:val="00AF7903"/>
    <w:rsid w:val="00AF7BBA"/>
    <w:rsid w:val="00B00052"/>
    <w:rsid w:val="00B0053A"/>
    <w:rsid w:val="00B00FC9"/>
    <w:rsid w:val="00B01113"/>
    <w:rsid w:val="00B02351"/>
    <w:rsid w:val="00B02A61"/>
    <w:rsid w:val="00B03B1E"/>
    <w:rsid w:val="00B05604"/>
    <w:rsid w:val="00B05BC3"/>
    <w:rsid w:val="00B06A11"/>
    <w:rsid w:val="00B07453"/>
    <w:rsid w:val="00B07A32"/>
    <w:rsid w:val="00B07E5C"/>
    <w:rsid w:val="00B10739"/>
    <w:rsid w:val="00B10D81"/>
    <w:rsid w:val="00B129F6"/>
    <w:rsid w:val="00B12B81"/>
    <w:rsid w:val="00B131ED"/>
    <w:rsid w:val="00B134CA"/>
    <w:rsid w:val="00B13724"/>
    <w:rsid w:val="00B13D7C"/>
    <w:rsid w:val="00B149A0"/>
    <w:rsid w:val="00B149AA"/>
    <w:rsid w:val="00B15457"/>
    <w:rsid w:val="00B1566A"/>
    <w:rsid w:val="00B156A3"/>
    <w:rsid w:val="00B15C86"/>
    <w:rsid w:val="00B1700E"/>
    <w:rsid w:val="00B177E0"/>
    <w:rsid w:val="00B201B7"/>
    <w:rsid w:val="00B2049F"/>
    <w:rsid w:val="00B20806"/>
    <w:rsid w:val="00B220B1"/>
    <w:rsid w:val="00B222A8"/>
    <w:rsid w:val="00B22574"/>
    <w:rsid w:val="00B22F67"/>
    <w:rsid w:val="00B231A5"/>
    <w:rsid w:val="00B2343F"/>
    <w:rsid w:val="00B23484"/>
    <w:rsid w:val="00B244CB"/>
    <w:rsid w:val="00B24EAB"/>
    <w:rsid w:val="00B251FA"/>
    <w:rsid w:val="00B25534"/>
    <w:rsid w:val="00B26DF6"/>
    <w:rsid w:val="00B308D1"/>
    <w:rsid w:val="00B313BB"/>
    <w:rsid w:val="00B319FA"/>
    <w:rsid w:val="00B31F1D"/>
    <w:rsid w:val="00B326CB"/>
    <w:rsid w:val="00B32E55"/>
    <w:rsid w:val="00B33B65"/>
    <w:rsid w:val="00B342F9"/>
    <w:rsid w:val="00B34A6B"/>
    <w:rsid w:val="00B35065"/>
    <w:rsid w:val="00B358C0"/>
    <w:rsid w:val="00B35C12"/>
    <w:rsid w:val="00B35ED5"/>
    <w:rsid w:val="00B36A77"/>
    <w:rsid w:val="00B37102"/>
    <w:rsid w:val="00B40D61"/>
    <w:rsid w:val="00B41410"/>
    <w:rsid w:val="00B41FAA"/>
    <w:rsid w:val="00B420C2"/>
    <w:rsid w:val="00B426C6"/>
    <w:rsid w:val="00B44179"/>
    <w:rsid w:val="00B44D4A"/>
    <w:rsid w:val="00B45690"/>
    <w:rsid w:val="00B46B43"/>
    <w:rsid w:val="00B47434"/>
    <w:rsid w:val="00B5076E"/>
    <w:rsid w:val="00B51574"/>
    <w:rsid w:val="00B5191F"/>
    <w:rsid w:val="00B535CD"/>
    <w:rsid w:val="00B54990"/>
    <w:rsid w:val="00B54AC4"/>
    <w:rsid w:val="00B54C87"/>
    <w:rsid w:val="00B562EC"/>
    <w:rsid w:val="00B567CD"/>
    <w:rsid w:val="00B56E1E"/>
    <w:rsid w:val="00B57B64"/>
    <w:rsid w:val="00B602DE"/>
    <w:rsid w:val="00B61AC7"/>
    <w:rsid w:val="00B622D7"/>
    <w:rsid w:val="00B62432"/>
    <w:rsid w:val="00B63265"/>
    <w:rsid w:val="00B633C1"/>
    <w:rsid w:val="00B646C2"/>
    <w:rsid w:val="00B654C8"/>
    <w:rsid w:val="00B65F72"/>
    <w:rsid w:val="00B668D1"/>
    <w:rsid w:val="00B66C12"/>
    <w:rsid w:val="00B67880"/>
    <w:rsid w:val="00B70055"/>
    <w:rsid w:val="00B70A47"/>
    <w:rsid w:val="00B713BB"/>
    <w:rsid w:val="00B715BA"/>
    <w:rsid w:val="00B73403"/>
    <w:rsid w:val="00B742B1"/>
    <w:rsid w:val="00B74B83"/>
    <w:rsid w:val="00B779CE"/>
    <w:rsid w:val="00B811F7"/>
    <w:rsid w:val="00B812FD"/>
    <w:rsid w:val="00B81386"/>
    <w:rsid w:val="00B82A56"/>
    <w:rsid w:val="00B82C01"/>
    <w:rsid w:val="00B839C6"/>
    <w:rsid w:val="00B8453B"/>
    <w:rsid w:val="00B85E59"/>
    <w:rsid w:val="00B86137"/>
    <w:rsid w:val="00B8693E"/>
    <w:rsid w:val="00B87261"/>
    <w:rsid w:val="00B8739A"/>
    <w:rsid w:val="00B8754E"/>
    <w:rsid w:val="00B877E1"/>
    <w:rsid w:val="00B91424"/>
    <w:rsid w:val="00B9359C"/>
    <w:rsid w:val="00B93907"/>
    <w:rsid w:val="00B9489F"/>
    <w:rsid w:val="00B95F47"/>
    <w:rsid w:val="00B96353"/>
    <w:rsid w:val="00B96673"/>
    <w:rsid w:val="00B96AF8"/>
    <w:rsid w:val="00B97318"/>
    <w:rsid w:val="00B978BC"/>
    <w:rsid w:val="00B97FE7"/>
    <w:rsid w:val="00BA059C"/>
    <w:rsid w:val="00BA0AE0"/>
    <w:rsid w:val="00BA1B6A"/>
    <w:rsid w:val="00BA1D6E"/>
    <w:rsid w:val="00BA2000"/>
    <w:rsid w:val="00BA302A"/>
    <w:rsid w:val="00BA327E"/>
    <w:rsid w:val="00BA3993"/>
    <w:rsid w:val="00BA4491"/>
    <w:rsid w:val="00BA4FFD"/>
    <w:rsid w:val="00BA5767"/>
    <w:rsid w:val="00BA5DC6"/>
    <w:rsid w:val="00BA5E71"/>
    <w:rsid w:val="00BA6196"/>
    <w:rsid w:val="00BB023F"/>
    <w:rsid w:val="00BB04CD"/>
    <w:rsid w:val="00BB08CF"/>
    <w:rsid w:val="00BB0BC1"/>
    <w:rsid w:val="00BB11B3"/>
    <w:rsid w:val="00BB124B"/>
    <w:rsid w:val="00BB1B81"/>
    <w:rsid w:val="00BB2DEA"/>
    <w:rsid w:val="00BB30BA"/>
    <w:rsid w:val="00BB3599"/>
    <w:rsid w:val="00BB38B7"/>
    <w:rsid w:val="00BB48E3"/>
    <w:rsid w:val="00BB5362"/>
    <w:rsid w:val="00BB5EF1"/>
    <w:rsid w:val="00BC0196"/>
    <w:rsid w:val="00BC0386"/>
    <w:rsid w:val="00BC06A6"/>
    <w:rsid w:val="00BC11AC"/>
    <w:rsid w:val="00BC12B9"/>
    <w:rsid w:val="00BC14BE"/>
    <w:rsid w:val="00BC2706"/>
    <w:rsid w:val="00BC2C31"/>
    <w:rsid w:val="00BC2C69"/>
    <w:rsid w:val="00BC32AF"/>
    <w:rsid w:val="00BC43EF"/>
    <w:rsid w:val="00BC4C38"/>
    <w:rsid w:val="00BC6D8C"/>
    <w:rsid w:val="00BC6E31"/>
    <w:rsid w:val="00BC6F9A"/>
    <w:rsid w:val="00BC7317"/>
    <w:rsid w:val="00BC74B7"/>
    <w:rsid w:val="00BD0BA3"/>
    <w:rsid w:val="00BD0CBB"/>
    <w:rsid w:val="00BD0E8F"/>
    <w:rsid w:val="00BD103D"/>
    <w:rsid w:val="00BD1939"/>
    <w:rsid w:val="00BD1966"/>
    <w:rsid w:val="00BD1AF6"/>
    <w:rsid w:val="00BD21D2"/>
    <w:rsid w:val="00BD41DF"/>
    <w:rsid w:val="00BD5601"/>
    <w:rsid w:val="00BD570F"/>
    <w:rsid w:val="00BE05A9"/>
    <w:rsid w:val="00BE2503"/>
    <w:rsid w:val="00BE269C"/>
    <w:rsid w:val="00BE3013"/>
    <w:rsid w:val="00BE393F"/>
    <w:rsid w:val="00BE3D57"/>
    <w:rsid w:val="00BE4A71"/>
    <w:rsid w:val="00BE5324"/>
    <w:rsid w:val="00BE5378"/>
    <w:rsid w:val="00BE5AF6"/>
    <w:rsid w:val="00BE6006"/>
    <w:rsid w:val="00BE67D0"/>
    <w:rsid w:val="00BE6A0D"/>
    <w:rsid w:val="00BE6CEB"/>
    <w:rsid w:val="00BE6EFD"/>
    <w:rsid w:val="00BE73DE"/>
    <w:rsid w:val="00BE7C15"/>
    <w:rsid w:val="00BE7E11"/>
    <w:rsid w:val="00BF001F"/>
    <w:rsid w:val="00BF0251"/>
    <w:rsid w:val="00BF122F"/>
    <w:rsid w:val="00BF1F1A"/>
    <w:rsid w:val="00BF3101"/>
    <w:rsid w:val="00BF329C"/>
    <w:rsid w:val="00BF41EE"/>
    <w:rsid w:val="00BF47A7"/>
    <w:rsid w:val="00BF5200"/>
    <w:rsid w:val="00BF5240"/>
    <w:rsid w:val="00BF612A"/>
    <w:rsid w:val="00BF7F0D"/>
    <w:rsid w:val="00C00113"/>
    <w:rsid w:val="00C0046A"/>
    <w:rsid w:val="00C00ABD"/>
    <w:rsid w:val="00C025D8"/>
    <w:rsid w:val="00C02CCE"/>
    <w:rsid w:val="00C0440F"/>
    <w:rsid w:val="00C04491"/>
    <w:rsid w:val="00C0451A"/>
    <w:rsid w:val="00C04C6A"/>
    <w:rsid w:val="00C04ECB"/>
    <w:rsid w:val="00C05062"/>
    <w:rsid w:val="00C050FB"/>
    <w:rsid w:val="00C0618B"/>
    <w:rsid w:val="00C0682A"/>
    <w:rsid w:val="00C068E9"/>
    <w:rsid w:val="00C11577"/>
    <w:rsid w:val="00C12673"/>
    <w:rsid w:val="00C1297F"/>
    <w:rsid w:val="00C13C93"/>
    <w:rsid w:val="00C144CD"/>
    <w:rsid w:val="00C1592C"/>
    <w:rsid w:val="00C16545"/>
    <w:rsid w:val="00C16A5B"/>
    <w:rsid w:val="00C16ACF"/>
    <w:rsid w:val="00C16F45"/>
    <w:rsid w:val="00C20289"/>
    <w:rsid w:val="00C20A75"/>
    <w:rsid w:val="00C20E50"/>
    <w:rsid w:val="00C21807"/>
    <w:rsid w:val="00C23495"/>
    <w:rsid w:val="00C236EF"/>
    <w:rsid w:val="00C241E6"/>
    <w:rsid w:val="00C24293"/>
    <w:rsid w:val="00C24BCD"/>
    <w:rsid w:val="00C24D69"/>
    <w:rsid w:val="00C24FE0"/>
    <w:rsid w:val="00C2530C"/>
    <w:rsid w:val="00C2566B"/>
    <w:rsid w:val="00C25695"/>
    <w:rsid w:val="00C25907"/>
    <w:rsid w:val="00C26C73"/>
    <w:rsid w:val="00C26CB4"/>
    <w:rsid w:val="00C26E94"/>
    <w:rsid w:val="00C2761F"/>
    <w:rsid w:val="00C27A88"/>
    <w:rsid w:val="00C30053"/>
    <w:rsid w:val="00C31579"/>
    <w:rsid w:val="00C32112"/>
    <w:rsid w:val="00C322A5"/>
    <w:rsid w:val="00C33F3E"/>
    <w:rsid w:val="00C34006"/>
    <w:rsid w:val="00C34D7D"/>
    <w:rsid w:val="00C3521A"/>
    <w:rsid w:val="00C357E3"/>
    <w:rsid w:val="00C361A4"/>
    <w:rsid w:val="00C36B4C"/>
    <w:rsid w:val="00C37333"/>
    <w:rsid w:val="00C40D59"/>
    <w:rsid w:val="00C40EF5"/>
    <w:rsid w:val="00C423AF"/>
    <w:rsid w:val="00C426B1"/>
    <w:rsid w:val="00C43447"/>
    <w:rsid w:val="00C43B77"/>
    <w:rsid w:val="00C44010"/>
    <w:rsid w:val="00C4415C"/>
    <w:rsid w:val="00C4549F"/>
    <w:rsid w:val="00C45BF4"/>
    <w:rsid w:val="00C470B9"/>
    <w:rsid w:val="00C47211"/>
    <w:rsid w:val="00C504AC"/>
    <w:rsid w:val="00C5059D"/>
    <w:rsid w:val="00C509DA"/>
    <w:rsid w:val="00C509F9"/>
    <w:rsid w:val="00C50A69"/>
    <w:rsid w:val="00C518B2"/>
    <w:rsid w:val="00C51F49"/>
    <w:rsid w:val="00C52268"/>
    <w:rsid w:val="00C529F8"/>
    <w:rsid w:val="00C54A1A"/>
    <w:rsid w:val="00C56133"/>
    <w:rsid w:val="00C565D0"/>
    <w:rsid w:val="00C568B7"/>
    <w:rsid w:val="00C56C13"/>
    <w:rsid w:val="00C57123"/>
    <w:rsid w:val="00C5733E"/>
    <w:rsid w:val="00C57FFA"/>
    <w:rsid w:val="00C60F27"/>
    <w:rsid w:val="00C62B92"/>
    <w:rsid w:val="00C63785"/>
    <w:rsid w:val="00C64029"/>
    <w:rsid w:val="00C643AF"/>
    <w:rsid w:val="00C66160"/>
    <w:rsid w:val="00C66350"/>
    <w:rsid w:val="00C66879"/>
    <w:rsid w:val="00C669DE"/>
    <w:rsid w:val="00C67979"/>
    <w:rsid w:val="00C70BEB"/>
    <w:rsid w:val="00C71290"/>
    <w:rsid w:val="00C721AC"/>
    <w:rsid w:val="00C73EC2"/>
    <w:rsid w:val="00C75E79"/>
    <w:rsid w:val="00C77293"/>
    <w:rsid w:val="00C77347"/>
    <w:rsid w:val="00C77D41"/>
    <w:rsid w:val="00C8056C"/>
    <w:rsid w:val="00C80B41"/>
    <w:rsid w:val="00C80D09"/>
    <w:rsid w:val="00C8156F"/>
    <w:rsid w:val="00C8242B"/>
    <w:rsid w:val="00C8340B"/>
    <w:rsid w:val="00C83DF5"/>
    <w:rsid w:val="00C86DE0"/>
    <w:rsid w:val="00C87426"/>
    <w:rsid w:val="00C87DBE"/>
    <w:rsid w:val="00C90D6A"/>
    <w:rsid w:val="00C90E8F"/>
    <w:rsid w:val="00C913F9"/>
    <w:rsid w:val="00C914D2"/>
    <w:rsid w:val="00C91FBE"/>
    <w:rsid w:val="00C925FA"/>
    <w:rsid w:val="00C926D3"/>
    <w:rsid w:val="00C92A8C"/>
    <w:rsid w:val="00C92B2E"/>
    <w:rsid w:val="00C93746"/>
    <w:rsid w:val="00C94E89"/>
    <w:rsid w:val="00C95237"/>
    <w:rsid w:val="00C96794"/>
    <w:rsid w:val="00C969AE"/>
    <w:rsid w:val="00C96B15"/>
    <w:rsid w:val="00C97B10"/>
    <w:rsid w:val="00C97D58"/>
    <w:rsid w:val="00CA247E"/>
    <w:rsid w:val="00CA4760"/>
    <w:rsid w:val="00CA4C9B"/>
    <w:rsid w:val="00CA5A36"/>
    <w:rsid w:val="00CA67B4"/>
    <w:rsid w:val="00CA6D21"/>
    <w:rsid w:val="00CA7358"/>
    <w:rsid w:val="00CB060D"/>
    <w:rsid w:val="00CB0A3D"/>
    <w:rsid w:val="00CB0B95"/>
    <w:rsid w:val="00CB1525"/>
    <w:rsid w:val="00CB34D7"/>
    <w:rsid w:val="00CB43B8"/>
    <w:rsid w:val="00CB48DA"/>
    <w:rsid w:val="00CB5636"/>
    <w:rsid w:val="00CB5F75"/>
    <w:rsid w:val="00CB6271"/>
    <w:rsid w:val="00CB6550"/>
    <w:rsid w:val="00CC0F10"/>
    <w:rsid w:val="00CC165C"/>
    <w:rsid w:val="00CC1DFD"/>
    <w:rsid w:val="00CC2977"/>
    <w:rsid w:val="00CC2A07"/>
    <w:rsid w:val="00CC536A"/>
    <w:rsid w:val="00CC566E"/>
    <w:rsid w:val="00CC5864"/>
    <w:rsid w:val="00CC5B4B"/>
    <w:rsid w:val="00CC619B"/>
    <w:rsid w:val="00CC6A84"/>
    <w:rsid w:val="00CC6B6F"/>
    <w:rsid w:val="00CC72B6"/>
    <w:rsid w:val="00CC78C9"/>
    <w:rsid w:val="00CC792B"/>
    <w:rsid w:val="00CD1AAE"/>
    <w:rsid w:val="00CD1C64"/>
    <w:rsid w:val="00CD2355"/>
    <w:rsid w:val="00CD29E3"/>
    <w:rsid w:val="00CD36F7"/>
    <w:rsid w:val="00CD3928"/>
    <w:rsid w:val="00CD4117"/>
    <w:rsid w:val="00CD59B3"/>
    <w:rsid w:val="00CD5AB8"/>
    <w:rsid w:val="00CD5F5F"/>
    <w:rsid w:val="00CD6D67"/>
    <w:rsid w:val="00CD7DF1"/>
    <w:rsid w:val="00CD7F18"/>
    <w:rsid w:val="00CE0313"/>
    <w:rsid w:val="00CE182B"/>
    <w:rsid w:val="00CE1FE8"/>
    <w:rsid w:val="00CE20C9"/>
    <w:rsid w:val="00CE30BA"/>
    <w:rsid w:val="00CE3E76"/>
    <w:rsid w:val="00CE41AD"/>
    <w:rsid w:val="00CE462F"/>
    <w:rsid w:val="00CE4C90"/>
    <w:rsid w:val="00CE4FAB"/>
    <w:rsid w:val="00CE5631"/>
    <w:rsid w:val="00CE77D6"/>
    <w:rsid w:val="00CF0D27"/>
    <w:rsid w:val="00CF0ED6"/>
    <w:rsid w:val="00CF1311"/>
    <w:rsid w:val="00CF17E5"/>
    <w:rsid w:val="00CF1D22"/>
    <w:rsid w:val="00CF1F32"/>
    <w:rsid w:val="00CF32D9"/>
    <w:rsid w:val="00CF37AA"/>
    <w:rsid w:val="00CF38BE"/>
    <w:rsid w:val="00CF3AB6"/>
    <w:rsid w:val="00CF4C22"/>
    <w:rsid w:val="00CF4F2D"/>
    <w:rsid w:val="00CF6081"/>
    <w:rsid w:val="00CF7720"/>
    <w:rsid w:val="00CF78A9"/>
    <w:rsid w:val="00CF7962"/>
    <w:rsid w:val="00CF7BCE"/>
    <w:rsid w:val="00D00F8A"/>
    <w:rsid w:val="00D01B59"/>
    <w:rsid w:val="00D0218D"/>
    <w:rsid w:val="00D035B7"/>
    <w:rsid w:val="00D03F59"/>
    <w:rsid w:val="00D06C8A"/>
    <w:rsid w:val="00D06DF6"/>
    <w:rsid w:val="00D07972"/>
    <w:rsid w:val="00D10199"/>
    <w:rsid w:val="00D103FE"/>
    <w:rsid w:val="00D12A4B"/>
    <w:rsid w:val="00D12BDA"/>
    <w:rsid w:val="00D13AF1"/>
    <w:rsid w:val="00D14971"/>
    <w:rsid w:val="00D161B6"/>
    <w:rsid w:val="00D163D7"/>
    <w:rsid w:val="00D16D3D"/>
    <w:rsid w:val="00D1765C"/>
    <w:rsid w:val="00D200C3"/>
    <w:rsid w:val="00D20134"/>
    <w:rsid w:val="00D20D1F"/>
    <w:rsid w:val="00D21DF9"/>
    <w:rsid w:val="00D21FB1"/>
    <w:rsid w:val="00D230A9"/>
    <w:rsid w:val="00D230B9"/>
    <w:rsid w:val="00D23BC1"/>
    <w:rsid w:val="00D23D12"/>
    <w:rsid w:val="00D25222"/>
    <w:rsid w:val="00D256F4"/>
    <w:rsid w:val="00D25FB5"/>
    <w:rsid w:val="00D268C2"/>
    <w:rsid w:val="00D26C0D"/>
    <w:rsid w:val="00D271B2"/>
    <w:rsid w:val="00D27451"/>
    <w:rsid w:val="00D30692"/>
    <w:rsid w:val="00D30A2C"/>
    <w:rsid w:val="00D310E1"/>
    <w:rsid w:val="00D311A8"/>
    <w:rsid w:val="00D315CC"/>
    <w:rsid w:val="00D322A5"/>
    <w:rsid w:val="00D32305"/>
    <w:rsid w:val="00D3254C"/>
    <w:rsid w:val="00D32A65"/>
    <w:rsid w:val="00D35439"/>
    <w:rsid w:val="00D35BEF"/>
    <w:rsid w:val="00D35C0C"/>
    <w:rsid w:val="00D36070"/>
    <w:rsid w:val="00D4069A"/>
    <w:rsid w:val="00D41219"/>
    <w:rsid w:val="00D4121C"/>
    <w:rsid w:val="00D41F1A"/>
    <w:rsid w:val="00D42D17"/>
    <w:rsid w:val="00D43DCD"/>
    <w:rsid w:val="00D43E38"/>
    <w:rsid w:val="00D43E91"/>
    <w:rsid w:val="00D44223"/>
    <w:rsid w:val="00D44D72"/>
    <w:rsid w:val="00D452A9"/>
    <w:rsid w:val="00D45E45"/>
    <w:rsid w:val="00D46098"/>
    <w:rsid w:val="00D46451"/>
    <w:rsid w:val="00D46951"/>
    <w:rsid w:val="00D46BE6"/>
    <w:rsid w:val="00D500E3"/>
    <w:rsid w:val="00D503AB"/>
    <w:rsid w:val="00D5061D"/>
    <w:rsid w:val="00D5087D"/>
    <w:rsid w:val="00D509F8"/>
    <w:rsid w:val="00D530AA"/>
    <w:rsid w:val="00D53A53"/>
    <w:rsid w:val="00D544EE"/>
    <w:rsid w:val="00D54832"/>
    <w:rsid w:val="00D56632"/>
    <w:rsid w:val="00D56A5B"/>
    <w:rsid w:val="00D57FC8"/>
    <w:rsid w:val="00D605E1"/>
    <w:rsid w:val="00D60E6F"/>
    <w:rsid w:val="00D61492"/>
    <w:rsid w:val="00D61534"/>
    <w:rsid w:val="00D61560"/>
    <w:rsid w:val="00D61B3F"/>
    <w:rsid w:val="00D62AB1"/>
    <w:rsid w:val="00D62E18"/>
    <w:rsid w:val="00D63C6C"/>
    <w:rsid w:val="00D6559F"/>
    <w:rsid w:val="00D65F43"/>
    <w:rsid w:val="00D66455"/>
    <w:rsid w:val="00D66B5E"/>
    <w:rsid w:val="00D66CAE"/>
    <w:rsid w:val="00D6702C"/>
    <w:rsid w:val="00D72061"/>
    <w:rsid w:val="00D72831"/>
    <w:rsid w:val="00D7313C"/>
    <w:rsid w:val="00D73442"/>
    <w:rsid w:val="00D73B37"/>
    <w:rsid w:val="00D74BB6"/>
    <w:rsid w:val="00D75394"/>
    <w:rsid w:val="00D75862"/>
    <w:rsid w:val="00D760E9"/>
    <w:rsid w:val="00D7664E"/>
    <w:rsid w:val="00D76BEE"/>
    <w:rsid w:val="00D76F17"/>
    <w:rsid w:val="00D7732C"/>
    <w:rsid w:val="00D779D3"/>
    <w:rsid w:val="00D77AFC"/>
    <w:rsid w:val="00D801C9"/>
    <w:rsid w:val="00D80560"/>
    <w:rsid w:val="00D8060B"/>
    <w:rsid w:val="00D826B9"/>
    <w:rsid w:val="00D82A8A"/>
    <w:rsid w:val="00D82FC5"/>
    <w:rsid w:val="00D835BC"/>
    <w:rsid w:val="00D83CF3"/>
    <w:rsid w:val="00D83D7C"/>
    <w:rsid w:val="00D84183"/>
    <w:rsid w:val="00D85862"/>
    <w:rsid w:val="00D868F8"/>
    <w:rsid w:val="00D86ED5"/>
    <w:rsid w:val="00D875A4"/>
    <w:rsid w:val="00D90A43"/>
    <w:rsid w:val="00D9152D"/>
    <w:rsid w:val="00D91EB1"/>
    <w:rsid w:val="00D91FE9"/>
    <w:rsid w:val="00D922D6"/>
    <w:rsid w:val="00D92404"/>
    <w:rsid w:val="00D95171"/>
    <w:rsid w:val="00D957E6"/>
    <w:rsid w:val="00D95DDF"/>
    <w:rsid w:val="00D974B5"/>
    <w:rsid w:val="00D978E5"/>
    <w:rsid w:val="00D97B72"/>
    <w:rsid w:val="00DA0395"/>
    <w:rsid w:val="00DA046D"/>
    <w:rsid w:val="00DA1C7A"/>
    <w:rsid w:val="00DA23C4"/>
    <w:rsid w:val="00DA2529"/>
    <w:rsid w:val="00DA2F72"/>
    <w:rsid w:val="00DA3037"/>
    <w:rsid w:val="00DA313A"/>
    <w:rsid w:val="00DA5747"/>
    <w:rsid w:val="00DA58F0"/>
    <w:rsid w:val="00DA5C35"/>
    <w:rsid w:val="00DA6036"/>
    <w:rsid w:val="00DA64E1"/>
    <w:rsid w:val="00DA72BD"/>
    <w:rsid w:val="00DB107A"/>
    <w:rsid w:val="00DB130A"/>
    <w:rsid w:val="00DB1D3A"/>
    <w:rsid w:val="00DB2EBB"/>
    <w:rsid w:val="00DB2EEC"/>
    <w:rsid w:val="00DB3893"/>
    <w:rsid w:val="00DB3A71"/>
    <w:rsid w:val="00DB3B74"/>
    <w:rsid w:val="00DB610E"/>
    <w:rsid w:val="00DB68B9"/>
    <w:rsid w:val="00DB694B"/>
    <w:rsid w:val="00DC0BCE"/>
    <w:rsid w:val="00DC10A1"/>
    <w:rsid w:val="00DC5150"/>
    <w:rsid w:val="00DC655F"/>
    <w:rsid w:val="00DC6E9B"/>
    <w:rsid w:val="00DC7DE7"/>
    <w:rsid w:val="00DD0903"/>
    <w:rsid w:val="00DD0B59"/>
    <w:rsid w:val="00DD14C5"/>
    <w:rsid w:val="00DD1C95"/>
    <w:rsid w:val="00DD2B06"/>
    <w:rsid w:val="00DD2CCE"/>
    <w:rsid w:val="00DD3552"/>
    <w:rsid w:val="00DD3C2A"/>
    <w:rsid w:val="00DD6578"/>
    <w:rsid w:val="00DD6D53"/>
    <w:rsid w:val="00DD791C"/>
    <w:rsid w:val="00DD7EBD"/>
    <w:rsid w:val="00DE0303"/>
    <w:rsid w:val="00DE0631"/>
    <w:rsid w:val="00DE1BEA"/>
    <w:rsid w:val="00DE1CDC"/>
    <w:rsid w:val="00DE240D"/>
    <w:rsid w:val="00DE27F6"/>
    <w:rsid w:val="00DE2C97"/>
    <w:rsid w:val="00DE33F3"/>
    <w:rsid w:val="00DE52AB"/>
    <w:rsid w:val="00DE5DCF"/>
    <w:rsid w:val="00DE601E"/>
    <w:rsid w:val="00DF13CE"/>
    <w:rsid w:val="00DF13D8"/>
    <w:rsid w:val="00DF1991"/>
    <w:rsid w:val="00DF2992"/>
    <w:rsid w:val="00DF2CFF"/>
    <w:rsid w:val="00DF346C"/>
    <w:rsid w:val="00DF3898"/>
    <w:rsid w:val="00DF56D4"/>
    <w:rsid w:val="00DF62B6"/>
    <w:rsid w:val="00DF6720"/>
    <w:rsid w:val="00DF75E3"/>
    <w:rsid w:val="00DF7AA6"/>
    <w:rsid w:val="00E00A48"/>
    <w:rsid w:val="00E00C06"/>
    <w:rsid w:val="00E01C28"/>
    <w:rsid w:val="00E03C8B"/>
    <w:rsid w:val="00E0501D"/>
    <w:rsid w:val="00E05D80"/>
    <w:rsid w:val="00E05E09"/>
    <w:rsid w:val="00E05FBA"/>
    <w:rsid w:val="00E07225"/>
    <w:rsid w:val="00E1026C"/>
    <w:rsid w:val="00E10348"/>
    <w:rsid w:val="00E12B09"/>
    <w:rsid w:val="00E143C5"/>
    <w:rsid w:val="00E15B68"/>
    <w:rsid w:val="00E16B37"/>
    <w:rsid w:val="00E16E01"/>
    <w:rsid w:val="00E17448"/>
    <w:rsid w:val="00E2023C"/>
    <w:rsid w:val="00E20812"/>
    <w:rsid w:val="00E22254"/>
    <w:rsid w:val="00E2303D"/>
    <w:rsid w:val="00E23AE7"/>
    <w:rsid w:val="00E244D3"/>
    <w:rsid w:val="00E24E7A"/>
    <w:rsid w:val="00E2513D"/>
    <w:rsid w:val="00E25CBD"/>
    <w:rsid w:val="00E26141"/>
    <w:rsid w:val="00E2712A"/>
    <w:rsid w:val="00E2732D"/>
    <w:rsid w:val="00E278EF"/>
    <w:rsid w:val="00E3064B"/>
    <w:rsid w:val="00E30B2E"/>
    <w:rsid w:val="00E30BC7"/>
    <w:rsid w:val="00E30C0C"/>
    <w:rsid w:val="00E316FD"/>
    <w:rsid w:val="00E32141"/>
    <w:rsid w:val="00E323F5"/>
    <w:rsid w:val="00E341E6"/>
    <w:rsid w:val="00E35FCA"/>
    <w:rsid w:val="00E36007"/>
    <w:rsid w:val="00E3618B"/>
    <w:rsid w:val="00E36F64"/>
    <w:rsid w:val="00E37365"/>
    <w:rsid w:val="00E379BC"/>
    <w:rsid w:val="00E41A72"/>
    <w:rsid w:val="00E4269D"/>
    <w:rsid w:val="00E4280A"/>
    <w:rsid w:val="00E42ACE"/>
    <w:rsid w:val="00E4355E"/>
    <w:rsid w:val="00E43B1D"/>
    <w:rsid w:val="00E4418D"/>
    <w:rsid w:val="00E446A6"/>
    <w:rsid w:val="00E452C1"/>
    <w:rsid w:val="00E45496"/>
    <w:rsid w:val="00E45498"/>
    <w:rsid w:val="00E45632"/>
    <w:rsid w:val="00E45811"/>
    <w:rsid w:val="00E45DF2"/>
    <w:rsid w:val="00E45E9F"/>
    <w:rsid w:val="00E45F4F"/>
    <w:rsid w:val="00E50609"/>
    <w:rsid w:val="00E514CD"/>
    <w:rsid w:val="00E51D11"/>
    <w:rsid w:val="00E52459"/>
    <w:rsid w:val="00E533BD"/>
    <w:rsid w:val="00E5409F"/>
    <w:rsid w:val="00E541A7"/>
    <w:rsid w:val="00E56326"/>
    <w:rsid w:val="00E56F26"/>
    <w:rsid w:val="00E5735F"/>
    <w:rsid w:val="00E5771A"/>
    <w:rsid w:val="00E57827"/>
    <w:rsid w:val="00E57F4F"/>
    <w:rsid w:val="00E6054F"/>
    <w:rsid w:val="00E612B5"/>
    <w:rsid w:val="00E62981"/>
    <w:rsid w:val="00E632F8"/>
    <w:rsid w:val="00E63B7D"/>
    <w:rsid w:val="00E67120"/>
    <w:rsid w:val="00E67433"/>
    <w:rsid w:val="00E674E9"/>
    <w:rsid w:val="00E73B05"/>
    <w:rsid w:val="00E742F3"/>
    <w:rsid w:val="00E74643"/>
    <w:rsid w:val="00E74E52"/>
    <w:rsid w:val="00E7765E"/>
    <w:rsid w:val="00E77AA0"/>
    <w:rsid w:val="00E80117"/>
    <w:rsid w:val="00E8038F"/>
    <w:rsid w:val="00E80AB1"/>
    <w:rsid w:val="00E80B78"/>
    <w:rsid w:val="00E8167D"/>
    <w:rsid w:val="00E81B25"/>
    <w:rsid w:val="00E822C2"/>
    <w:rsid w:val="00E8308C"/>
    <w:rsid w:val="00E834B3"/>
    <w:rsid w:val="00E838D7"/>
    <w:rsid w:val="00E83D91"/>
    <w:rsid w:val="00E845AA"/>
    <w:rsid w:val="00E846E7"/>
    <w:rsid w:val="00E84BDD"/>
    <w:rsid w:val="00E85054"/>
    <w:rsid w:val="00E85AD6"/>
    <w:rsid w:val="00E860E1"/>
    <w:rsid w:val="00E87064"/>
    <w:rsid w:val="00E90620"/>
    <w:rsid w:val="00E90998"/>
    <w:rsid w:val="00E90CA3"/>
    <w:rsid w:val="00E90E06"/>
    <w:rsid w:val="00E9182B"/>
    <w:rsid w:val="00E93076"/>
    <w:rsid w:val="00E9311A"/>
    <w:rsid w:val="00E93441"/>
    <w:rsid w:val="00E93CCC"/>
    <w:rsid w:val="00E94020"/>
    <w:rsid w:val="00E94E62"/>
    <w:rsid w:val="00E950AF"/>
    <w:rsid w:val="00E95246"/>
    <w:rsid w:val="00E9529D"/>
    <w:rsid w:val="00E958B8"/>
    <w:rsid w:val="00EA1F9B"/>
    <w:rsid w:val="00EA2C46"/>
    <w:rsid w:val="00EA3739"/>
    <w:rsid w:val="00EA4979"/>
    <w:rsid w:val="00EA64E0"/>
    <w:rsid w:val="00EA6722"/>
    <w:rsid w:val="00EA6EDD"/>
    <w:rsid w:val="00EA7AB2"/>
    <w:rsid w:val="00EB14DF"/>
    <w:rsid w:val="00EB2F5E"/>
    <w:rsid w:val="00EB2F67"/>
    <w:rsid w:val="00EB353B"/>
    <w:rsid w:val="00EB3D3D"/>
    <w:rsid w:val="00EB4200"/>
    <w:rsid w:val="00EB4A31"/>
    <w:rsid w:val="00EB4E42"/>
    <w:rsid w:val="00EB5273"/>
    <w:rsid w:val="00EB52AE"/>
    <w:rsid w:val="00EB65F9"/>
    <w:rsid w:val="00EB7725"/>
    <w:rsid w:val="00EC1243"/>
    <w:rsid w:val="00EC3055"/>
    <w:rsid w:val="00EC4119"/>
    <w:rsid w:val="00EC4374"/>
    <w:rsid w:val="00EC4986"/>
    <w:rsid w:val="00EC4D0A"/>
    <w:rsid w:val="00EC54C6"/>
    <w:rsid w:val="00EC5856"/>
    <w:rsid w:val="00EC5E80"/>
    <w:rsid w:val="00EC6401"/>
    <w:rsid w:val="00EC6CEC"/>
    <w:rsid w:val="00EC6D3B"/>
    <w:rsid w:val="00EC7C64"/>
    <w:rsid w:val="00ED2817"/>
    <w:rsid w:val="00ED291E"/>
    <w:rsid w:val="00ED361D"/>
    <w:rsid w:val="00ED41D8"/>
    <w:rsid w:val="00ED42A8"/>
    <w:rsid w:val="00ED4332"/>
    <w:rsid w:val="00ED47C0"/>
    <w:rsid w:val="00ED4924"/>
    <w:rsid w:val="00ED5028"/>
    <w:rsid w:val="00ED5747"/>
    <w:rsid w:val="00ED5BEA"/>
    <w:rsid w:val="00ED615A"/>
    <w:rsid w:val="00ED643D"/>
    <w:rsid w:val="00ED6527"/>
    <w:rsid w:val="00ED66D1"/>
    <w:rsid w:val="00ED7168"/>
    <w:rsid w:val="00ED7540"/>
    <w:rsid w:val="00ED77B0"/>
    <w:rsid w:val="00ED7E88"/>
    <w:rsid w:val="00EE1169"/>
    <w:rsid w:val="00EE186F"/>
    <w:rsid w:val="00EE203A"/>
    <w:rsid w:val="00EE27C6"/>
    <w:rsid w:val="00EE282D"/>
    <w:rsid w:val="00EE29BE"/>
    <w:rsid w:val="00EE2BB6"/>
    <w:rsid w:val="00EE6488"/>
    <w:rsid w:val="00EE6ABC"/>
    <w:rsid w:val="00EE72BB"/>
    <w:rsid w:val="00EF0982"/>
    <w:rsid w:val="00EF145C"/>
    <w:rsid w:val="00EF1A95"/>
    <w:rsid w:val="00EF35AE"/>
    <w:rsid w:val="00EF591C"/>
    <w:rsid w:val="00EF66BC"/>
    <w:rsid w:val="00EF6CD4"/>
    <w:rsid w:val="00EF71F0"/>
    <w:rsid w:val="00EF7C43"/>
    <w:rsid w:val="00EF7D7B"/>
    <w:rsid w:val="00F01642"/>
    <w:rsid w:val="00F021FA"/>
    <w:rsid w:val="00F022CD"/>
    <w:rsid w:val="00F03A1D"/>
    <w:rsid w:val="00F03D4E"/>
    <w:rsid w:val="00F042EC"/>
    <w:rsid w:val="00F045A2"/>
    <w:rsid w:val="00F04E5E"/>
    <w:rsid w:val="00F05323"/>
    <w:rsid w:val="00F05C7A"/>
    <w:rsid w:val="00F06077"/>
    <w:rsid w:val="00F06417"/>
    <w:rsid w:val="00F103FB"/>
    <w:rsid w:val="00F11456"/>
    <w:rsid w:val="00F11544"/>
    <w:rsid w:val="00F11FD9"/>
    <w:rsid w:val="00F12589"/>
    <w:rsid w:val="00F12895"/>
    <w:rsid w:val="00F130E1"/>
    <w:rsid w:val="00F145EB"/>
    <w:rsid w:val="00F15003"/>
    <w:rsid w:val="00F15007"/>
    <w:rsid w:val="00F1567F"/>
    <w:rsid w:val="00F16CCC"/>
    <w:rsid w:val="00F20310"/>
    <w:rsid w:val="00F210C7"/>
    <w:rsid w:val="00F21331"/>
    <w:rsid w:val="00F21450"/>
    <w:rsid w:val="00F21825"/>
    <w:rsid w:val="00F218F8"/>
    <w:rsid w:val="00F2213A"/>
    <w:rsid w:val="00F234FB"/>
    <w:rsid w:val="00F24309"/>
    <w:rsid w:val="00F24D66"/>
    <w:rsid w:val="00F27066"/>
    <w:rsid w:val="00F27A14"/>
    <w:rsid w:val="00F27C42"/>
    <w:rsid w:val="00F27C55"/>
    <w:rsid w:val="00F30DF1"/>
    <w:rsid w:val="00F32DFB"/>
    <w:rsid w:val="00F33502"/>
    <w:rsid w:val="00F33BF5"/>
    <w:rsid w:val="00F33F6E"/>
    <w:rsid w:val="00F35612"/>
    <w:rsid w:val="00F36A5E"/>
    <w:rsid w:val="00F404D5"/>
    <w:rsid w:val="00F40E75"/>
    <w:rsid w:val="00F41320"/>
    <w:rsid w:val="00F43704"/>
    <w:rsid w:val="00F4611D"/>
    <w:rsid w:val="00F46722"/>
    <w:rsid w:val="00F46AE7"/>
    <w:rsid w:val="00F475A6"/>
    <w:rsid w:val="00F50248"/>
    <w:rsid w:val="00F504F2"/>
    <w:rsid w:val="00F50DFB"/>
    <w:rsid w:val="00F510F3"/>
    <w:rsid w:val="00F51B7E"/>
    <w:rsid w:val="00F52B5C"/>
    <w:rsid w:val="00F54109"/>
    <w:rsid w:val="00F54A97"/>
    <w:rsid w:val="00F54B35"/>
    <w:rsid w:val="00F54EE1"/>
    <w:rsid w:val="00F5609F"/>
    <w:rsid w:val="00F57476"/>
    <w:rsid w:val="00F57FE9"/>
    <w:rsid w:val="00F600A5"/>
    <w:rsid w:val="00F601CC"/>
    <w:rsid w:val="00F60910"/>
    <w:rsid w:val="00F62E97"/>
    <w:rsid w:val="00F63190"/>
    <w:rsid w:val="00F64209"/>
    <w:rsid w:val="00F67AA8"/>
    <w:rsid w:val="00F70CC2"/>
    <w:rsid w:val="00F7199F"/>
    <w:rsid w:val="00F71E77"/>
    <w:rsid w:val="00F720FF"/>
    <w:rsid w:val="00F72893"/>
    <w:rsid w:val="00F72B4E"/>
    <w:rsid w:val="00F72DDB"/>
    <w:rsid w:val="00F73941"/>
    <w:rsid w:val="00F742E4"/>
    <w:rsid w:val="00F7473A"/>
    <w:rsid w:val="00F75DB5"/>
    <w:rsid w:val="00F7681A"/>
    <w:rsid w:val="00F76B8C"/>
    <w:rsid w:val="00F7772E"/>
    <w:rsid w:val="00F80DCB"/>
    <w:rsid w:val="00F80DE5"/>
    <w:rsid w:val="00F80DF2"/>
    <w:rsid w:val="00F80ECE"/>
    <w:rsid w:val="00F8128F"/>
    <w:rsid w:val="00F82956"/>
    <w:rsid w:val="00F829FF"/>
    <w:rsid w:val="00F82FDA"/>
    <w:rsid w:val="00F8301F"/>
    <w:rsid w:val="00F83602"/>
    <w:rsid w:val="00F8384D"/>
    <w:rsid w:val="00F866C8"/>
    <w:rsid w:val="00F87154"/>
    <w:rsid w:val="00F8793D"/>
    <w:rsid w:val="00F91744"/>
    <w:rsid w:val="00F9192B"/>
    <w:rsid w:val="00F93883"/>
    <w:rsid w:val="00F93BF5"/>
    <w:rsid w:val="00F9504A"/>
    <w:rsid w:val="00F95D09"/>
    <w:rsid w:val="00F96EA1"/>
    <w:rsid w:val="00F9774F"/>
    <w:rsid w:val="00FA1075"/>
    <w:rsid w:val="00FA1570"/>
    <w:rsid w:val="00FA16C0"/>
    <w:rsid w:val="00FA1C28"/>
    <w:rsid w:val="00FA21FC"/>
    <w:rsid w:val="00FA4815"/>
    <w:rsid w:val="00FA48EB"/>
    <w:rsid w:val="00FA618D"/>
    <w:rsid w:val="00FA63BC"/>
    <w:rsid w:val="00FA7F7E"/>
    <w:rsid w:val="00FB00F8"/>
    <w:rsid w:val="00FB082E"/>
    <w:rsid w:val="00FB11B8"/>
    <w:rsid w:val="00FB3051"/>
    <w:rsid w:val="00FB3446"/>
    <w:rsid w:val="00FB362F"/>
    <w:rsid w:val="00FB37D8"/>
    <w:rsid w:val="00FB3B59"/>
    <w:rsid w:val="00FB4357"/>
    <w:rsid w:val="00FB4AE3"/>
    <w:rsid w:val="00FB6F29"/>
    <w:rsid w:val="00FB725A"/>
    <w:rsid w:val="00FB7585"/>
    <w:rsid w:val="00FC0B50"/>
    <w:rsid w:val="00FC1E6C"/>
    <w:rsid w:val="00FC2179"/>
    <w:rsid w:val="00FC3D5E"/>
    <w:rsid w:val="00FC5135"/>
    <w:rsid w:val="00FC63B4"/>
    <w:rsid w:val="00FC652B"/>
    <w:rsid w:val="00FC6DE2"/>
    <w:rsid w:val="00FD0366"/>
    <w:rsid w:val="00FD0638"/>
    <w:rsid w:val="00FD0D42"/>
    <w:rsid w:val="00FD25C2"/>
    <w:rsid w:val="00FD2BC4"/>
    <w:rsid w:val="00FD31C8"/>
    <w:rsid w:val="00FD4051"/>
    <w:rsid w:val="00FD4912"/>
    <w:rsid w:val="00FD4979"/>
    <w:rsid w:val="00FD4DCD"/>
    <w:rsid w:val="00FD4E7D"/>
    <w:rsid w:val="00FD60C4"/>
    <w:rsid w:val="00FD6DB6"/>
    <w:rsid w:val="00FD703B"/>
    <w:rsid w:val="00FD71BC"/>
    <w:rsid w:val="00FD7863"/>
    <w:rsid w:val="00FD7D36"/>
    <w:rsid w:val="00FD7F05"/>
    <w:rsid w:val="00FE0A81"/>
    <w:rsid w:val="00FE0FF3"/>
    <w:rsid w:val="00FE2F44"/>
    <w:rsid w:val="00FE43C1"/>
    <w:rsid w:val="00FE4FC4"/>
    <w:rsid w:val="00FE69DB"/>
    <w:rsid w:val="00FF0495"/>
    <w:rsid w:val="00FF0F0A"/>
    <w:rsid w:val="00FF115C"/>
    <w:rsid w:val="00FF153A"/>
    <w:rsid w:val="00FF21C2"/>
    <w:rsid w:val="00FF3248"/>
    <w:rsid w:val="00FF44C4"/>
    <w:rsid w:val="00FF5E4A"/>
    <w:rsid w:val="00FF6967"/>
    <w:rsid w:val="00FF69D7"/>
    <w:rsid w:val="00FF7ABB"/>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Footnote Text Char2 Char Char Char,f,fn,fn Char"/>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ListParagraph">
    <w:name w:val="List Paragraph"/>
    <w:basedOn w:val="Normal"/>
    <w:uiPriority w:val="34"/>
    <w:qFormat/>
    <w:rsid w:val="0095721A"/>
    <w:pPr>
      <w:widowControl/>
      <w:spacing w:after="160" w:line="259" w:lineRule="auto"/>
      <w:ind w:left="720"/>
      <w:contextualSpacing/>
    </w:pPr>
    <w:rPr>
      <w:rFonts w:ascii="Calibri" w:eastAsia="Calibri" w:hAnsi="Calibri"/>
      <w:snapToGrid/>
      <w:kern w:val="0"/>
      <w:szCs w:val="22"/>
    </w:rPr>
  </w:style>
  <w:style w:type="character" w:customStyle="1" w:styleId="FootnoteTextChar">
    <w:name w:val="Footnote Text Char"/>
    <w:aliases w:val="ALTS FOOTNOTE Char Char,ALTS FOOTNOTE Char1,Footnote Text Char Char Char Char,Footnote Text Char1 Char Char,Footnote Text Char1 Char1 Char Char Char Char,Footnote Text Char2 Char Char Char Char,f Char,fn Char Char,fn Char1"/>
    <w:link w:val="FootnoteText"/>
    <w:rsid w:val="001940F0"/>
  </w:style>
  <w:style w:type="character" w:customStyle="1" w:styleId="ParaNumChar">
    <w:name w:val="ParaNum Char"/>
    <w:link w:val="ParaNum"/>
    <w:locked/>
    <w:rsid w:val="00CD5F5F"/>
    <w:rPr>
      <w:snapToGrid w:val="0"/>
      <w:kern w:val="28"/>
      <w:sz w:val="22"/>
    </w:rPr>
  </w:style>
  <w:style w:type="character" w:customStyle="1" w:styleId="UnresolvedMention1">
    <w:name w:val="Unresolved Mention1"/>
    <w:uiPriority w:val="99"/>
    <w:semiHidden/>
    <w:unhideWhenUsed/>
    <w:rsid w:val="00E3064B"/>
    <w:rPr>
      <w:color w:val="605E5C"/>
      <w:shd w:val="clear" w:color="auto" w:fill="E1DFDD"/>
    </w:rPr>
  </w:style>
  <w:style w:type="character" w:styleId="FollowedHyperlink">
    <w:name w:val="FollowedHyperlink"/>
    <w:rsid w:val="00E3064B"/>
    <w:rPr>
      <w:color w:val="954F72"/>
      <w:u w:val="single"/>
    </w:rPr>
  </w:style>
  <w:style w:type="paragraph" w:styleId="BalloonText">
    <w:name w:val="Balloon Text"/>
    <w:basedOn w:val="Normal"/>
    <w:link w:val="BalloonTextChar"/>
    <w:semiHidden/>
    <w:unhideWhenUsed/>
    <w:rsid w:val="00552999"/>
    <w:rPr>
      <w:rFonts w:ascii="Segoe UI" w:hAnsi="Segoe UI" w:cs="Segoe UI"/>
      <w:sz w:val="18"/>
      <w:szCs w:val="18"/>
    </w:rPr>
  </w:style>
  <w:style w:type="character" w:customStyle="1" w:styleId="BalloonTextChar">
    <w:name w:val="Balloon Text Char"/>
    <w:link w:val="BalloonText"/>
    <w:semiHidden/>
    <w:rsid w:val="00552999"/>
    <w:rPr>
      <w:rFonts w:ascii="Segoe UI" w:hAnsi="Segoe UI" w:cs="Segoe UI"/>
      <w:snapToGrid w:val="0"/>
      <w:kern w:val="28"/>
      <w:sz w:val="18"/>
      <w:szCs w:val="18"/>
    </w:rPr>
  </w:style>
  <w:style w:type="table" w:styleId="TableGrid">
    <w:name w:val="Table Grid"/>
    <w:basedOn w:val="TableNormal"/>
    <w:rsid w:val="00BC1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97AC9"/>
    <w:rPr>
      <w:sz w:val="16"/>
      <w:szCs w:val="16"/>
    </w:rPr>
  </w:style>
  <w:style w:type="paragraph" w:styleId="CommentText">
    <w:name w:val="annotation text"/>
    <w:basedOn w:val="Normal"/>
    <w:link w:val="CommentTextChar"/>
    <w:rsid w:val="00A97AC9"/>
    <w:rPr>
      <w:sz w:val="20"/>
    </w:rPr>
  </w:style>
  <w:style w:type="character" w:customStyle="1" w:styleId="CommentTextChar">
    <w:name w:val="Comment Text Char"/>
    <w:link w:val="CommentText"/>
    <w:rsid w:val="00A97AC9"/>
    <w:rPr>
      <w:snapToGrid w:val="0"/>
      <w:kern w:val="28"/>
    </w:rPr>
  </w:style>
  <w:style w:type="paragraph" w:styleId="CommentSubject">
    <w:name w:val="annotation subject"/>
    <w:basedOn w:val="CommentText"/>
    <w:next w:val="CommentText"/>
    <w:link w:val="CommentSubjectChar"/>
    <w:rsid w:val="00A97AC9"/>
    <w:rPr>
      <w:b/>
      <w:bCs/>
    </w:rPr>
  </w:style>
  <w:style w:type="character" w:customStyle="1" w:styleId="CommentSubjectChar">
    <w:name w:val="Comment Subject Char"/>
    <w:link w:val="CommentSubject"/>
    <w:rsid w:val="00A97AC9"/>
    <w:rPr>
      <w:b/>
      <w:bCs/>
      <w:snapToGrid w:val="0"/>
      <w:kern w:val="28"/>
    </w:rPr>
  </w:style>
  <w:style w:type="character" w:customStyle="1" w:styleId="UnresolvedMention2">
    <w:name w:val="Unresolved Mention2"/>
    <w:basedOn w:val="DefaultParagraphFont"/>
    <w:uiPriority w:val="99"/>
    <w:semiHidden/>
    <w:unhideWhenUsed/>
    <w:rsid w:val="00B877E1"/>
    <w:rPr>
      <w:color w:val="605E5C"/>
      <w:shd w:val="clear" w:color="auto" w:fill="E1DFDD"/>
    </w:rPr>
  </w:style>
  <w:style w:type="character" w:customStyle="1" w:styleId="UnresolvedMention3">
    <w:name w:val="Unresolved Mention3"/>
    <w:basedOn w:val="DefaultParagraphFont"/>
    <w:uiPriority w:val="99"/>
    <w:semiHidden/>
    <w:unhideWhenUsed/>
    <w:rsid w:val="008D2A1E"/>
    <w:rPr>
      <w:color w:val="605E5C"/>
      <w:shd w:val="clear" w:color="auto" w:fill="E1DFDD"/>
    </w:rPr>
  </w:style>
  <w:style w:type="paragraph" w:styleId="Revision">
    <w:name w:val="Revision"/>
    <w:hidden/>
    <w:uiPriority w:val="99"/>
    <w:semiHidden/>
    <w:rsid w:val="002F6050"/>
    <w:rPr>
      <w:snapToGrid w:val="0"/>
      <w:kern w:val="28"/>
      <w:sz w:val="22"/>
    </w:rPr>
  </w:style>
  <w:style w:type="character" w:customStyle="1" w:styleId="UnresolvedMention4">
    <w:name w:val="Unresolved Mention4"/>
    <w:basedOn w:val="DefaultParagraphFont"/>
    <w:uiPriority w:val="99"/>
    <w:semiHidden/>
    <w:unhideWhenUsed/>
    <w:rsid w:val="00B22574"/>
    <w:rPr>
      <w:color w:val="605E5C"/>
      <w:shd w:val="clear" w:color="auto" w:fill="E1DFDD"/>
    </w:rPr>
  </w:style>
  <w:style w:type="character" w:customStyle="1" w:styleId="UnresolvedMention5">
    <w:name w:val="Unresolved Mention5"/>
    <w:basedOn w:val="DefaultParagraphFont"/>
    <w:uiPriority w:val="99"/>
    <w:semiHidden/>
    <w:unhideWhenUsed/>
    <w:rsid w:val="00091934"/>
    <w:rPr>
      <w:color w:val="605E5C"/>
      <w:shd w:val="clear" w:color="auto" w:fill="E1DFDD"/>
    </w:rPr>
  </w:style>
  <w:style w:type="character" w:customStyle="1" w:styleId="UnresolvedMention6">
    <w:name w:val="Unresolved Mention6"/>
    <w:basedOn w:val="DefaultParagraphFont"/>
    <w:uiPriority w:val="99"/>
    <w:semiHidden/>
    <w:unhideWhenUsed/>
    <w:rsid w:val="004B7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calltransparency.com" TargetMode="External" /><Relationship Id="rId11" Type="http://schemas.openxmlformats.org/officeDocument/2006/relationships/hyperlink" Target="mailto:nospam@ftr.com" TargetMode="External" /><Relationship Id="rId12" Type="http://schemas.openxmlformats.org/officeDocument/2006/relationships/hyperlink" Target="https://reportarobocall.com/trf/" TargetMode="External" /><Relationship Id="rId13" Type="http://schemas.openxmlformats.org/officeDocument/2006/relationships/hyperlink" Target="https://feedback.fosrvt.com/" TargetMode="External" /><Relationship Id="rId14" Type="http://schemas.openxmlformats.org/officeDocument/2006/relationships/hyperlink" Target="https://calltransparency.com" TargetMode="External" /><Relationship Id="rId15" Type="http://schemas.openxmlformats.org/officeDocument/2006/relationships/hyperlink" Target="https://www.uscellular.com/support/robocall/index.html" TargetMode="External" /><Relationship Id="rId16" Type="http://schemas.openxmlformats.org/officeDocument/2006/relationships/hyperlink" Target="http://www.voicespamfeedback.com" TargetMode="External" /><Relationship Id="rId17" Type="http://schemas.openxmlformats.org/officeDocument/2006/relationships/hyperlink" Target="http://www.spamalerts.verizon.com" TargetMode="External" /><Relationship Id="rId18" Type="http://schemas.openxmlformats.org/officeDocument/2006/relationships/hyperlink" Target="mailto:WINDSTREAM.NetworkAbuse@windstream.com" TargetMode="External" /><Relationship Id="rId19" Type="http://schemas.openxmlformats.org/officeDocument/2006/relationships/header" Target="header1.xml" /><Relationship Id="rId2" Type="http://schemas.openxmlformats.org/officeDocument/2006/relationships/settings" Target="settings.xml" /><Relationship Id="rId20" Type="http://schemas.openxmlformats.org/officeDocument/2006/relationships/footer" Target="footer1.xml" /><Relationship Id="rId21" Type="http://schemas.openxmlformats.org/officeDocument/2006/relationships/footer" Target="footer2.xml" /><Relationship Id="rId22" Type="http://schemas.openxmlformats.org/officeDocument/2006/relationships/header" Target="header2.xml" /><Relationship Id="rId23" Type="http://schemas.openxmlformats.org/officeDocument/2006/relationships/footer" Target="footer3.xml" /><Relationship Id="rId24" Type="http://schemas.openxmlformats.org/officeDocument/2006/relationships/theme" Target="theme/theme1.xml" /><Relationship Id="rId25" Type="http://schemas.openxmlformats.org/officeDocument/2006/relationships/numbering" Target="numbering.xml" /><Relationship Id="rId26"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att.com/reviewmycalllabel" TargetMode="External" /><Relationship Id="rId6" Type="http://schemas.openxmlformats.org/officeDocument/2006/relationships/hyperlink" Target="mailto:dl-GFMOBusinessFra@ATT.com" TargetMode="External" /><Relationship Id="rId7" Type="http://schemas.openxmlformats.org/officeDocument/2006/relationships/hyperlink" Target="https://hiyahelp.zendesk.com/hc/en-us/requests/new" TargetMode="External" /><Relationship Id="rId8" Type="http://schemas.openxmlformats.org/officeDocument/2006/relationships/hyperlink" Target="mailto:robocall.reporting@centurylink.com" TargetMode="External" /><Relationship Id="rId9" Type="http://schemas.openxmlformats.org/officeDocument/2006/relationships/hyperlink" Target="http://www.nomorobo.com/contact"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docs.fcc.gov/public/attachments/FCC-20-74A1.pdf" TargetMode="External" /><Relationship Id="rId10" Type="http://schemas.openxmlformats.org/officeDocument/2006/relationships/hyperlink" Target="https://public.tableau.com/profile/federal.trade.commission" TargetMode="External" /><Relationship Id="rId11" Type="http://schemas.openxmlformats.org/officeDocument/2006/relationships/hyperlink" Target="https://robocallindex.com/" TargetMode="External" /><Relationship Id="rId12" Type="http://schemas.openxmlformats.org/officeDocument/2006/relationships/hyperlink" Target="https://hiya.com/state-of-the-call" TargetMode="External" /><Relationship Id="rId13" Type="http://schemas.openxmlformats.org/officeDocument/2006/relationships/hyperlink" Target="https://firstorion.com/nearly-50-of-u-s-mobile-traffic-will-be-scam-calls-by-2019/" TargetMode="External" /><Relationship Id="rId14" Type="http://schemas.openxmlformats.org/officeDocument/2006/relationships/hyperlink" Target="https://robocallindex.com/history/time" TargetMode="External" /><Relationship Id="rId15" Type="http://schemas.openxmlformats.org/officeDocument/2006/relationships/hyperlink" Target="https://www.gao.gov/assets/710/703362.pdf" TargetMode="External" /><Relationship Id="rId16" Type="http://schemas.openxmlformats.org/officeDocument/2006/relationships/hyperlink" Target="https://www.fcc.gov/consumers/guides/stop-unwanted-robocalls-and-texts" TargetMode="External" /><Relationship Id="rId17" Type="http://schemas.openxmlformats.org/officeDocument/2006/relationships/hyperlink" Target="https://www.fcc.gov/scam-glossary" TargetMode="External" /><Relationship Id="rId18" Type="http://schemas.openxmlformats.org/officeDocument/2006/relationships/hyperlink" Target="https://www.fcc.gov/rural-tour-dispatches" TargetMode="External" /><Relationship Id="rId19" Type="http://schemas.openxmlformats.org/officeDocument/2006/relationships/hyperlink" Target="https://assets.hiya.com/public/pdf/HiyaStateOfTheCall2019.pdf?v=ff6a3203004af7328a696e57bcb949dd" TargetMode="External" /><Relationship Id="rId2" Type="http://schemas.openxmlformats.org/officeDocument/2006/relationships/hyperlink" Target="https://www.washingtonpost.com/technology/2020/03/19/robocalls-coronavirus-test/" TargetMode="External" /><Relationship Id="rId20" Type="http://schemas.openxmlformats.org/officeDocument/2006/relationships/hyperlink" Target="https://www.fcc.gov/consumers/guides/stop-unwanted-robocalls-and-texts?from=home" TargetMode="External" /><Relationship Id="rId21" Type="http://schemas.openxmlformats.org/officeDocument/2006/relationships/hyperlink" Target="https://www.fcc.gov/about-fcc/fcc-initiatives/fccs-push-combat-robocalls-spoofing" TargetMode="External" /><Relationship Id="rId22" Type="http://schemas.openxmlformats.org/officeDocument/2006/relationships/hyperlink" Target="https://www.fcc.gov/consumers" TargetMode="External" /><Relationship Id="rId23" Type="http://schemas.openxmlformats.org/officeDocument/2006/relationships/hyperlink" Target="https://www.fcc.gov/covid-scams" TargetMode="External" /><Relationship Id="rId24" Type="http://schemas.openxmlformats.org/officeDocument/2006/relationships/hyperlink" Target="https://www.verizonwireless.com/support/knowledge-base-200867/" TargetMode="External" /><Relationship Id="rId25" Type="http://schemas.openxmlformats.org/officeDocument/2006/relationships/hyperlink" Target="https://www.att.com/support/article/wireless/KM1009412/" TargetMode="External" /><Relationship Id="rId26" Type="http://schemas.openxmlformats.org/officeDocument/2006/relationships/hyperlink" Target="https://www.ctia.org/consumer-resources/how-to-stop-robocalls" TargetMode="External" /><Relationship Id="rId27" Type="http://schemas.openxmlformats.org/officeDocument/2006/relationships/hyperlink" Target="https://www.fcc.gov/consumers/guides/one-ring-phone-scam" TargetMode="External" /><Relationship Id="rId28" Type="http://schemas.openxmlformats.org/officeDocument/2006/relationships/hyperlink" Target="https://www.fcc.gov/consumers/guides/spoofing-and-caller-id" TargetMode="External" /><Relationship Id="rId29" Type="http://schemas.openxmlformats.org/officeDocument/2006/relationships/hyperlink" Target="https://www.fcc.gov/call-authentication" TargetMode="External" /><Relationship Id="rId3" Type="http://schemas.openxmlformats.org/officeDocument/2006/relationships/hyperlink" Target="https://www.fcc.gov/document/fcc-ftc-demand-gateway-providers-cut-covid-19-robocall-scammers" TargetMode="External" /><Relationship Id="rId30" Type="http://schemas.openxmlformats.org/officeDocument/2006/relationships/hyperlink" Target="https://about.att.com/story/2019/call_validation_displays.html" TargetMode="External" /><Relationship Id="rId31" Type="http://schemas.openxmlformats.org/officeDocument/2006/relationships/hyperlink" Target="https://www.verizon.com/about/responsibility/robocalls" TargetMode="External" /><Relationship Id="rId32" Type="http://schemas.openxmlformats.org/officeDocument/2006/relationships/hyperlink" Target="https://www.t-mobile.com/customers/mobile-security" TargetMode="External" /><Relationship Id="rId33" Type="http://schemas.openxmlformats.org/officeDocument/2006/relationships/hyperlink" Target="http://nanc-chair.org/docs/mtg_docs/May_18_Call_Authentication_Trust_Anchor_NANC_Final_Report.pdf" TargetMode="External" /><Relationship Id="rId34" Type="http://schemas.openxmlformats.org/officeDocument/2006/relationships/hyperlink" Target="https://www.fcc.gov/document/chairman-pai-demands-industry-adopt-protocols-end-illegal-spoofing" TargetMode="External" /><Relationship Id="rId35" Type="http://schemas.openxmlformats.org/officeDocument/2006/relationships/hyperlink" Target="https://docs.fcc.gov/public/attachments/DOC-356187A1.pdf" TargetMode="External" /><Relationship Id="rId36" Type="http://schemas.openxmlformats.org/officeDocument/2006/relationships/hyperlink" Target="https://investor.t-mobile.com/news-and-events/t-mobile-us-press-releases/press-release-details/2020/T-Mobile-Completes-Merger-with-Sprint-to-Create-the-New-T-Mobile/default.aspx" TargetMode="External" /><Relationship Id="rId37" Type="http://schemas.openxmlformats.org/officeDocument/2006/relationships/hyperlink" Target="https://www.t-mobile.com/brand/t-mobile-sprint-merger-updates" TargetMode="External" /><Relationship Id="rId38" Type="http://schemas.openxmlformats.org/officeDocument/2006/relationships/hyperlink" Target="https://www.att.com/help/robocalling.html" TargetMode="External" /><Relationship Id="rId39" Type="http://schemas.openxmlformats.org/officeDocument/2006/relationships/hyperlink" Target="https://about.att.com/story/2019/att_call_protect.html" TargetMode="External" /><Relationship Id="rId4" Type="http://schemas.openxmlformats.org/officeDocument/2006/relationships/hyperlink" Target="https://www.fcc.gov/document/fcc-ftc-demand-robocall-enabling-service-providers-cut-scammers" TargetMode="External" /><Relationship Id="rId40" Type="http://schemas.openxmlformats.org/officeDocument/2006/relationships/hyperlink" Target="https://www.verizonwireless.com/support/block-numbers/" TargetMode="External" /><Relationship Id="rId41" Type="http://schemas.openxmlformats.org/officeDocument/2006/relationships/hyperlink" Target="https://www.verizon.com/about/news/verizon-offers-new-ways-battle-robocalls" TargetMode="External" /><Relationship Id="rId42" Type="http://schemas.openxmlformats.org/officeDocument/2006/relationships/hyperlink" Target="https://www.sprint.com/en/shop/services/screener.html" TargetMode="External" /><Relationship Id="rId43" Type="http://schemas.openxmlformats.org/officeDocument/2006/relationships/hyperlink" Target="https://www.centurylink.com/home/help/home-phone/calling-features/block-unwanted-calls-from-your-home-phone.html" TargetMode="External" /><Relationship Id="rId44" Type="http://schemas.openxmlformats.org/officeDocument/2006/relationships/hyperlink" Target="https://www.xfinity.com/support/articles/restricting-calls" TargetMode="External" /><Relationship Id="rId45" Type="http://schemas.openxmlformats.org/officeDocument/2006/relationships/hyperlink" Target="https://www.xfinity.com/support/articles/nomorobo" TargetMode="External" /><Relationship Id="rId46" Type="http://schemas.openxmlformats.org/officeDocument/2006/relationships/hyperlink" Target="https://www.nomorobo.com/" TargetMode="External" /><Relationship Id="rId47" Type="http://schemas.openxmlformats.org/officeDocument/2006/relationships/hyperlink" Target="https://www.fcc.gov/sites/default/files/stop_unwanted_robocalls_and_texts.pdf" TargetMode="External" /><Relationship Id="rId48" Type="http://schemas.openxmlformats.org/officeDocument/2006/relationships/hyperlink" Target="https://www.consumer.ftc.gov/articles/0259-robocalls" TargetMode="External" /><Relationship Id="rId49" Type="http://schemas.openxmlformats.org/officeDocument/2006/relationships/hyperlink" Target="https://investors.att.com/~/media/Files/A/ATT-IR/financial-reports/quarterly-earnings/2019/1q-2019/1Q19%20Investor%20Briefing.pdf" TargetMode="External" /><Relationship Id="rId5" Type="http://schemas.openxmlformats.org/officeDocument/2006/relationships/hyperlink" Target="https://www.fcc.gov/consumer-help-center-data" TargetMode="External" /><Relationship Id="rId50" Type="http://schemas.openxmlformats.org/officeDocument/2006/relationships/hyperlink" Target="https://www.att.com/esupport/report-call-or-text.html" TargetMode="External" /><Relationship Id="rId51" Type="http://schemas.openxmlformats.org/officeDocument/2006/relationships/hyperlink" Target="https://www.spectrum.net/support/voice/block-robo-callers/?redirected=true" TargetMode="External" /><Relationship Id="rId52" Type="http://schemas.openxmlformats.org/officeDocument/2006/relationships/hyperlink" Target="https://www.spectrum.net/support/voice/ways-block-unwanted-calls/?redirected=true" TargetMode="External" /><Relationship Id="rId53" Type="http://schemas.openxmlformats.org/officeDocument/2006/relationships/hyperlink" Target="https://www.multichannel.com/news/comcast-enables-hiya-robocall-blocking-on-xfinity-mobile" TargetMode="External" /><Relationship Id="rId54" Type="http://schemas.openxmlformats.org/officeDocument/2006/relationships/hyperlink" Target="https://www.xfinity.com/mobile/support/article/how-to-block-robocalls" TargetMode="External" /><Relationship Id="rId55" Type="http://schemas.openxmlformats.org/officeDocument/2006/relationships/hyperlink" Target="https://www.cox.com/business/support/using-selective-call-rejection.html" TargetMode="External" /><Relationship Id="rId56" Type="http://schemas.openxmlformats.org/officeDocument/2006/relationships/hyperlink" Target="https://frontier.com/helpcenter/categories/phone/calling-features/robocaller-alert" TargetMode="External" /><Relationship Id="rId57" Type="http://schemas.openxmlformats.org/officeDocument/2006/relationships/hyperlink" Target="https://frontier.com/helpcenter/categories/phone/calling-features/block-telemarketing-calls" TargetMode="External" /><Relationship Id="rId58" Type="http://schemas.openxmlformats.org/officeDocument/2006/relationships/hyperlink" Target="https://reportarobocall.com/trf/" TargetMode="External" /><Relationship Id="rId59" Type="http://schemas.openxmlformats.org/officeDocument/2006/relationships/hyperlink" Target="https://www.sprint.com/en/support/solutions/services/block-restrict-or-allow-voice-calls-using-my-sprint.html" TargetMode="External" /><Relationship Id="rId6" Type="http://schemas.openxmlformats.org/officeDocument/2006/relationships/hyperlink" Target="https://opendata.fcc.gov/Consumer/Consumer-Complaints-Data-Unwanted-Calls/vakf-fz8e" TargetMode="External" /><Relationship Id="rId60" Type="http://schemas.openxmlformats.org/officeDocument/2006/relationships/hyperlink" Target="https://www.voicespamfeedback.com/vsf/" TargetMode="External" /><Relationship Id="rId61" Type="http://schemas.openxmlformats.org/officeDocument/2006/relationships/hyperlink" Target="https://www.verizon.com/support/consumer/homephone/calling-features/stop-unwanted-calls" TargetMode="External" /><Relationship Id="rId62" Type="http://schemas.openxmlformats.org/officeDocument/2006/relationships/hyperlink" Target="https://www.callcontrol.com/contact/" TargetMode="External" /><Relationship Id="rId63" Type="http://schemas.openxmlformats.org/officeDocument/2006/relationships/hyperlink" Target="https://blog.callcontrol.com/post/183318053268/how-many-robocalls-are-received-in-the-us-every" TargetMode="External" /><Relationship Id="rId64" Type="http://schemas.openxmlformats.org/officeDocument/2006/relationships/hyperlink" Target="https://www.callcontrol.com/networks/" TargetMode="External" /><Relationship Id="rId65" Type="http://schemas.openxmlformats.org/officeDocument/2006/relationships/hyperlink" Target="https://calltransparency.com/" TargetMode="External" /><Relationship Id="rId66" Type="http://schemas.openxmlformats.org/officeDocument/2006/relationships/hyperlink" Target="https://hiya.com/about" TargetMode="External" /><Relationship Id="rId67" Type="http://schemas.openxmlformats.org/officeDocument/2006/relationships/hyperlink" Target="https://hiya.com/it/products/smart-call" TargetMode="External" /><Relationship Id="rId68" Type="http://schemas.openxmlformats.org/officeDocument/2006/relationships/hyperlink" Target="https://nomorobo.zendesk.com/hc/en-us/articles/200536477-How-does-it-work-on-Landlines-" TargetMode="External" /><Relationship Id="rId69" Type="http://schemas.openxmlformats.org/officeDocument/2006/relationships/hyperlink" Target="https://www.nomorobo.com/2019" TargetMode="External" /><Relationship Id="rId7" Type="http://schemas.openxmlformats.org/officeDocument/2006/relationships/hyperlink" Target="https://www.ftc.gov/system/files/documents/reports/biennial-report-congress-under-do-not-call-registry-fee-extension-act-2007-operation-national-do-not/p034305dncreport2019.pdf" TargetMode="External" /><Relationship Id="rId70" Type="http://schemas.openxmlformats.org/officeDocument/2006/relationships/hyperlink" Target="https://www.consumer.ftc.gov/blog/robocall" TargetMode="External" /><Relationship Id="rId71" Type="http://schemas.openxmlformats.org/officeDocument/2006/relationships/hyperlink" Target="https://www.consumer.ftc.gov/blog/2020/04/ftc-keeps-attacking-robocalls" TargetMode="External" /><Relationship Id="rId72" Type="http://schemas.openxmlformats.org/officeDocument/2006/relationships/hyperlink" Target="https://www.consumerreports.org/robocalls/good-news-about-robocalls/" TargetMode="External" /><Relationship Id="rId73" Type="http://schemas.openxmlformats.org/officeDocument/2006/relationships/hyperlink" Target="http://www.6083716666.com/" TargetMode="External" /><Relationship Id="rId74" Type="http://schemas.openxmlformats.org/officeDocument/2006/relationships/hyperlink" Target="https://nomorobo.zendesk.com/hc/en-us/articles/205761825-What-happens-when-a-call-is-blocked-on-a-landline-" TargetMode="External" /><Relationship Id="rId75" Type="http://schemas.openxmlformats.org/officeDocument/2006/relationships/hyperlink" Target="https://nomorobo.zendesk.com/hc/en-us/articles/205063319-How-can-I-allow-a-call-Nomorobo-is-blocking-to-ring-through-" TargetMode="External" /><Relationship Id="rId76" Type="http://schemas.openxmlformats.org/officeDocument/2006/relationships/hyperlink" Target="https://www.robokiller.com/robocall-insights/" TargetMode="External" /><Relationship Id="rId77" Type="http://schemas.openxmlformats.org/officeDocument/2006/relationships/hyperlink" Target="https://robocallindex.com" TargetMode="External" /><Relationship Id="rId78" Type="http://schemas.openxmlformats.org/officeDocument/2006/relationships/hyperlink" Target="https://www.youmail.com/home/feature/stop-robocalls" TargetMode="External" /><Relationship Id="rId79" Type="http://schemas.openxmlformats.org/officeDocument/2006/relationships/hyperlink" Target="https://www.usatoday.com/story/tech/2020/01/15/robocalls-americans-got-58-5-billion-2019/4476018002/" TargetMode="External" /><Relationship Id="rId8" Type="http://schemas.openxmlformats.org/officeDocument/2006/relationships/hyperlink" Target="https://www.ftc.gov/site-information/open-government/data-sets/do-not-call-data" TargetMode="External" /><Relationship Id="rId80" Type="http://schemas.openxmlformats.org/officeDocument/2006/relationships/hyperlink" Target="https://robocallindex.com/washington-dc/2019/december?searchTerm=Washington,%20DC" TargetMode="External" /><Relationship Id="rId81" Type="http://schemas.openxmlformats.org/officeDocument/2006/relationships/hyperlink" Target="https://robocallindex.com/new-york-ny/2019/december?searchTerm=New%20York,%20NY" TargetMode="External" /><Relationship Id="rId82" Type="http://schemas.openxmlformats.org/officeDocument/2006/relationships/hyperlink" Target="https://robocallindex.com/los-angeles-ca/2019/december?searchTerm=Los%20Angeles,%20CA" TargetMode="External" /><Relationship Id="rId83" Type="http://schemas.openxmlformats.org/officeDocument/2006/relationships/hyperlink" Target="https://support.apple.com/en-us/HT207099" TargetMode="External" /><Relationship Id="rId84" Type="http://schemas.openxmlformats.org/officeDocument/2006/relationships/hyperlink" Target="https://www.samsung.com/global/galaxy/apps/smart-call/" TargetMode="External" /><Relationship Id="rId85" Type="http://schemas.openxmlformats.org/officeDocument/2006/relationships/hyperlink" Target="http://nomorobo.com/ios" TargetMode="External" /><Relationship Id="rId86" Type="http://schemas.openxmlformats.org/officeDocument/2006/relationships/hyperlink" Target="https://hiyahelp.zendesk.com/hc/en-us/articles/115014815387-I-want-to-change-or-remove-the-caller-ID-information-or-Spam-Rating-of-a-number" TargetMode="External" /><Relationship Id="rId87" Type="http://schemas.openxmlformats.org/officeDocument/2006/relationships/hyperlink" Target="https://www.t-mobile.com/news/tmobile-sprint-callerverified" TargetMode="External" /><Relationship Id="rId88" Type="http://schemas.openxmlformats.org/officeDocument/2006/relationships/hyperlink" Target="https://www.prnewswire.com/news-releases/bandwidth-announces-successful-stirshaken-interop-with-t-mobile-301029410.html" TargetMode="External" /><Relationship Id="rId89" Type="http://schemas.openxmlformats.org/officeDocument/2006/relationships/hyperlink" Target="http://nanc-chair.org/docs/200505STIGANANCUpdate.pdf" TargetMode="External" /><Relationship Id="rId9" Type="http://schemas.openxmlformats.org/officeDocument/2006/relationships/hyperlink" Target="https://www.consumer.ftc.gov/blog/2020/06/robocall-reports-still-down-ftc-still-fighting" TargetMode="External" /><Relationship Id="rId90" Type="http://schemas.openxmlformats.org/officeDocument/2006/relationships/hyperlink" Target="https://authenticate.iconectiv.com/authorized-service-providers-authenticate" TargetMode="External" /><Relationship Id="rId91" Type="http://schemas.openxmlformats.org/officeDocument/2006/relationships/hyperlink" Target="https://www.peerlessnetwork.com/peerless-network-delivers-exceeds-shaken-stir-requirements" TargetMode="External" /><Relationship Id="rId92" Type="http://schemas.openxmlformats.org/officeDocument/2006/relationships/hyperlink" Target="https://www.t-mobile.com/news/tmobile-comcast-inteliqent" TargetMode="External" /><Relationship Id="rId93" Type="http://schemas.openxmlformats.org/officeDocument/2006/relationships/hyperlink" Target="https://finance.yahoo.com/news/brightlink-takes-robocalling-stir-shaken-150000143.html" TargetMode="External" /><Relationship Id="rId94" Type="http://schemas.openxmlformats.org/officeDocument/2006/relationships/hyperlink" Target="https://www.prweb.com/releases/ytel_completes_one_of_the_first_stir_shaken_calls_from_cpaas_platform/prweb16942695.htm" TargetMode="External" /><Relationship Id="rId95" Type="http://schemas.openxmlformats.org/officeDocument/2006/relationships/hyperlink" Target="https://www.twilio.com/company" TargetMode="External" /><Relationship Id="rId96" Type="http://schemas.openxmlformats.org/officeDocument/2006/relationships/hyperlink" Target="https://finance.yahoo.com/news/twilio-begins-signing-enterprise-calls-130000912.html" TargetMode="External" /><Relationship Id="rId97" Type="http://schemas.openxmlformats.org/officeDocument/2006/relationships/hyperlink" Target="https://www.prnewswire.com/news-releases/quality-voice--data-attains-authorized-shaken-service-provider-status-301064069.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