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9389C" w:rsidP="0009389C" w14:paraId="4083C2FA"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09389C" w14:paraId="19DBD90C" w14:textId="1A589BC1">
      <w:pPr>
        <w:pStyle w:val="Title"/>
        <w:rPr>
          <w:szCs w:val="22"/>
        </w:rPr>
      </w:pPr>
      <w:r>
        <w:rPr>
          <w:szCs w:val="22"/>
        </w:rPr>
        <w:t>D/B/A</w:t>
      </w:r>
      <w:r w:rsidR="0009389C">
        <w:rPr>
          <w:szCs w:val="22"/>
        </w:rPr>
        <w:t xml:space="preserve"> </w:t>
      </w:r>
      <w:r w:rsidR="00DA3502">
        <w:rPr>
          <w:szCs w:val="22"/>
        </w:rPr>
        <w:t xml:space="preserve">AT&amp;T </w:t>
      </w:r>
      <w:r w:rsidR="007F14FA">
        <w:rPr>
          <w:szCs w:val="22"/>
        </w:rPr>
        <w:t>TENNESSEE</w:t>
      </w:r>
    </w:p>
    <w:p w:rsidR="00AC191A" w:rsidP="00AC191A" w14:paraId="22226E3D" w14:textId="77777777">
      <w:pPr>
        <w:pStyle w:val="Title"/>
        <w:jc w:val="left"/>
        <w:rPr>
          <w:szCs w:val="22"/>
        </w:rPr>
      </w:pPr>
    </w:p>
    <w:p w:rsidR="00BB6E7C" w:rsidP="00585588" w14:paraId="1DEBDB93" w14:textId="6BAC9680">
      <w:pPr>
        <w:pStyle w:val="Title"/>
        <w:jc w:val="left"/>
        <w:rPr>
          <w:szCs w:val="22"/>
        </w:rPr>
      </w:pPr>
      <w:r>
        <w:rPr>
          <w:szCs w:val="22"/>
        </w:rPr>
        <w:t xml:space="preserve">WC Docket No. </w:t>
      </w:r>
      <w:r w:rsidR="00030C5E">
        <w:rPr>
          <w:szCs w:val="22"/>
        </w:rPr>
        <w:t>20-</w:t>
      </w:r>
      <w:r w:rsidR="00112519">
        <w:rPr>
          <w:szCs w:val="22"/>
        </w:rPr>
        <w:t>232</w:t>
      </w:r>
      <w:r>
        <w:rPr>
          <w:szCs w:val="22"/>
        </w:rPr>
        <w:tab/>
      </w:r>
      <w:r>
        <w:rPr>
          <w:szCs w:val="22"/>
        </w:rPr>
        <w:tab/>
      </w:r>
      <w:r>
        <w:rPr>
          <w:szCs w:val="22"/>
        </w:rPr>
        <w:tab/>
      </w:r>
      <w:r>
        <w:rPr>
          <w:szCs w:val="22"/>
        </w:rPr>
        <w:tab/>
      </w:r>
      <w:r>
        <w:rPr>
          <w:szCs w:val="22"/>
        </w:rPr>
        <w:tab/>
        <w:t xml:space="preserve">          </w:t>
      </w:r>
      <w:r w:rsidR="0043327D">
        <w:rPr>
          <w:szCs w:val="22"/>
        </w:rPr>
        <w:tab/>
      </w:r>
      <w:r w:rsidR="00344630">
        <w:rPr>
          <w:szCs w:val="22"/>
        </w:rPr>
        <w:t xml:space="preserve"> </w:t>
      </w:r>
      <w:r w:rsidR="00F32448">
        <w:rPr>
          <w:szCs w:val="22"/>
        </w:rPr>
        <w:t xml:space="preserve">  </w:t>
      </w:r>
      <w:r w:rsidR="001A7BA8">
        <w:rPr>
          <w:szCs w:val="22"/>
        </w:rPr>
        <w:t xml:space="preserve">July </w:t>
      </w:r>
      <w:r w:rsidR="007F14FA">
        <w:rPr>
          <w:szCs w:val="22"/>
        </w:rPr>
        <w:t>21</w:t>
      </w:r>
      <w:r>
        <w:rPr>
          <w:szCs w:val="22"/>
        </w:rPr>
        <w:t>, 20</w:t>
      </w:r>
      <w:r w:rsidR="002E3F18">
        <w:rPr>
          <w:szCs w:val="22"/>
        </w:rPr>
        <w:t>20</w:t>
      </w:r>
    </w:p>
    <w:p w:rsidR="008961DF" w:rsidP="00585588" w14:paraId="7C535FD4" w14:textId="1285E2BF">
      <w:pPr>
        <w:pStyle w:val="Title"/>
        <w:jc w:val="left"/>
        <w:rPr>
          <w:szCs w:val="22"/>
        </w:rPr>
      </w:pPr>
      <w:r w:rsidRPr="00F046EC">
        <w:rPr>
          <w:szCs w:val="22"/>
        </w:rPr>
        <w:t xml:space="preserve">Report No. </w:t>
      </w:r>
      <w:r>
        <w:rPr>
          <w:szCs w:val="22"/>
        </w:rPr>
        <w:t>NCD-</w:t>
      </w:r>
      <w:r w:rsidR="002E3F18">
        <w:rPr>
          <w:szCs w:val="22"/>
        </w:rPr>
        <w:t>30</w:t>
      </w:r>
      <w:r w:rsidR="007F14FA">
        <w:rPr>
          <w:szCs w:val="22"/>
        </w:rPr>
        <w:t>91</w:t>
      </w:r>
    </w:p>
    <w:p w:rsidR="008961DF" w:rsidRPr="00F046EC" w:rsidP="00AC191A" w14:paraId="25904885" w14:textId="77777777">
      <w:pPr>
        <w:pStyle w:val="Title"/>
        <w:jc w:val="left"/>
        <w:rPr>
          <w:szCs w:val="22"/>
        </w:rPr>
      </w:pPr>
    </w:p>
    <w:p w:rsidR="00877F45" w:rsidP="00877F45" w14:paraId="2B3ADD9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0C532048" w14:textId="77777777">
      <w:pPr>
        <w:tabs>
          <w:tab w:val="left" w:pos="-720"/>
        </w:tabs>
        <w:suppressAutoHyphens/>
        <w:rPr>
          <w:szCs w:val="22"/>
        </w:rPr>
      </w:pPr>
    </w:p>
    <w:p w:rsidR="00646DE9" w:rsidRPr="00646DE9" w:rsidP="00E25608" w14:paraId="6C0A0F65" w14:textId="7CF42D7F">
      <w:pPr>
        <w:tabs>
          <w:tab w:val="left" w:pos="-720"/>
        </w:tabs>
        <w:suppressAutoHyphens/>
        <w:rPr>
          <w:szCs w:val="22"/>
        </w:rPr>
      </w:pPr>
      <w:r>
        <w:rPr>
          <w:b/>
          <w:bCs/>
          <w:szCs w:val="22"/>
        </w:rPr>
        <w:tab/>
      </w:r>
      <w:r w:rsidR="008B3096">
        <w:rPr>
          <w:szCs w:val="22"/>
        </w:rPr>
        <w:t>BellSouth Telecommunications, LLC</w:t>
      </w:r>
      <w:r w:rsidR="0043327D">
        <w:rPr>
          <w:szCs w:val="22"/>
        </w:rPr>
        <w:t xml:space="preserve"> d/b/a AT&amp;T </w:t>
      </w:r>
      <w:r w:rsidR="00967914">
        <w:rPr>
          <w:szCs w:val="22"/>
        </w:rPr>
        <w:t>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8FD7A18" w14:textId="77777777">
      <w:pPr>
        <w:tabs>
          <w:tab w:val="left" w:pos="-720"/>
        </w:tabs>
        <w:suppressAutoHyphens/>
        <w:rPr>
          <w:b/>
          <w:szCs w:val="22"/>
          <w:u w:val="single"/>
        </w:rPr>
      </w:pPr>
    </w:p>
    <w:p w:rsidR="006472D0" w:rsidP="006472D0" w14:paraId="0F41D3D9"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6B68D93C"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1890"/>
        <w:gridCol w:w="2160"/>
      </w:tblGrid>
      <w:tr w14:paraId="4313D9EC" w14:textId="77777777" w:rsidTr="00F3244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062D5D9"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5AB2B3D5"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14A9CF98" w14:textId="77777777">
            <w:pPr>
              <w:tabs>
                <w:tab w:val="left" w:pos="0"/>
              </w:tabs>
              <w:suppressAutoHyphens/>
              <w:rPr>
                <w:b/>
                <w:szCs w:val="22"/>
              </w:rPr>
            </w:pPr>
            <w:r>
              <w:rPr>
                <w:b/>
                <w:szCs w:val="22"/>
              </w:rPr>
              <w:t>Location of Change(s)</w:t>
            </w:r>
          </w:p>
        </w:tc>
        <w:tc>
          <w:tcPr>
            <w:tcW w:w="2160" w:type="dxa"/>
            <w:shd w:val="clear" w:color="auto" w:fill="auto"/>
          </w:tcPr>
          <w:p w:rsidR="006472D0" w:rsidRPr="007E723C" w:rsidP="00091A8F" w14:paraId="518DAC32" w14:textId="77777777">
            <w:pPr>
              <w:tabs>
                <w:tab w:val="left" w:pos="0"/>
              </w:tabs>
              <w:suppressAutoHyphens/>
              <w:rPr>
                <w:b/>
                <w:szCs w:val="22"/>
              </w:rPr>
            </w:pPr>
            <w:r>
              <w:rPr>
                <w:b/>
                <w:szCs w:val="22"/>
              </w:rPr>
              <w:t xml:space="preserve">Planned </w:t>
            </w:r>
            <w:r w:rsidRPr="007E723C">
              <w:rPr>
                <w:b/>
                <w:szCs w:val="22"/>
              </w:rPr>
              <w:t>Implementation Date(s)</w:t>
            </w:r>
          </w:p>
        </w:tc>
      </w:tr>
      <w:tr w14:paraId="37A49BB1" w14:textId="77777777" w:rsidTr="00F32448">
        <w:tblPrEx>
          <w:tblW w:w="9360" w:type="dxa"/>
          <w:tblInd w:w="108" w:type="dxa"/>
          <w:tblLayout w:type="fixed"/>
          <w:tblLook w:val="01E0"/>
        </w:tblPrEx>
        <w:tc>
          <w:tcPr>
            <w:tcW w:w="1890" w:type="dxa"/>
          </w:tcPr>
          <w:p w:rsidR="006472D0" w:rsidRPr="00E13AE3" w:rsidP="00091A8F" w14:paraId="6B9C11D1" w14:textId="3A8008D3">
            <w:pPr>
              <w:autoSpaceDE w:val="0"/>
              <w:autoSpaceDN w:val="0"/>
              <w:adjustRightInd w:val="0"/>
              <w:rPr>
                <w:bCs/>
                <w:szCs w:val="22"/>
              </w:rPr>
            </w:pPr>
            <w:r>
              <w:rPr>
                <w:bCs/>
                <w:szCs w:val="22"/>
              </w:rPr>
              <w:t>ATT20</w:t>
            </w:r>
            <w:r w:rsidR="00321A3A">
              <w:rPr>
                <w:bCs/>
                <w:szCs w:val="22"/>
              </w:rPr>
              <w:t>200</w:t>
            </w:r>
            <w:r w:rsidR="00633527">
              <w:rPr>
                <w:bCs/>
                <w:szCs w:val="22"/>
              </w:rPr>
              <w:t>605</w:t>
            </w:r>
            <w:r>
              <w:rPr>
                <w:bCs/>
                <w:szCs w:val="22"/>
              </w:rPr>
              <w:t>C.1</w:t>
            </w:r>
          </w:p>
        </w:tc>
        <w:tc>
          <w:tcPr>
            <w:tcW w:w="3420" w:type="dxa"/>
            <w:shd w:val="clear" w:color="auto" w:fill="auto"/>
          </w:tcPr>
          <w:p w:rsidR="006472D0" w:rsidRPr="0081179F" w:rsidP="00091A8F" w14:paraId="5D646C05" w14:textId="32979457">
            <w:pPr>
              <w:autoSpaceDE w:val="0"/>
              <w:autoSpaceDN w:val="0"/>
              <w:adjustRightInd w:val="0"/>
              <w:rPr>
                <w:szCs w:val="22"/>
              </w:rPr>
            </w:pPr>
            <w:r w:rsidRPr="00986133">
              <w:rPr>
                <w:szCs w:val="22"/>
              </w:rPr>
              <w:t xml:space="preserve">Without affecting other facilities in the distribution area (DA), AT&amp;T plans to retire </w:t>
            </w:r>
            <w:r w:rsidR="00415889">
              <w:rPr>
                <w:szCs w:val="22"/>
              </w:rPr>
              <w:t xml:space="preserve">and remove all </w:t>
            </w:r>
            <w:r w:rsidRPr="00986133">
              <w:rPr>
                <w:szCs w:val="22"/>
              </w:rPr>
              <w:t xml:space="preserve">copper </w:t>
            </w:r>
            <w:r w:rsidR="00415889">
              <w:rPr>
                <w:szCs w:val="22"/>
              </w:rPr>
              <w:t xml:space="preserve">cable </w:t>
            </w:r>
            <w:r w:rsidRPr="00415889" w:rsidR="00415889">
              <w:rPr>
                <w:szCs w:val="22"/>
              </w:rPr>
              <w:t xml:space="preserve">associated with </w:t>
            </w:r>
            <w:r w:rsidR="008D6539">
              <w:rPr>
                <w:szCs w:val="22"/>
              </w:rPr>
              <w:t>a</w:t>
            </w:r>
            <w:r w:rsidR="00415889">
              <w:rPr>
                <w:szCs w:val="22"/>
              </w:rPr>
              <w:t xml:space="preserve"> vacant city hall building that is scheduled to be razed and replaced with three new buildings</w:t>
            </w:r>
            <w:r w:rsidRPr="00415889" w:rsidR="00415889">
              <w:rPr>
                <w:szCs w:val="22"/>
              </w:rPr>
              <w:t>.</w:t>
            </w:r>
            <w:r w:rsidR="00415889">
              <w:rPr>
                <w:szCs w:val="22"/>
              </w:rPr>
              <w:t xml:space="preserve">  </w:t>
            </w:r>
            <w:r w:rsidRPr="00986133">
              <w:rPr>
                <w:szCs w:val="22"/>
              </w:rPr>
              <w:t>There are no working circuits currently serving the location, but AT&amp;T plans to assess future needs and determine its facility deployment plan at later stages of the redevelopment project.</w:t>
            </w:r>
          </w:p>
        </w:tc>
        <w:tc>
          <w:tcPr>
            <w:tcW w:w="1890" w:type="dxa"/>
            <w:shd w:val="clear" w:color="auto" w:fill="auto"/>
          </w:tcPr>
          <w:p w:rsidR="006472D0" w:rsidRPr="00F44847" w:rsidP="00091A8F" w14:paraId="7090E7A3" w14:textId="79556CED">
            <w:pPr>
              <w:autoSpaceDE w:val="0"/>
              <w:autoSpaceDN w:val="0"/>
              <w:adjustRightInd w:val="0"/>
              <w:rPr>
                <w:b/>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8D6539">
              <w:rPr>
                <w:szCs w:val="22"/>
              </w:rPr>
              <w:t>Lookout Mountain</w:t>
            </w:r>
            <w:r w:rsidR="00AF25CB">
              <w:rPr>
                <w:szCs w:val="22"/>
              </w:rPr>
              <w:t xml:space="preserve">, </w:t>
            </w:r>
            <w:r w:rsidR="008D6539">
              <w:rPr>
                <w:szCs w:val="22"/>
              </w:rPr>
              <w:t>GA</w:t>
            </w:r>
            <w:r>
              <w:rPr>
                <w:szCs w:val="22"/>
              </w:rPr>
              <w:t xml:space="preserve">: </w:t>
            </w:r>
            <w:r w:rsidR="00AF25CB">
              <w:rPr>
                <w:szCs w:val="22"/>
              </w:rPr>
              <w:t xml:space="preserve"> </w:t>
            </w:r>
            <w:r w:rsidR="008D6539">
              <w:rPr>
                <w:szCs w:val="22"/>
              </w:rPr>
              <w:t>Saint Elmo</w:t>
            </w:r>
            <w:r w:rsidR="00AF25CB">
              <w:rPr>
                <w:szCs w:val="22"/>
              </w:rPr>
              <w:t xml:space="preserve"> </w:t>
            </w:r>
            <w:r>
              <w:rPr>
                <w:szCs w:val="22"/>
              </w:rPr>
              <w:t>(</w:t>
            </w:r>
            <w:r w:rsidR="008D6539">
              <w:rPr>
                <w:szCs w:val="22"/>
              </w:rPr>
              <w:t>CHTGTNSE</w:t>
            </w:r>
            <w:r>
              <w:rPr>
                <w:szCs w:val="22"/>
              </w:rPr>
              <w:t>)</w:t>
            </w:r>
            <w:r w:rsidR="00D23C15">
              <w:rPr>
                <w:szCs w:val="22"/>
              </w:rPr>
              <w:t xml:space="preserve">; for copper facilities </w:t>
            </w:r>
            <w:r w:rsidR="00370316">
              <w:rPr>
                <w:szCs w:val="22"/>
              </w:rPr>
              <w:t xml:space="preserve">within </w:t>
            </w:r>
            <w:r>
              <w:rPr>
                <w:szCs w:val="22"/>
              </w:rPr>
              <w:t xml:space="preserve">DA </w:t>
            </w:r>
            <w:r w:rsidR="008D6539">
              <w:rPr>
                <w:szCs w:val="22"/>
              </w:rPr>
              <w:t>4202</w:t>
            </w:r>
            <w:r w:rsidR="00D23C15">
              <w:rPr>
                <w:szCs w:val="22"/>
              </w:rPr>
              <w:t xml:space="preserve"> </w:t>
            </w:r>
            <w:r w:rsidR="000A4E1E">
              <w:rPr>
                <w:szCs w:val="22"/>
              </w:rPr>
              <w:t>associated with</w:t>
            </w:r>
            <w:r w:rsidR="00C60391">
              <w:rPr>
                <w:szCs w:val="22"/>
              </w:rPr>
              <w:t xml:space="preserve"> </w:t>
            </w:r>
            <w:r w:rsidR="008D6539">
              <w:rPr>
                <w:szCs w:val="22"/>
              </w:rPr>
              <w:t>1214 Lula Lake Rd.</w:t>
            </w:r>
            <w:r w:rsidRPr="00E20895" w:rsidR="00E20895">
              <w:rPr>
                <w:szCs w:val="22"/>
              </w:rPr>
              <w:t xml:space="preserve">, </w:t>
            </w:r>
            <w:r w:rsidR="008D6539">
              <w:rPr>
                <w:szCs w:val="22"/>
              </w:rPr>
              <w:t>Lookout Mountain</w:t>
            </w:r>
            <w:r w:rsidRPr="00E20895" w:rsidR="00E20895">
              <w:rPr>
                <w:szCs w:val="22"/>
              </w:rPr>
              <w:t xml:space="preserve">, </w:t>
            </w:r>
            <w:r w:rsidR="008D6539">
              <w:rPr>
                <w:szCs w:val="22"/>
              </w:rPr>
              <w:t>GA</w:t>
            </w:r>
            <w:r w:rsidRPr="00E20895" w:rsidR="00E20895">
              <w:rPr>
                <w:szCs w:val="22"/>
              </w:rPr>
              <w:t xml:space="preserve"> </w:t>
            </w:r>
            <w:r w:rsidR="008D6539">
              <w:rPr>
                <w:szCs w:val="22"/>
              </w:rPr>
              <w:t>30750.</w:t>
            </w:r>
          </w:p>
        </w:tc>
        <w:tc>
          <w:tcPr>
            <w:tcW w:w="2160" w:type="dxa"/>
            <w:shd w:val="clear" w:color="auto" w:fill="auto"/>
          </w:tcPr>
          <w:p w:rsidR="006472D0" w:rsidRPr="00E959F6" w:rsidP="00091A8F" w14:paraId="021340AB" w14:textId="31B4E556">
            <w:pPr>
              <w:tabs>
                <w:tab w:val="left" w:pos="0"/>
              </w:tabs>
              <w:suppressAutoHyphens/>
              <w:rPr>
                <w:b/>
                <w:bCs/>
                <w:szCs w:val="22"/>
              </w:rPr>
            </w:pPr>
            <w:r>
              <w:rPr>
                <w:szCs w:val="22"/>
              </w:rPr>
              <w:t xml:space="preserve">On or after </w:t>
            </w:r>
            <w:r w:rsidR="00633527">
              <w:rPr>
                <w:szCs w:val="22"/>
              </w:rPr>
              <w:t>August 6</w:t>
            </w:r>
            <w:r w:rsidR="00321A3A">
              <w:rPr>
                <w:szCs w:val="22"/>
              </w:rPr>
              <w:t>, 2020</w:t>
            </w:r>
          </w:p>
        </w:tc>
      </w:tr>
    </w:tbl>
    <w:p w:rsidR="006472D0" w:rsidP="006472D0" w14:paraId="40F5984A" w14:textId="77777777">
      <w:pPr>
        <w:rPr>
          <w:szCs w:val="22"/>
        </w:rPr>
      </w:pPr>
    </w:p>
    <w:p w:rsidR="00EC7107" w14:paraId="28E02833" w14:textId="77777777">
      <w:pPr>
        <w:rPr>
          <w:szCs w:val="22"/>
        </w:rPr>
      </w:pPr>
    </w:p>
    <w:p w:rsidR="00704423" w:rsidP="006472D0" w14:paraId="3A72F3C9" w14:textId="77777777">
      <w:pPr>
        <w:rPr>
          <w:szCs w:val="22"/>
        </w:rPr>
      </w:pPr>
    </w:p>
    <w:p w:rsidR="006472D0" w:rsidRPr="005833F6" w:rsidP="006472D0" w14:paraId="67C35DCB" w14:textId="0AFC6834">
      <w:pPr>
        <w:rPr>
          <w:szCs w:val="22"/>
        </w:rPr>
      </w:pPr>
      <w:r>
        <w:rPr>
          <w:szCs w:val="22"/>
        </w:rPr>
        <w:br w:type="page"/>
      </w:r>
      <w:r w:rsidRPr="005833F6">
        <w:rPr>
          <w:szCs w:val="22"/>
        </w:rPr>
        <w:t>Incumbent LEC contact:</w:t>
      </w:r>
    </w:p>
    <w:p w:rsidR="006472D0" w:rsidRPr="00596841" w:rsidP="006472D0" w14:paraId="4CF21926" w14:textId="77777777">
      <w:pPr>
        <w:rPr>
          <w:szCs w:val="22"/>
        </w:rPr>
      </w:pPr>
      <w:r>
        <w:rPr>
          <w:szCs w:val="22"/>
        </w:rPr>
        <w:t>Victoria Carter-Hall</w:t>
      </w:r>
    </w:p>
    <w:p w:rsidR="006472D0" w:rsidRPr="00596841" w:rsidP="006472D0" w14:paraId="7EBBAFE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159113C" w14:textId="77777777">
      <w:pPr>
        <w:rPr>
          <w:szCs w:val="22"/>
        </w:rPr>
      </w:pPr>
      <w:r>
        <w:rPr>
          <w:szCs w:val="22"/>
        </w:rPr>
        <w:t>AT&amp;T Services, Inc.</w:t>
      </w:r>
    </w:p>
    <w:p w:rsidR="006472D0" w:rsidP="006472D0" w14:paraId="50F6E14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A2CEFEE" w14:textId="77777777">
      <w:pPr>
        <w:rPr>
          <w:szCs w:val="22"/>
        </w:rPr>
      </w:pPr>
      <w:r>
        <w:rPr>
          <w:szCs w:val="22"/>
        </w:rPr>
        <w:t>Washington, D.C. 20036</w:t>
      </w:r>
    </w:p>
    <w:p w:rsidR="006472D0" w:rsidRPr="007F14FA" w:rsidP="006472D0" w14:paraId="18FD56EE" w14:textId="00C74493">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9FC974A" w14:textId="77777777">
      <w:pPr>
        <w:tabs>
          <w:tab w:val="left" w:pos="-720"/>
        </w:tabs>
        <w:suppressAutoHyphens/>
        <w:rPr>
          <w:szCs w:val="22"/>
        </w:rPr>
      </w:pPr>
    </w:p>
    <w:p w:rsidR="006E7B5B" w:rsidRPr="00082C34" w:rsidP="008D15A6" w14:paraId="7A44DFE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F4D8717" w14:textId="77777777">
      <w:pPr>
        <w:rPr>
          <w:szCs w:val="22"/>
        </w:rPr>
      </w:pPr>
    </w:p>
    <w:p w:rsidR="006E7B5B" w:rsidRPr="00D45146" w:rsidP="008D15A6" w14:paraId="1C445AC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55BE4A2" w14:textId="77777777">
      <w:pPr>
        <w:tabs>
          <w:tab w:val="left" w:pos="0"/>
        </w:tabs>
        <w:suppressAutoHyphens/>
        <w:rPr>
          <w:szCs w:val="22"/>
        </w:rPr>
      </w:pPr>
    </w:p>
    <w:p w:rsidR="006E7B5B" w:rsidP="006E7B5B" w14:paraId="315EC7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1C27095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09CFE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1D1F1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36338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70642E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E64E12A"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0F1EEEFD" w14:textId="77777777">
      <w:pPr>
        <w:tabs>
          <w:tab w:val="left" w:pos="0"/>
        </w:tabs>
        <w:suppressAutoHyphens/>
        <w:rPr>
          <w:b/>
          <w:szCs w:val="22"/>
        </w:rPr>
      </w:pPr>
    </w:p>
    <w:p w:rsidR="008961DF" w:rsidRPr="0011693F" w:rsidP="0063533E" w14:paraId="30C31483" w14:textId="77777777">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B8B643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D9056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FAA2FB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EF4BD5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C27BAC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6F6ACB2" w14:textId="77777777">
      <w:r>
        <w:separator/>
      </w:r>
    </w:p>
  </w:footnote>
  <w:footnote w:type="continuationSeparator" w:id="1">
    <w:p w:rsidR="0057389B" w14:paraId="0133A794" w14:textId="77777777">
      <w:r>
        <w:continuationSeparator/>
      </w:r>
    </w:p>
  </w:footnote>
  <w:footnote w:id="2">
    <w:p w:rsidR="00802DC6" w:rsidP="00802DC6" w14:paraId="042B418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A7ECFA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DF14F8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D84AC4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5D32A5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610D1FB4"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F86282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EB43F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FFF410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CEE07E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5476C10" w14:textId="77777777">
                    <w:pPr>
                      <w:rPr>
                        <w:rFonts w:ascii="Arial" w:hAnsi="Arial" w:cs="Arial"/>
                        <w:b/>
                      </w:rPr>
                    </w:pPr>
                    <w:r w:rsidRPr="002D783A">
                      <w:rPr>
                        <w:rFonts w:ascii="Arial" w:hAnsi="Arial" w:cs="Arial"/>
                        <w:b/>
                      </w:rPr>
                      <w:t>Federal Communications Commission</w:t>
                    </w:r>
                  </w:p>
                  <w:p w:rsidR="00E37281" w:rsidRPr="002D783A" w14:paraId="5009A33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CC74322"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6773823" r:id="rId2"/>
      </w:pict>
    </w:r>
    <w:r>
      <w:rPr>
        <w:rFonts w:ascii="News Gothic MT" w:hAnsi="News Gothic MT"/>
        <w:b/>
        <w:kern w:val="28"/>
        <w:sz w:val="96"/>
      </w:rPr>
      <w:t>PUBLIC NOTICE</w:t>
    </w:r>
  </w:p>
  <w:p w:rsidR="00E37281" w:rsidRPr="00EA17C2" w:rsidP="00EA17C2" w14:paraId="72B1C40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8FEE895" w14:textId="77777777">
                    <w:pPr>
                      <w:jc w:val="right"/>
                      <w:rPr>
                        <w:rFonts w:ascii="Arial" w:hAnsi="Arial"/>
                        <w:sz w:val="16"/>
                      </w:rPr>
                    </w:pPr>
                    <w:r>
                      <w:rPr>
                        <w:rFonts w:ascii="Arial" w:hAnsi="Arial"/>
                        <w:sz w:val="16"/>
                      </w:rPr>
                      <w:tab/>
                      <w:t>News Media Information 202 / 418-0500</w:t>
                    </w:r>
                  </w:p>
                  <w:p w:rsidR="00E37281" w14:paraId="262D6004" w14:textId="77777777">
                    <w:pPr>
                      <w:jc w:val="right"/>
                      <w:rPr>
                        <w:rFonts w:ascii="Arial" w:hAnsi="Arial"/>
                        <w:sz w:val="16"/>
                      </w:rPr>
                    </w:pPr>
                    <w:r>
                      <w:rPr>
                        <w:rFonts w:ascii="Arial" w:hAnsi="Arial"/>
                        <w:sz w:val="16"/>
                      </w:rPr>
                      <w:tab/>
                      <w:t xml:space="preserve">            Internet:  http://www.fcc.gov</w:t>
                    </w:r>
                  </w:p>
                  <w:p w:rsidR="00E37281" w:rsidP="00B2754A" w14:paraId="35C942A9" w14:textId="77777777">
                    <w:pPr>
                      <w:rPr>
                        <w:rFonts w:ascii="Arial" w:hAnsi="Arial"/>
                        <w:sz w:val="16"/>
                      </w:rPr>
                    </w:pPr>
                    <w:r>
                      <w:rPr>
                        <w:rFonts w:ascii="Arial" w:hAnsi="Arial"/>
                        <w:sz w:val="16"/>
                      </w:rPr>
                      <w:tab/>
                      <w:t xml:space="preserve">                                     TTY 1-888-835-5322</w:t>
                    </w:r>
                  </w:p>
                  <w:p w:rsidR="00E37281" w:rsidP="00B2754A" w14:paraId="050F12A2" w14:textId="77777777">
                    <w:pPr>
                      <w:rPr>
                        <w:rFonts w:ascii="Arial" w:hAnsi="Arial"/>
                        <w:sz w:val="16"/>
                      </w:rPr>
                    </w:pPr>
                    <w:r>
                      <w:rPr>
                        <w:rFonts w:ascii="Arial" w:hAnsi="Arial"/>
                        <w:sz w:val="16"/>
                      </w:rPr>
                      <w:tab/>
                    </w:r>
                    <w:r>
                      <w:rPr>
                        <w:rFonts w:ascii="Arial" w:hAnsi="Arial"/>
                        <w:sz w:val="16"/>
                      </w:rPr>
                      <w:tab/>
                    </w:r>
                  </w:p>
                  <w:p w:rsidR="00E37281" w:rsidP="00B2754A" w14:paraId="2E4A7E0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947"/>
    <w:rsid w:val="00082C34"/>
    <w:rsid w:val="00091A8F"/>
    <w:rsid w:val="0009389C"/>
    <w:rsid w:val="000970DC"/>
    <w:rsid w:val="000A4E1E"/>
    <w:rsid w:val="000A6EF6"/>
    <w:rsid w:val="000C58AD"/>
    <w:rsid w:val="000C7FE5"/>
    <w:rsid w:val="000F4691"/>
    <w:rsid w:val="00112519"/>
    <w:rsid w:val="0011693F"/>
    <w:rsid w:val="00136782"/>
    <w:rsid w:val="001454F9"/>
    <w:rsid w:val="00156129"/>
    <w:rsid w:val="00164D8B"/>
    <w:rsid w:val="00191BF7"/>
    <w:rsid w:val="00192710"/>
    <w:rsid w:val="001A7BA8"/>
    <w:rsid w:val="001B46A7"/>
    <w:rsid w:val="001C68B7"/>
    <w:rsid w:val="001E3F7A"/>
    <w:rsid w:val="001E4437"/>
    <w:rsid w:val="002142C8"/>
    <w:rsid w:val="00217481"/>
    <w:rsid w:val="0022440F"/>
    <w:rsid w:val="00231345"/>
    <w:rsid w:val="002463B6"/>
    <w:rsid w:val="00247D3D"/>
    <w:rsid w:val="002749BE"/>
    <w:rsid w:val="002761DA"/>
    <w:rsid w:val="00281DBA"/>
    <w:rsid w:val="002A1AA0"/>
    <w:rsid w:val="002B4B36"/>
    <w:rsid w:val="002B4F56"/>
    <w:rsid w:val="002D783A"/>
    <w:rsid w:val="002E3F18"/>
    <w:rsid w:val="002F413C"/>
    <w:rsid w:val="002F5715"/>
    <w:rsid w:val="003118BC"/>
    <w:rsid w:val="00321A3A"/>
    <w:rsid w:val="003229AE"/>
    <w:rsid w:val="00323CD4"/>
    <w:rsid w:val="00344630"/>
    <w:rsid w:val="00367A5C"/>
    <w:rsid w:val="00370316"/>
    <w:rsid w:val="00370AEA"/>
    <w:rsid w:val="0038069F"/>
    <w:rsid w:val="003836E7"/>
    <w:rsid w:val="00385026"/>
    <w:rsid w:val="003B1364"/>
    <w:rsid w:val="003C32FC"/>
    <w:rsid w:val="003C6902"/>
    <w:rsid w:val="003E30E1"/>
    <w:rsid w:val="003E5DE3"/>
    <w:rsid w:val="003F3CA8"/>
    <w:rsid w:val="00401EE2"/>
    <w:rsid w:val="0041443B"/>
    <w:rsid w:val="00415889"/>
    <w:rsid w:val="004162BC"/>
    <w:rsid w:val="00426B6E"/>
    <w:rsid w:val="0043327D"/>
    <w:rsid w:val="004336A2"/>
    <w:rsid w:val="00435796"/>
    <w:rsid w:val="00451939"/>
    <w:rsid w:val="00462D26"/>
    <w:rsid w:val="004A256F"/>
    <w:rsid w:val="004A29C8"/>
    <w:rsid w:val="004A4EDC"/>
    <w:rsid w:val="004C7AB6"/>
    <w:rsid w:val="004D2A49"/>
    <w:rsid w:val="004E10F5"/>
    <w:rsid w:val="004E5434"/>
    <w:rsid w:val="004F48EF"/>
    <w:rsid w:val="00512EDC"/>
    <w:rsid w:val="00513FBD"/>
    <w:rsid w:val="00516E9C"/>
    <w:rsid w:val="0052767F"/>
    <w:rsid w:val="0053217B"/>
    <w:rsid w:val="005358CF"/>
    <w:rsid w:val="00536B41"/>
    <w:rsid w:val="00546004"/>
    <w:rsid w:val="00567BD5"/>
    <w:rsid w:val="005703E7"/>
    <w:rsid w:val="005708AF"/>
    <w:rsid w:val="00577863"/>
    <w:rsid w:val="0057796D"/>
    <w:rsid w:val="005833F6"/>
    <w:rsid w:val="00585588"/>
    <w:rsid w:val="005933A9"/>
    <w:rsid w:val="0059445D"/>
    <w:rsid w:val="00596841"/>
    <w:rsid w:val="005C13D7"/>
    <w:rsid w:val="005D2C28"/>
    <w:rsid w:val="005D6FE0"/>
    <w:rsid w:val="005E127C"/>
    <w:rsid w:val="005F113A"/>
    <w:rsid w:val="006069D9"/>
    <w:rsid w:val="00613B6D"/>
    <w:rsid w:val="00615E1C"/>
    <w:rsid w:val="00633527"/>
    <w:rsid w:val="0063533E"/>
    <w:rsid w:val="00637AC4"/>
    <w:rsid w:val="00646DE9"/>
    <w:rsid w:val="00646FE0"/>
    <w:rsid w:val="006472D0"/>
    <w:rsid w:val="00671064"/>
    <w:rsid w:val="00683E9E"/>
    <w:rsid w:val="00684A76"/>
    <w:rsid w:val="006A71F9"/>
    <w:rsid w:val="006C36DE"/>
    <w:rsid w:val="006E44BB"/>
    <w:rsid w:val="006E7B5B"/>
    <w:rsid w:val="00704423"/>
    <w:rsid w:val="007148A9"/>
    <w:rsid w:val="007243DB"/>
    <w:rsid w:val="00746B8F"/>
    <w:rsid w:val="0074764F"/>
    <w:rsid w:val="007526FE"/>
    <w:rsid w:val="0076088D"/>
    <w:rsid w:val="00765D57"/>
    <w:rsid w:val="00770FED"/>
    <w:rsid w:val="00780142"/>
    <w:rsid w:val="00780C14"/>
    <w:rsid w:val="00785D62"/>
    <w:rsid w:val="007868C8"/>
    <w:rsid w:val="007B7ECF"/>
    <w:rsid w:val="007E723C"/>
    <w:rsid w:val="007F14FA"/>
    <w:rsid w:val="007F510F"/>
    <w:rsid w:val="00802DC6"/>
    <w:rsid w:val="00804B39"/>
    <w:rsid w:val="00804C85"/>
    <w:rsid w:val="0081179F"/>
    <w:rsid w:val="0082510B"/>
    <w:rsid w:val="00833CAD"/>
    <w:rsid w:val="00843C34"/>
    <w:rsid w:val="008444A8"/>
    <w:rsid w:val="008466AF"/>
    <w:rsid w:val="008618C1"/>
    <w:rsid w:val="00863EA9"/>
    <w:rsid w:val="008665F6"/>
    <w:rsid w:val="00877F45"/>
    <w:rsid w:val="00887DD7"/>
    <w:rsid w:val="00890101"/>
    <w:rsid w:val="008961DF"/>
    <w:rsid w:val="008A65D1"/>
    <w:rsid w:val="008B3096"/>
    <w:rsid w:val="008D15A6"/>
    <w:rsid w:val="008D6539"/>
    <w:rsid w:val="00902225"/>
    <w:rsid w:val="00903DBD"/>
    <w:rsid w:val="0090453E"/>
    <w:rsid w:val="00925F62"/>
    <w:rsid w:val="00927148"/>
    <w:rsid w:val="00932FED"/>
    <w:rsid w:val="00967114"/>
    <w:rsid w:val="00967914"/>
    <w:rsid w:val="009709F5"/>
    <w:rsid w:val="00985CD1"/>
    <w:rsid w:val="00986133"/>
    <w:rsid w:val="00994AE2"/>
    <w:rsid w:val="00997E0E"/>
    <w:rsid w:val="009A450E"/>
    <w:rsid w:val="009A5207"/>
    <w:rsid w:val="009C386E"/>
    <w:rsid w:val="009C3FAD"/>
    <w:rsid w:val="009C555B"/>
    <w:rsid w:val="00A048C3"/>
    <w:rsid w:val="00A0670A"/>
    <w:rsid w:val="00A070F5"/>
    <w:rsid w:val="00A55B50"/>
    <w:rsid w:val="00A55DCE"/>
    <w:rsid w:val="00A70774"/>
    <w:rsid w:val="00A924C6"/>
    <w:rsid w:val="00AA031C"/>
    <w:rsid w:val="00AB0149"/>
    <w:rsid w:val="00AB3BC3"/>
    <w:rsid w:val="00AB6A64"/>
    <w:rsid w:val="00AC191A"/>
    <w:rsid w:val="00AD4F5A"/>
    <w:rsid w:val="00AD65B5"/>
    <w:rsid w:val="00AD7742"/>
    <w:rsid w:val="00AE56A8"/>
    <w:rsid w:val="00AF25CB"/>
    <w:rsid w:val="00B239EA"/>
    <w:rsid w:val="00B2754A"/>
    <w:rsid w:val="00B30DFB"/>
    <w:rsid w:val="00B310B7"/>
    <w:rsid w:val="00B318FF"/>
    <w:rsid w:val="00B346B4"/>
    <w:rsid w:val="00B41C8A"/>
    <w:rsid w:val="00B42083"/>
    <w:rsid w:val="00B55D2A"/>
    <w:rsid w:val="00B838CD"/>
    <w:rsid w:val="00BB1759"/>
    <w:rsid w:val="00BB431E"/>
    <w:rsid w:val="00BB6E7C"/>
    <w:rsid w:val="00BC4A5E"/>
    <w:rsid w:val="00BE13DF"/>
    <w:rsid w:val="00BF4924"/>
    <w:rsid w:val="00C2122A"/>
    <w:rsid w:val="00C2582B"/>
    <w:rsid w:val="00C458C2"/>
    <w:rsid w:val="00C56FA1"/>
    <w:rsid w:val="00C60391"/>
    <w:rsid w:val="00C613F7"/>
    <w:rsid w:val="00C706F6"/>
    <w:rsid w:val="00CB15C3"/>
    <w:rsid w:val="00CB1F32"/>
    <w:rsid w:val="00CC662F"/>
    <w:rsid w:val="00D05920"/>
    <w:rsid w:val="00D07F6D"/>
    <w:rsid w:val="00D163C5"/>
    <w:rsid w:val="00D23C15"/>
    <w:rsid w:val="00D31BAF"/>
    <w:rsid w:val="00D45146"/>
    <w:rsid w:val="00D50624"/>
    <w:rsid w:val="00D53B7E"/>
    <w:rsid w:val="00D612D7"/>
    <w:rsid w:val="00D954C4"/>
    <w:rsid w:val="00DA3502"/>
    <w:rsid w:val="00DA550B"/>
    <w:rsid w:val="00DE12B7"/>
    <w:rsid w:val="00DF5657"/>
    <w:rsid w:val="00E01BD3"/>
    <w:rsid w:val="00E13AE3"/>
    <w:rsid w:val="00E20895"/>
    <w:rsid w:val="00E217F3"/>
    <w:rsid w:val="00E24728"/>
    <w:rsid w:val="00E25608"/>
    <w:rsid w:val="00E3547E"/>
    <w:rsid w:val="00E37281"/>
    <w:rsid w:val="00E42EE1"/>
    <w:rsid w:val="00E61706"/>
    <w:rsid w:val="00E70359"/>
    <w:rsid w:val="00E72C83"/>
    <w:rsid w:val="00E75DEB"/>
    <w:rsid w:val="00E80757"/>
    <w:rsid w:val="00E8659C"/>
    <w:rsid w:val="00E929C9"/>
    <w:rsid w:val="00E959F6"/>
    <w:rsid w:val="00EA17C2"/>
    <w:rsid w:val="00EB6DEF"/>
    <w:rsid w:val="00EB7576"/>
    <w:rsid w:val="00EC7107"/>
    <w:rsid w:val="00EC7DC8"/>
    <w:rsid w:val="00ED38E5"/>
    <w:rsid w:val="00F046EC"/>
    <w:rsid w:val="00F1719D"/>
    <w:rsid w:val="00F32448"/>
    <w:rsid w:val="00F348B7"/>
    <w:rsid w:val="00F41077"/>
    <w:rsid w:val="00F44847"/>
    <w:rsid w:val="00F44CE5"/>
    <w:rsid w:val="00F614ED"/>
    <w:rsid w:val="00F62C5D"/>
    <w:rsid w:val="00F638A7"/>
    <w:rsid w:val="00F73DFF"/>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