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A53F3" w:rsidP="00025A86" w14:paraId="797DF8C1" w14:textId="25240543">
      <w:pPr>
        <w:pStyle w:val="TOAHeading"/>
        <w:autoSpaceDE w:val="0"/>
        <w:autoSpaceDN w:val="0"/>
        <w:jc w:val="right"/>
        <w:rPr>
          <w:rFonts w:ascii="Times New Roman" w:eastAsia="Times New Roman" w:hAnsi="Times New Roman"/>
        </w:rPr>
      </w:pPr>
      <w:bookmarkStart w:id="0" w:name="_Hlk39571163"/>
      <w:bookmarkStart w:id="1" w:name="_GoBack"/>
      <w:bookmarkEnd w:id="1"/>
      <w:r>
        <w:rPr>
          <w:rFonts w:ascii="Times New Roman" w:eastAsia="Times New Roman" w:hAnsi="Times New Roman"/>
        </w:rPr>
        <w:t xml:space="preserve">July </w:t>
      </w:r>
      <w:r w:rsidR="00F213A5">
        <w:rPr>
          <w:rFonts w:ascii="Times New Roman" w:eastAsia="Times New Roman" w:hAnsi="Times New Roman"/>
        </w:rPr>
        <w:t>30</w:t>
      </w:r>
      <w:r w:rsidR="004D6286">
        <w:rPr>
          <w:rFonts w:ascii="Times New Roman" w:eastAsia="Times New Roman" w:hAnsi="Times New Roman"/>
        </w:rPr>
        <w:t>, 2020</w:t>
      </w:r>
    </w:p>
    <w:p w:rsidR="003D2DA9" w14:paraId="5B8391B3" w14:textId="77777777">
      <w:pPr>
        <w:pStyle w:val="NewHeading"/>
        <w:autoSpaceDE w:val="0"/>
        <w:autoSpaceDN w:val="0"/>
        <w:rPr>
          <w:rFonts w:ascii="Times New Roman" w:hAnsi="Times New Roman"/>
        </w:rPr>
      </w:pPr>
    </w:p>
    <w:p w:rsidR="007A53F3" w14:paraId="1DDCEEDE" w14:textId="7714295B">
      <w:pPr>
        <w:pStyle w:val="NewHeading"/>
        <w:autoSpaceDE w:val="0"/>
        <w:autoSpaceDN w:val="0"/>
        <w:rPr>
          <w:rFonts w:ascii="Times New Roman" w:hAnsi="Times New Roman"/>
        </w:rPr>
      </w:pPr>
      <w:r>
        <w:rPr>
          <w:rFonts w:ascii="Times New Roman" w:hAnsi="Times New Roman"/>
        </w:rPr>
        <w:t>FCC TO HOLD OPEN COMMISSION MEETING</w:t>
      </w:r>
    </w:p>
    <w:p w:rsidR="007A53F3" w14:paraId="6D2C1A05" w14:textId="386AD6B5">
      <w:pPr>
        <w:pStyle w:val="NewHeading"/>
        <w:autoSpaceDE w:val="0"/>
        <w:autoSpaceDN w:val="0"/>
        <w:rPr>
          <w:rFonts w:ascii="Times New Roman" w:hAnsi="Times New Roman"/>
        </w:rPr>
      </w:pPr>
      <w:r>
        <w:rPr>
          <w:rFonts w:ascii="Times New Roman" w:hAnsi="Times New Roman"/>
        </w:rPr>
        <w:t>T</w:t>
      </w:r>
      <w:r w:rsidR="00E83470">
        <w:rPr>
          <w:rFonts w:ascii="Times New Roman" w:hAnsi="Times New Roman"/>
        </w:rPr>
        <w:t>HURSDAY</w:t>
      </w:r>
      <w:r w:rsidR="004D6286">
        <w:rPr>
          <w:rFonts w:ascii="Times New Roman" w:hAnsi="Times New Roman"/>
        </w:rPr>
        <w:t xml:space="preserve">, </w:t>
      </w:r>
      <w:r w:rsidR="00F213A5">
        <w:rPr>
          <w:rFonts w:ascii="Times New Roman" w:hAnsi="Times New Roman"/>
        </w:rPr>
        <w:t>A</w:t>
      </w:r>
      <w:r w:rsidR="00E83470">
        <w:rPr>
          <w:rFonts w:ascii="Times New Roman" w:hAnsi="Times New Roman"/>
        </w:rPr>
        <w:t>U</w:t>
      </w:r>
      <w:r w:rsidR="00F213A5">
        <w:rPr>
          <w:rFonts w:ascii="Times New Roman" w:hAnsi="Times New Roman"/>
        </w:rPr>
        <w:t>GUST</w:t>
      </w:r>
      <w:r w:rsidR="00E83470">
        <w:rPr>
          <w:rFonts w:ascii="Times New Roman" w:hAnsi="Times New Roman"/>
        </w:rPr>
        <w:t xml:space="preserve"> 6</w:t>
      </w:r>
      <w:r w:rsidR="004D6286">
        <w:rPr>
          <w:rFonts w:ascii="Times New Roman" w:hAnsi="Times New Roman"/>
        </w:rPr>
        <w:t>, 2020</w:t>
      </w:r>
    </w:p>
    <w:p w:rsidR="007A53F3" w14:paraId="4FEF21AF" w14:textId="77777777">
      <w:pPr>
        <w:rPr>
          <w:rFonts w:ascii="Times New Roman" w:eastAsia="Times New Roman" w:hAnsi="Times New Roman"/>
        </w:rPr>
      </w:pPr>
    </w:p>
    <w:p w:rsidR="007A53F3" w:rsidP="00B852D0" w14:paraId="23EC17C2" w14:textId="55FBD995">
      <w:pPr>
        <w:pStyle w:val="BodyText"/>
        <w:autoSpaceDE w:val="0"/>
        <w:autoSpaceDN w:val="0"/>
        <w:jc w:val="left"/>
        <w:rPr>
          <w:sz w:val="24"/>
          <w:szCs w:val="24"/>
        </w:rPr>
      </w:pPr>
      <w:r>
        <w:rPr>
          <w:sz w:val="24"/>
          <w:szCs w:val="24"/>
        </w:rPr>
        <w:t>The Federal Communications Commission will hold an Open Meeting on</w:t>
      </w:r>
      <w:r w:rsidR="00661AFE">
        <w:rPr>
          <w:sz w:val="24"/>
          <w:szCs w:val="24"/>
        </w:rPr>
        <w:t xml:space="preserve"> </w:t>
      </w:r>
      <w:r w:rsidR="00A8062C">
        <w:rPr>
          <w:sz w:val="24"/>
          <w:szCs w:val="24"/>
        </w:rPr>
        <w:t>T</w:t>
      </w:r>
      <w:r w:rsidR="00683FDC">
        <w:rPr>
          <w:sz w:val="24"/>
          <w:szCs w:val="24"/>
        </w:rPr>
        <w:t>hursday</w:t>
      </w:r>
      <w:r w:rsidR="00661AFE">
        <w:rPr>
          <w:sz w:val="24"/>
          <w:szCs w:val="24"/>
        </w:rPr>
        <w:t xml:space="preserve">, </w:t>
      </w:r>
      <w:r w:rsidR="00F213A5">
        <w:rPr>
          <w:sz w:val="24"/>
          <w:szCs w:val="24"/>
        </w:rPr>
        <w:t>August</w:t>
      </w:r>
      <w:r w:rsidR="00683FDC">
        <w:rPr>
          <w:sz w:val="24"/>
          <w:szCs w:val="24"/>
        </w:rPr>
        <w:t xml:space="preserve"> 6</w:t>
      </w:r>
      <w:r>
        <w:rPr>
          <w:sz w:val="24"/>
          <w:szCs w:val="24"/>
        </w:rPr>
        <w:t xml:space="preserve">, 2020, which is scheduled to commence at 10:30 a.m.  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sz w:val="24"/>
            <w:szCs w:val="24"/>
          </w:rPr>
          <w:t>www.fcc.gov/live</w:t>
        </w:r>
      </w:hyperlink>
      <w:r>
        <w:rPr>
          <w:sz w:val="24"/>
          <w:szCs w:val="24"/>
        </w:rPr>
        <w:t xml:space="preserve"> and on the FCC’s YouTube channel. </w:t>
      </w:r>
      <w:bookmarkStart w:id="2" w:name="_Hlk35871337"/>
      <w:bookmarkEnd w:id="2"/>
    </w:p>
    <w:p w:rsidR="007A53F3" w14:paraId="33583782" w14:textId="77777777">
      <w:pPr>
        <w:pStyle w:val="BodyText"/>
        <w:autoSpaceDE w:val="0"/>
        <w:autoSpaceDN w:val="0"/>
        <w:rPr>
          <w:sz w:val="24"/>
          <w:szCs w:val="24"/>
        </w:rPr>
      </w:pP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44269BF8" w14:textId="77777777">
        <w:tblPrEx>
          <w:tblW w:w="9540" w:type="dxa"/>
          <w:tblLayout w:type="fixed"/>
          <w:tblCellMar>
            <w:left w:w="120" w:type="dxa"/>
            <w:right w:w="120" w:type="dxa"/>
          </w:tblCellMar>
          <w:tblLook w:val="0000"/>
        </w:tblPrEx>
        <w:tc>
          <w:tcPr>
            <w:tcW w:w="1440" w:type="dxa"/>
          </w:tcPr>
          <w:p w:rsidR="007A53F3" w14:paraId="5A563B62"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ITEM NO.</w:t>
            </w:r>
          </w:p>
        </w:tc>
        <w:tc>
          <w:tcPr>
            <w:tcW w:w="2880" w:type="dxa"/>
          </w:tcPr>
          <w:p w:rsidR="007A53F3" w14:paraId="3931118B"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BUREAU</w:t>
            </w:r>
          </w:p>
        </w:tc>
        <w:tc>
          <w:tcPr>
            <w:tcW w:w="5220" w:type="dxa"/>
          </w:tcPr>
          <w:p w:rsidR="007A53F3" w14:paraId="2A7ACD66" w14:textId="77777777">
            <w:pPr>
              <w:spacing w:before="90" w:after="54"/>
              <w:jc w:val="center"/>
              <w:rPr>
                <w:rFonts w:ascii="Times New Roman" w:eastAsia="Times New Roman" w:hAnsi="Times New Roman"/>
                <w:b/>
                <w:u w:val="single"/>
              </w:rPr>
            </w:pPr>
            <w:r>
              <w:rPr>
                <w:rFonts w:ascii="Times New Roman" w:eastAsia="Times New Roman" w:hAnsi="Times New Roman"/>
                <w:b/>
                <w:u w:val="single"/>
              </w:rPr>
              <w:t>SUBJECT</w:t>
            </w:r>
          </w:p>
        </w:tc>
      </w:tr>
      <w:tr w14:paraId="275011C4" w14:textId="77777777">
        <w:tblPrEx>
          <w:tblW w:w="9540" w:type="dxa"/>
          <w:tblLayout w:type="fixed"/>
          <w:tblCellMar>
            <w:left w:w="120" w:type="dxa"/>
            <w:right w:w="120" w:type="dxa"/>
          </w:tblCellMar>
          <w:tblLook w:val="0000"/>
        </w:tblPrEx>
        <w:tc>
          <w:tcPr>
            <w:tcW w:w="1440" w:type="dxa"/>
          </w:tcPr>
          <w:p w:rsidR="007A53F3" w14:paraId="183A51BD" w14:textId="77777777">
            <w:pPr>
              <w:spacing w:before="90" w:after="54"/>
              <w:jc w:val="center"/>
              <w:rPr>
                <w:rFonts w:ascii="Times New Roman" w:eastAsia="Times New Roman" w:hAnsi="Times New Roman"/>
                <w:b/>
              </w:rPr>
            </w:pPr>
            <w:r>
              <w:rPr>
                <w:rFonts w:ascii="Times New Roman" w:eastAsia="Times New Roman" w:hAnsi="Times New Roman"/>
                <w:b/>
              </w:rPr>
              <w:t>1</w:t>
            </w:r>
          </w:p>
        </w:tc>
        <w:tc>
          <w:tcPr>
            <w:tcW w:w="2880" w:type="dxa"/>
          </w:tcPr>
          <w:p w:rsidR="007A53F3" w14:paraId="19BDFEEB" w14:textId="71E3F9F0">
            <w:pPr>
              <w:autoSpaceDE/>
              <w:autoSpaceDN/>
              <w:spacing w:before="90" w:after="54"/>
              <w:jc w:val="center"/>
              <w:rPr>
                <w:rFonts w:ascii="Times New Roman" w:eastAsia="Times New Roman" w:hAnsi="Times New Roman"/>
                <w:b/>
              </w:rPr>
            </w:pPr>
            <w:r>
              <w:rPr>
                <w:rFonts w:ascii="Times New Roman" w:eastAsia="Times New Roman" w:hAnsi="Times New Roman"/>
                <w:b/>
              </w:rPr>
              <w:t>OFFICE OF ECONOMICS &amp; ANALYTICS</w:t>
            </w:r>
          </w:p>
          <w:p w:rsidR="0023701E" w14:paraId="178B73A2" w14:textId="77777777">
            <w:pPr>
              <w:autoSpaceDE/>
              <w:autoSpaceDN/>
              <w:spacing w:before="90" w:after="54"/>
              <w:jc w:val="center"/>
              <w:rPr>
                <w:rFonts w:ascii="Times New Roman" w:eastAsia="Times New Roman" w:hAnsi="Times New Roman"/>
                <w:b/>
              </w:rPr>
            </w:pPr>
            <w:r>
              <w:rPr>
                <w:rFonts w:ascii="Times New Roman" w:eastAsia="Times New Roman" w:hAnsi="Times New Roman"/>
                <w:b/>
              </w:rPr>
              <w:t>AND</w:t>
            </w:r>
          </w:p>
          <w:p w:rsidR="0023701E" w14:paraId="105E6E92" w14:textId="75F6A8E4">
            <w:pPr>
              <w:autoSpaceDE/>
              <w:autoSpaceDN/>
              <w:spacing w:before="90" w:after="54"/>
              <w:jc w:val="center"/>
              <w:rPr>
                <w:rFonts w:ascii="Times New Roman" w:eastAsia="Times New Roman" w:hAnsi="Times New Roman"/>
                <w:b/>
              </w:rPr>
            </w:pPr>
            <w:r>
              <w:rPr>
                <w:rFonts w:ascii="Times New Roman" w:eastAsia="Times New Roman" w:hAnsi="Times New Roman"/>
                <w:b/>
              </w:rPr>
              <w:t>WIRELESS TELE-COMMUNICATIONS</w:t>
            </w:r>
          </w:p>
        </w:tc>
        <w:tc>
          <w:tcPr>
            <w:tcW w:w="5220" w:type="dxa"/>
          </w:tcPr>
          <w:p w:rsidR="00A8062C" w:rsidRPr="00CA1732" w:rsidP="00C017C5" w14:paraId="67ABF90F" w14:textId="0140B7F2">
            <w:pPr>
              <w:tabs>
                <w:tab w:val="center" w:pos="4680"/>
              </w:tabs>
              <w:suppressAutoHyphens/>
              <w:spacing w:before="90" w:after="54"/>
              <w:rPr>
                <w:rFonts w:ascii="Times New Roman" w:eastAsia="Times New Roman" w:hAnsi="Times New Roman"/>
                <w:spacing w:val="-2"/>
                <w:kern w:val="28"/>
              </w:rPr>
            </w:pPr>
            <w:bookmarkStart w:id="3" w:name="OLE_LINK3"/>
            <w:r>
              <w:rPr>
                <w:rFonts w:ascii="Times New Roman" w:eastAsia="Times New Roman" w:hAnsi="Times New Roman"/>
                <w:b/>
              </w:rPr>
              <w:t>TITL</w:t>
            </w:r>
            <w:bookmarkStart w:id="4" w:name="OLE_LINK2"/>
            <w:r>
              <w:rPr>
                <w:rFonts w:ascii="Times New Roman" w:eastAsia="Times New Roman" w:hAnsi="Times New Roman"/>
                <w:b/>
              </w:rPr>
              <w:t>E:</w:t>
            </w:r>
            <w:bookmarkEnd w:id="4"/>
            <w:r>
              <w:rPr>
                <w:rFonts w:ascii="Times New Roman" w:eastAsia="Times New Roman" w:hAnsi="Times New Roman"/>
                <w:b/>
              </w:rPr>
              <w:t xml:space="preserve">  </w:t>
            </w:r>
            <w:r w:rsidRPr="00F213A5" w:rsidR="00F213A5">
              <w:rPr>
                <w:rFonts w:ascii="Times New Roman" w:eastAsia="Times New Roman" w:hAnsi="Times New Roman"/>
                <w:spacing w:val="-2"/>
                <w:kern w:val="28"/>
              </w:rPr>
              <w:t>C-band Auction Procedures (AU Docket No. 20-25)</w:t>
            </w:r>
          </w:p>
          <w:p w:rsidR="00A31569" w:rsidP="00CA1732" w14:paraId="1751902C" w14:textId="797DA2FE">
            <w:pPr>
              <w:autoSpaceDE/>
              <w:spacing w:before="90" w:after="54"/>
              <w:rPr>
                <w:rFonts w:ascii="Times New Roman" w:eastAsia="Times New Roman" w:hAnsi="Times New Roman"/>
              </w:rPr>
            </w:pPr>
            <w:r>
              <w:rPr>
                <w:rFonts w:ascii="Times New Roman" w:eastAsia="Times New Roman" w:hAnsi="Times New Roman"/>
                <w:b/>
              </w:rPr>
              <w:t xml:space="preserve">SUMMARY:  </w:t>
            </w:r>
            <w:bookmarkEnd w:id="3"/>
            <w:r w:rsidRPr="00F213A5" w:rsidR="00F213A5">
              <w:rPr>
                <w:rFonts w:ascii="Times New Roman" w:eastAsia="Times New Roman" w:hAnsi="Times New Roman"/>
              </w:rPr>
              <w:t>The Commission will consider a Public Notice that would adopt procedures for the auction of new flexible-use overlay licenses in the 3.7–3.98 GHz band (Auction 107) for 5G, the Internet of Things, and other advanced wireless services</w:t>
            </w:r>
            <w:r w:rsidRPr="00416A45" w:rsidR="00416A45">
              <w:rPr>
                <w:rFonts w:ascii="Times New Roman" w:eastAsia="Times New Roman" w:hAnsi="Times New Roman"/>
              </w:rPr>
              <w:t xml:space="preserve">. </w:t>
            </w:r>
            <w:r w:rsidRPr="00CA1732" w:rsidR="00CA1732">
              <w:rPr>
                <w:rFonts w:ascii="Times New Roman" w:eastAsia="Times New Roman" w:hAnsi="Times New Roman"/>
              </w:rPr>
              <w:t xml:space="preserve"> </w:t>
            </w:r>
          </w:p>
          <w:p w:rsidR="00CA1732" w:rsidP="00CA1732" w14:paraId="32A2B6EB" w14:textId="5167D48A">
            <w:pPr>
              <w:autoSpaceDE/>
              <w:spacing w:before="90" w:after="54"/>
              <w:rPr>
                <w:rFonts w:ascii="Times New Roman" w:eastAsia="Times New Roman" w:hAnsi="Times New Roman"/>
              </w:rPr>
            </w:pPr>
          </w:p>
        </w:tc>
      </w:tr>
      <w:tr w14:paraId="5805400E" w14:textId="77777777">
        <w:tblPrEx>
          <w:tblW w:w="9540" w:type="dxa"/>
          <w:tblLayout w:type="fixed"/>
          <w:tblCellMar>
            <w:left w:w="120" w:type="dxa"/>
            <w:right w:w="120" w:type="dxa"/>
          </w:tblCellMar>
          <w:tblLook w:val="0000"/>
        </w:tblPrEx>
        <w:tc>
          <w:tcPr>
            <w:tcW w:w="1440" w:type="dxa"/>
          </w:tcPr>
          <w:p w:rsidR="007A53F3" w14:paraId="45C64F1D" w14:textId="77777777">
            <w:pPr>
              <w:spacing w:before="90" w:after="54"/>
              <w:jc w:val="center"/>
              <w:rPr>
                <w:rFonts w:ascii="Times New Roman" w:eastAsia="Times New Roman" w:hAnsi="Times New Roman"/>
                <w:b/>
              </w:rPr>
            </w:pPr>
            <w:r>
              <w:rPr>
                <w:rFonts w:ascii="Times New Roman" w:eastAsia="Times New Roman" w:hAnsi="Times New Roman"/>
                <w:b/>
              </w:rPr>
              <w:t>2</w:t>
            </w:r>
          </w:p>
        </w:tc>
        <w:tc>
          <w:tcPr>
            <w:tcW w:w="2880" w:type="dxa"/>
          </w:tcPr>
          <w:p w:rsidR="007A53F3" w14:paraId="20FB37F8" w14:textId="5876E2FC">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tc>
        <w:tc>
          <w:tcPr>
            <w:tcW w:w="5220" w:type="dxa"/>
          </w:tcPr>
          <w:p w:rsidR="00AE3C25" w:rsidP="00C017C5" w14:paraId="3FB6CDF1" w14:textId="3778BD77">
            <w:pPr>
              <w:tabs>
                <w:tab w:val="center" w:pos="4680"/>
              </w:tabs>
              <w:suppressAutoHyphens/>
              <w:spacing w:before="90" w:after="54"/>
              <w:rPr>
                <w:rFonts w:ascii="Times New Roman" w:eastAsia="Times New Roman" w:hAnsi="Times New Roman"/>
                <w:b/>
                <w:bCs/>
                <w:snapToGrid w:val="0"/>
                <w:spacing w:val="-2"/>
                <w:kern w:val="28"/>
              </w:rPr>
            </w:pPr>
            <w:r>
              <w:rPr>
                <w:rFonts w:ascii="Times New Roman" w:eastAsia="Times New Roman" w:hAnsi="Times New Roman"/>
                <w:b/>
              </w:rPr>
              <w:t>TITLE:</w:t>
            </w:r>
            <w:r w:rsidRPr="00682084">
              <w:rPr>
                <w:rFonts w:ascii="Times New Roman" w:eastAsia="Times New Roman" w:hAnsi="Times New Roman"/>
                <w:bCs/>
              </w:rPr>
              <w:t xml:space="preserve">  </w:t>
            </w:r>
            <w:r w:rsidRPr="00F213A5" w:rsidR="00F213A5">
              <w:rPr>
                <w:rFonts w:ascii="Times New Roman" w:eastAsia="Times New Roman" w:hAnsi="Times New Roman"/>
                <w:bCs/>
              </w:rPr>
              <w:t>Radio Duplication Rule</w:t>
            </w:r>
            <w:r w:rsidRPr="00682084" w:rsidR="00682084">
              <w:rPr>
                <w:rFonts w:ascii="Times New Roman" w:eastAsia="Times New Roman" w:hAnsi="Times New Roman"/>
                <w:bCs/>
              </w:rPr>
              <w:t xml:space="preserve"> </w:t>
            </w:r>
            <w:r w:rsidRPr="00F213A5" w:rsidR="00F213A5">
              <w:rPr>
                <w:rFonts w:ascii="Times New Roman" w:eastAsia="Times New Roman" w:hAnsi="Times New Roman"/>
                <w:bCs/>
              </w:rPr>
              <w:t>(MB Docket No. 19-310</w:t>
            </w:r>
            <w:r w:rsidR="00902F43">
              <w:rPr>
                <w:rFonts w:ascii="Times New Roman" w:eastAsia="Times New Roman" w:hAnsi="Times New Roman"/>
                <w:bCs/>
              </w:rPr>
              <w:t xml:space="preserve">); </w:t>
            </w:r>
            <w:r w:rsidRPr="00902F43" w:rsidR="00902F43">
              <w:rPr>
                <w:rFonts w:ascii="Times New Roman" w:eastAsia="Times New Roman" w:hAnsi="Times New Roman"/>
                <w:bCs/>
              </w:rPr>
              <w:t>Modernization of Media Regulation Initiative (MB Docket No. 17-105)</w:t>
            </w:r>
          </w:p>
          <w:p w:rsidR="00AE3C25" w:rsidP="00911E6F" w14:paraId="40EEBE51" w14:textId="2E093EF8">
            <w:pPr>
              <w:autoSpaceDE/>
              <w:spacing w:before="90" w:after="54"/>
              <w:rPr>
                <w:rFonts w:ascii="Times New Roman" w:eastAsia="Times New Roman" w:hAnsi="Times New Roman"/>
                <w:bCs/>
              </w:rPr>
            </w:pPr>
            <w:r>
              <w:rPr>
                <w:rFonts w:ascii="Times New Roman" w:eastAsia="Times New Roman" w:hAnsi="Times New Roman"/>
                <w:b/>
              </w:rPr>
              <w:t xml:space="preserve">SUMMARY:  </w:t>
            </w:r>
            <w:r w:rsidRPr="00F213A5" w:rsidR="00F213A5">
              <w:rPr>
                <w:rFonts w:ascii="Times New Roman" w:eastAsia="Times New Roman" w:hAnsi="Times New Roman"/>
                <w:bCs/>
              </w:rPr>
              <w:t xml:space="preserve">The Commission will consider a Report and Order that would </w:t>
            </w:r>
            <w:r w:rsidR="00976E67">
              <w:rPr>
                <w:rFonts w:ascii="Times New Roman" w:eastAsia="Times New Roman" w:hAnsi="Times New Roman"/>
                <w:bCs/>
              </w:rPr>
              <w:t>address</w:t>
            </w:r>
            <w:r w:rsidRPr="00F213A5" w:rsidR="00F213A5">
              <w:rPr>
                <w:rFonts w:ascii="Times New Roman" w:eastAsia="Times New Roman" w:hAnsi="Times New Roman"/>
                <w:bCs/>
              </w:rPr>
              <w:t xml:space="preserve"> the radio duplication rule</w:t>
            </w:r>
            <w:r w:rsidRPr="002C1E32" w:rsidR="002C1E32">
              <w:rPr>
                <w:rFonts w:ascii="Times New Roman" w:eastAsia="Times New Roman" w:hAnsi="Times New Roman"/>
                <w:bCs/>
              </w:rPr>
              <w:t>.</w:t>
            </w:r>
          </w:p>
          <w:p w:rsidR="00FE206F" w:rsidRPr="002E4C5E" w:rsidP="00911E6F" w14:paraId="453687D1" w14:textId="00791A33">
            <w:pPr>
              <w:autoSpaceDE/>
              <w:spacing w:before="90" w:after="54"/>
              <w:rPr>
                <w:rFonts w:ascii="Times New Roman" w:eastAsia="Times New Roman" w:hAnsi="Times New Roman"/>
                <w:bCs/>
              </w:rPr>
            </w:pPr>
          </w:p>
        </w:tc>
      </w:tr>
      <w:tr w14:paraId="42B5B48A" w14:textId="77777777">
        <w:tblPrEx>
          <w:tblW w:w="9540" w:type="dxa"/>
          <w:tblLayout w:type="fixed"/>
          <w:tblCellMar>
            <w:left w:w="120" w:type="dxa"/>
            <w:right w:w="120" w:type="dxa"/>
          </w:tblCellMar>
          <w:tblLook w:val="0000"/>
        </w:tblPrEx>
        <w:tc>
          <w:tcPr>
            <w:tcW w:w="1440" w:type="dxa"/>
          </w:tcPr>
          <w:p w:rsidR="007A53F3" w14:paraId="5C773ED6" w14:textId="77777777">
            <w:pPr>
              <w:spacing w:before="90" w:after="54"/>
              <w:jc w:val="center"/>
              <w:rPr>
                <w:rFonts w:ascii="Times New Roman" w:eastAsia="Times New Roman" w:hAnsi="Times New Roman"/>
                <w:b/>
              </w:rPr>
            </w:pPr>
            <w:r>
              <w:rPr>
                <w:rFonts w:ascii="Times New Roman" w:eastAsia="Times New Roman" w:hAnsi="Times New Roman"/>
                <w:b/>
              </w:rPr>
              <w:t>3</w:t>
            </w:r>
          </w:p>
        </w:tc>
        <w:tc>
          <w:tcPr>
            <w:tcW w:w="2880" w:type="dxa"/>
          </w:tcPr>
          <w:p w:rsidR="00C23CD0" w14:paraId="65B28B34" w14:textId="4E1E3375">
            <w:pPr>
              <w:autoSpaceDE/>
              <w:autoSpaceDN/>
              <w:spacing w:before="90" w:after="54"/>
              <w:jc w:val="center"/>
              <w:rPr>
                <w:rFonts w:ascii="Times New Roman" w:eastAsia="Times New Roman" w:hAnsi="Times New Roman"/>
                <w:b/>
              </w:rPr>
            </w:pPr>
            <w:r>
              <w:rPr>
                <w:rFonts w:ascii="Times New Roman" w:eastAsia="Times New Roman" w:hAnsi="Times New Roman"/>
                <w:b/>
              </w:rPr>
              <w:t>MEDIA</w:t>
            </w:r>
          </w:p>
        </w:tc>
        <w:tc>
          <w:tcPr>
            <w:tcW w:w="5220" w:type="dxa"/>
          </w:tcPr>
          <w:p w:rsidR="008F49E6" w:rsidRPr="002F131F" w14:paraId="34D0A585" w14:textId="440FC937">
            <w:pPr>
              <w:autoSpaceDE/>
              <w:spacing w:before="90" w:after="54"/>
              <w:rPr>
                <w:rFonts w:ascii="Times New Roman" w:eastAsia="Times New Roman" w:hAnsi="Times New Roman"/>
                <w:bCs/>
                <w:snapToGrid w:val="0"/>
                <w:spacing w:val="-2"/>
                <w:kern w:val="28"/>
              </w:rPr>
            </w:pPr>
            <w:r>
              <w:rPr>
                <w:rFonts w:ascii="Times New Roman" w:eastAsia="Times New Roman" w:hAnsi="Times New Roman"/>
                <w:b/>
              </w:rPr>
              <w:t>TITLE</w:t>
            </w:r>
            <w:r w:rsidR="002F131F">
              <w:rPr>
                <w:rFonts w:ascii="Times New Roman" w:eastAsia="Times New Roman" w:hAnsi="Times New Roman"/>
                <w:b/>
              </w:rPr>
              <w:t>:</w:t>
            </w:r>
            <w:r w:rsidR="002F131F">
              <w:rPr>
                <w:rFonts w:ascii="Times New Roman" w:eastAsia="Times New Roman" w:hAnsi="Times New Roman"/>
                <w:bCs/>
              </w:rPr>
              <w:t xml:space="preserve">  </w:t>
            </w:r>
            <w:r w:rsidRPr="00F213A5" w:rsidR="00F213A5">
              <w:rPr>
                <w:rFonts w:ascii="Times New Roman" w:eastAsia="Times New Roman" w:hAnsi="Times New Roman"/>
                <w:bCs/>
              </w:rPr>
              <w:t>Common Antenna Siting Rules</w:t>
            </w:r>
            <w:r w:rsidRPr="002F131F" w:rsidR="002F131F">
              <w:rPr>
                <w:rFonts w:ascii="Times New Roman" w:eastAsia="Times New Roman" w:hAnsi="Times New Roman"/>
                <w:bCs/>
              </w:rPr>
              <w:t xml:space="preserve"> </w:t>
            </w:r>
            <w:r w:rsidRPr="00F213A5" w:rsidR="00F213A5">
              <w:rPr>
                <w:rFonts w:ascii="Times New Roman" w:eastAsia="Times New Roman" w:hAnsi="Times New Roman"/>
              </w:rPr>
              <w:t>(MB Docket No. 19-282</w:t>
            </w:r>
            <w:r w:rsidR="0017697C">
              <w:rPr>
                <w:rFonts w:ascii="Times New Roman" w:eastAsia="Times New Roman" w:hAnsi="Times New Roman"/>
              </w:rPr>
              <w:t xml:space="preserve">); </w:t>
            </w:r>
            <w:r w:rsidRPr="00902F43" w:rsidR="00902F43">
              <w:rPr>
                <w:rFonts w:ascii="Times New Roman" w:eastAsia="Times New Roman" w:hAnsi="Times New Roman"/>
              </w:rPr>
              <w:t>Modernization of Media Regulation Initiative (MB Docket No. 17-105)</w:t>
            </w:r>
          </w:p>
          <w:p w:rsidR="007A53F3" w:rsidP="00911E6F" w14:paraId="19072317" w14:textId="31BDFC2C">
            <w:pPr>
              <w:autoSpaceDE/>
              <w:spacing w:before="90" w:after="54"/>
              <w:rPr>
                <w:rFonts w:ascii="Times New Roman" w:eastAsia="Times New Roman" w:hAnsi="Times New Roman"/>
              </w:rPr>
            </w:pPr>
            <w:r>
              <w:rPr>
                <w:rFonts w:ascii="Times New Roman" w:eastAsia="Times New Roman" w:hAnsi="Times New Roman"/>
                <w:b/>
              </w:rPr>
              <w:t xml:space="preserve">SUMMARY:  </w:t>
            </w:r>
            <w:r w:rsidRPr="00F213A5" w:rsidR="00F213A5">
              <w:rPr>
                <w:rFonts w:ascii="Times New Roman" w:eastAsia="Times New Roman" w:hAnsi="Times New Roman"/>
              </w:rPr>
              <w:t>The Commission will consider a Report and Order that would eliminate the common antenna siting rules for FM and TV broadcaster applicants and licensees</w:t>
            </w:r>
            <w:r w:rsidRPr="002F131F" w:rsidR="002F131F">
              <w:rPr>
                <w:rFonts w:ascii="Times New Roman" w:eastAsia="Times New Roman" w:hAnsi="Times New Roman"/>
              </w:rPr>
              <w:t xml:space="preserve">. </w:t>
            </w:r>
          </w:p>
          <w:p w:rsidR="00884921" w14:paraId="3D2800DB" w14:textId="5DC63C60">
            <w:pPr>
              <w:autoSpaceDE/>
              <w:spacing w:before="90" w:after="54"/>
              <w:jc w:val="both"/>
              <w:rPr>
                <w:rFonts w:ascii="Times New Roman" w:eastAsia="Times New Roman" w:hAnsi="Times New Roman"/>
                <w:b/>
              </w:rPr>
            </w:pPr>
          </w:p>
        </w:tc>
      </w:tr>
      <w:tr w14:paraId="46B5380D" w14:textId="77777777">
        <w:tblPrEx>
          <w:tblW w:w="9540" w:type="dxa"/>
          <w:tblLayout w:type="fixed"/>
          <w:tblCellMar>
            <w:left w:w="120" w:type="dxa"/>
            <w:right w:w="120" w:type="dxa"/>
          </w:tblCellMar>
          <w:tblLook w:val="0000"/>
        </w:tblPrEx>
        <w:tc>
          <w:tcPr>
            <w:tcW w:w="1440" w:type="dxa"/>
          </w:tcPr>
          <w:p w:rsidR="007A53F3" w14:paraId="4FDBE9F3" w14:textId="77777777">
            <w:pPr>
              <w:spacing w:before="90" w:after="54"/>
              <w:jc w:val="center"/>
              <w:rPr>
                <w:rFonts w:ascii="Times New Roman" w:eastAsia="Times New Roman" w:hAnsi="Times New Roman"/>
                <w:b/>
              </w:rPr>
            </w:pPr>
            <w:r>
              <w:rPr>
                <w:rFonts w:ascii="Times New Roman" w:eastAsia="Times New Roman" w:hAnsi="Times New Roman"/>
                <w:b/>
              </w:rPr>
              <w:t>4</w:t>
            </w:r>
          </w:p>
        </w:tc>
        <w:tc>
          <w:tcPr>
            <w:tcW w:w="2880" w:type="dxa"/>
          </w:tcPr>
          <w:p w:rsidR="002E4C5E" w14:paraId="42AAE49F" w14:textId="497B0157">
            <w:pPr>
              <w:autoSpaceDE/>
              <w:autoSpaceDN/>
              <w:spacing w:before="90" w:after="54"/>
              <w:jc w:val="center"/>
              <w:rPr>
                <w:rFonts w:ascii="Times New Roman" w:eastAsia="Times New Roman" w:hAnsi="Times New Roman"/>
                <w:b/>
              </w:rPr>
            </w:pPr>
            <w:r>
              <w:rPr>
                <w:rFonts w:ascii="Times New Roman" w:eastAsia="Times New Roman" w:hAnsi="Times New Roman"/>
                <w:b/>
              </w:rPr>
              <w:t>CONSUMER &amp; GOVERNMENTAL AFFAIRS</w:t>
            </w:r>
          </w:p>
        </w:tc>
        <w:tc>
          <w:tcPr>
            <w:tcW w:w="5220" w:type="dxa"/>
          </w:tcPr>
          <w:p w:rsidR="00884921" w:rsidP="000B7C80" w14:paraId="01F8A9B5" w14:textId="275AAD92">
            <w:pPr>
              <w:autoSpaceDE/>
              <w:spacing w:before="90" w:after="54"/>
              <w:rPr>
                <w:rFonts w:ascii="Times New Roman" w:eastAsia="Times New Roman" w:hAnsi="Times New Roman"/>
                <w:snapToGrid w:val="0"/>
                <w:spacing w:val="-2"/>
                <w:kern w:val="28"/>
              </w:rPr>
            </w:pPr>
            <w:r>
              <w:rPr>
                <w:rFonts w:ascii="Times New Roman" w:eastAsia="Times New Roman" w:hAnsi="Times New Roman"/>
                <w:b/>
              </w:rPr>
              <w:t>TITLE:</w:t>
            </w:r>
            <w:r>
              <w:rPr>
                <w:rFonts w:ascii="Times New Roman" w:eastAsia="Times New Roman" w:hAnsi="Times New Roman"/>
              </w:rPr>
              <w:t xml:space="preserve">  </w:t>
            </w:r>
            <w:r w:rsidRPr="00F213A5" w:rsidR="00F213A5">
              <w:rPr>
                <w:rFonts w:ascii="Times New Roman" w:eastAsia="Times New Roman" w:hAnsi="Times New Roman"/>
              </w:rPr>
              <w:t>Telecommunications Relay Service</w:t>
            </w:r>
            <w:r w:rsidRPr="00267A58" w:rsidR="00267A58">
              <w:rPr>
                <w:rFonts w:ascii="Times New Roman" w:eastAsia="Times New Roman" w:hAnsi="Times New Roman"/>
              </w:rPr>
              <w:t xml:space="preserve"> </w:t>
            </w:r>
            <w:r w:rsidRPr="00F213A5" w:rsidR="00F213A5">
              <w:rPr>
                <w:rFonts w:ascii="Times New Roman" w:eastAsia="Times New Roman" w:hAnsi="Times New Roman"/>
              </w:rPr>
              <w:t>(CG Docket No. 03-123)</w:t>
            </w:r>
          </w:p>
          <w:p w:rsidR="00C23CD0" w:rsidP="002E4C5E" w14:paraId="16656E43" w14:textId="77777777">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F213A5" w:rsidR="00F213A5">
              <w:rPr>
                <w:rFonts w:ascii="Times New Roman" w:eastAsia="Times New Roman" w:hAnsi="Times New Roman"/>
              </w:rPr>
              <w:t xml:space="preserve">The Commission will consider a Report and Order to repeal certain TRS rules that are no longer needed </w:t>
            </w:r>
            <w:r w:rsidRPr="00F213A5" w:rsidR="00F213A5">
              <w:rPr>
                <w:rFonts w:ascii="Times New Roman" w:eastAsia="Times New Roman" w:hAnsi="Times New Roman"/>
              </w:rPr>
              <w:t>in light of</w:t>
            </w:r>
            <w:r w:rsidRPr="00F213A5" w:rsidR="00F213A5">
              <w:rPr>
                <w:rFonts w:ascii="Times New Roman" w:eastAsia="Times New Roman" w:hAnsi="Times New Roman"/>
              </w:rPr>
              <w:t xml:space="preserve"> changes in technology and voice communications services</w:t>
            </w:r>
            <w:r w:rsidRPr="00267A58" w:rsidR="00267A58">
              <w:rPr>
                <w:rFonts w:ascii="Times New Roman" w:eastAsia="Times New Roman" w:hAnsi="Times New Roman"/>
              </w:rPr>
              <w:t>.</w:t>
            </w:r>
          </w:p>
          <w:p w:rsidR="002E4C5E" w:rsidP="002E4C5E" w14:paraId="6F7A6D04" w14:textId="4C43D083">
            <w:pPr>
              <w:autoSpaceDE/>
              <w:spacing w:before="90" w:after="54"/>
              <w:rPr>
                <w:rFonts w:ascii="Times New Roman" w:eastAsia="Times New Roman" w:hAnsi="Times New Roman"/>
                <w:b/>
              </w:rPr>
            </w:pPr>
          </w:p>
        </w:tc>
      </w:tr>
      <w:tr w14:paraId="6C1DEB5A" w14:textId="77777777">
        <w:tblPrEx>
          <w:tblW w:w="9540" w:type="dxa"/>
          <w:tblLayout w:type="fixed"/>
          <w:tblCellMar>
            <w:left w:w="120" w:type="dxa"/>
            <w:right w:w="120" w:type="dxa"/>
          </w:tblCellMar>
          <w:tblLook w:val="0000"/>
        </w:tblPrEx>
        <w:tc>
          <w:tcPr>
            <w:tcW w:w="1440" w:type="dxa"/>
          </w:tcPr>
          <w:p w:rsidR="00C23CD0" w14:paraId="158D49BF" w14:textId="23F21D07">
            <w:pPr>
              <w:spacing w:before="90" w:after="54"/>
              <w:jc w:val="center"/>
              <w:rPr>
                <w:rFonts w:ascii="Times New Roman" w:eastAsia="Times New Roman" w:hAnsi="Times New Roman"/>
                <w:b/>
              </w:rPr>
            </w:pPr>
            <w:r>
              <w:rPr>
                <w:rFonts w:ascii="Times New Roman" w:eastAsia="Times New Roman" w:hAnsi="Times New Roman"/>
                <w:b/>
              </w:rPr>
              <w:t>5</w:t>
            </w:r>
          </w:p>
        </w:tc>
        <w:tc>
          <w:tcPr>
            <w:tcW w:w="2880" w:type="dxa"/>
          </w:tcPr>
          <w:p w:rsidR="00C23CD0" w14:paraId="6852E905" w14:textId="3F6EB1F0">
            <w:pPr>
              <w:autoSpaceDE/>
              <w:autoSpaceDN/>
              <w:spacing w:before="90" w:after="54"/>
              <w:jc w:val="center"/>
              <w:rPr>
                <w:rFonts w:ascii="Times New Roman" w:eastAsia="Times New Roman" w:hAnsi="Times New Roman"/>
                <w:b/>
              </w:rPr>
            </w:pPr>
            <w:r>
              <w:rPr>
                <w:rFonts w:ascii="Times New Roman" w:eastAsia="Times New Roman" w:hAnsi="Times New Roman"/>
                <w:b/>
              </w:rPr>
              <w:t>WIRELINE COMPETITION</w:t>
            </w:r>
          </w:p>
        </w:tc>
        <w:tc>
          <w:tcPr>
            <w:tcW w:w="5220" w:type="dxa"/>
          </w:tcPr>
          <w:p w:rsidR="00C23CD0" w:rsidP="00C23CD0" w14:paraId="12948983" w14:textId="7B54305D">
            <w:pPr>
              <w:autoSpaceDE/>
              <w:spacing w:before="90" w:after="54"/>
              <w:rPr>
                <w:rFonts w:ascii="Times New Roman" w:eastAsia="Times New Roman" w:hAnsi="Times New Roman"/>
                <w:snapToGrid w:val="0"/>
                <w:spacing w:val="-2"/>
                <w:kern w:val="28"/>
              </w:rPr>
            </w:pPr>
            <w:r>
              <w:rPr>
                <w:rFonts w:ascii="Times New Roman" w:eastAsia="Times New Roman" w:hAnsi="Times New Roman"/>
                <w:b/>
              </w:rPr>
              <w:t>TITLE:</w:t>
            </w:r>
            <w:r>
              <w:rPr>
                <w:rFonts w:ascii="Times New Roman" w:eastAsia="Times New Roman" w:hAnsi="Times New Roman"/>
              </w:rPr>
              <w:t xml:space="preserve">  </w:t>
            </w:r>
            <w:r w:rsidRPr="00C017C5" w:rsidR="00C017C5">
              <w:rPr>
                <w:rFonts w:ascii="Times New Roman" w:eastAsia="Times New Roman" w:hAnsi="Times New Roman"/>
              </w:rPr>
              <w:t xml:space="preserve">Rates for Interstate </w:t>
            </w:r>
            <w:r w:rsidRPr="00F213A5">
              <w:rPr>
                <w:rFonts w:ascii="Times New Roman" w:eastAsia="Times New Roman" w:hAnsi="Times New Roman"/>
              </w:rPr>
              <w:t>Inmate Calling Services</w:t>
            </w:r>
            <w:r>
              <w:rPr>
                <w:rFonts w:ascii="Times New Roman" w:eastAsia="Times New Roman" w:hAnsi="Times New Roman"/>
              </w:rPr>
              <w:t xml:space="preserve"> </w:t>
            </w:r>
            <w:r w:rsidRPr="00F213A5">
              <w:rPr>
                <w:rFonts w:ascii="Times New Roman" w:eastAsia="Times New Roman" w:hAnsi="Times New Roman"/>
              </w:rPr>
              <w:t>(WC Docket No. 12-375)</w:t>
            </w:r>
          </w:p>
          <w:p w:rsidR="00C23CD0" w:rsidP="00C23CD0" w14:paraId="676C29CC" w14:textId="77777777">
            <w:pPr>
              <w:autoSpaceDE/>
              <w:spacing w:before="90" w:after="54"/>
              <w:rPr>
                <w:rFonts w:ascii="Times New Roman" w:eastAsia="Times New Roman" w:hAnsi="Times New Roman"/>
              </w:rPr>
            </w:pPr>
            <w:r>
              <w:rPr>
                <w:rFonts w:ascii="Times New Roman" w:eastAsia="Times New Roman" w:hAnsi="Times New Roman"/>
                <w:b/>
              </w:rPr>
              <w:t xml:space="preserve">SUMMARY:  </w:t>
            </w:r>
            <w:r>
              <w:rPr>
                <w:rFonts w:ascii="Times New Roman" w:eastAsia="Times New Roman" w:hAnsi="Times New Roman"/>
                <w:sz w:val="22"/>
                <w:szCs w:val="22"/>
              </w:rPr>
              <w:t xml:space="preserve"> </w:t>
            </w:r>
            <w:r w:rsidRPr="00F213A5">
              <w:rPr>
                <w:rFonts w:ascii="Times New Roman" w:eastAsia="Times New Roman" w:hAnsi="Times New Roman"/>
              </w:rPr>
              <w:t>The Commission will consider a Report and Order on Remand and a Fourth Further Notice of Proposed Rulemaking that would respond to remands by the U.S. Court of Appeals for the District of Columbia Circuit and propose to comprehensively reform rates and charges for the inmate calling services within the Commission’s jurisdiction</w:t>
            </w:r>
            <w:r w:rsidRPr="005207DD">
              <w:rPr>
                <w:rFonts w:ascii="Times New Roman" w:eastAsia="Times New Roman" w:hAnsi="Times New Roman"/>
              </w:rPr>
              <w:t xml:space="preserve">. </w:t>
            </w:r>
          </w:p>
          <w:p w:rsidR="00C23CD0" w:rsidP="000B7C80" w14:paraId="4FC24D57" w14:textId="77777777">
            <w:pPr>
              <w:autoSpaceDE/>
              <w:spacing w:before="90" w:after="54"/>
              <w:rPr>
                <w:rFonts w:ascii="Times New Roman" w:eastAsia="Times New Roman" w:hAnsi="Times New Roman"/>
                <w:b/>
              </w:rPr>
            </w:pPr>
          </w:p>
        </w:tc>
      </w:tr>
    </w:tbl>
    <w:p w:rsidR="007A53F3" w14:paraId="641C9BB4" w14:textId="77777777">
      <w:pPr>
        <w:spacing w:line="270" w:lineRule="exact"/>
        <w:rPr>
          <w:rFonts w:ascii="Times New Roman" w:eastAsia="Times New Roman" w:hAnsi="Times New Roman"/>
        </w:rPr>
      </w:pPr>
    </w:p>
    <w:p w:rsidR="007A53F3" w14:paraId="388E21DB" w14:textId="04B7732B">
      <w:pPr>
        <w:spacing w:line="270" w:lineRule="exact"/>
        <w:rPr>
          <w:rFonts w:ascii="Times New Roman" w:eastAsia="Times New Roman" w:hAnsi="Times New Roman"/>
        </w:rPr>
      </w:pPr>
      <w:r>
        <w:rPr>
          <w:rFonts w:ascii="Times New Roman" w:eastAsia="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tooltip="mailto:fcc504@fcc.gov" w:history="1">
        <w:r>
          <w:rPr>
            <w:rFonts w:ascii="Times New Roman" w:eastAsia="Times New Roman" w:hAnsi="Times New Roman"/>
            <w:color w:val="0000FF"/>
            <w:u w:val="single"/>
          </w:rPr>
          <w:t>fcc504@fcc.gov</w:t>
        </w:r>
      </w:hyperlink>
      <w:r>
        <w:rPr>
          <w:rFonts w:ascii="Times New Roman" w:eastAsia="Times New Roman" w:hAnsi="Times New Roman"/>
        </w:rPr>
        <w:t xml:space="preserve"> or call the Consumer &amp; Governmental Affairs Bureau at 202-418-0530</w:t>
      </w:r>
      <w:r w:rsidR="00911E6F">
        <w:rPr>
          <w:rFonts w:ascii="Times New Roman" w:eastAsia="Times New Roman" w:hAnsi="Times New Roman"/>
        </w:rPr>
        <w:t>.</w:t>
      </w:r>
    </w:p>
    <w:p w:rsidR="007A53F3" w14:paraId="3FB5A3C1" w14:textId="77777777">
      <w:pPr>
        <w:rPr>
          <w:rFonts w:ascii="Times New Roman" w:eastAsia="Times New Roman" w:hAnsi="Times New Roman"/>
        </w:rPr>
      </w:pPr>
    </w:p>
    <w:p w:rsidR="007A53F3" w14:paraId="3657EABF" w14:textId="4C55C540">
      <w:pPr>
        <w:rPr>
          <w:rFonts w:ascii="Times New Roman" w:eastAsia="Times New Roman" w:hAnsi="Times New Roman"/>
        </w:rPr>
      </w:pPr>
      <w:r>
        <w:rPr>
          <w:rFonts w:ascii="Times New Roman" w:eastAsia="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Pr>
            <w:rStyle w:val="Hyperlink"/>
            <w:rFonts w:ascii="Times New Roman" w:eastAsia="Times New Roman" w:hAnsi="Times New Roman"/>
            <w:sz w:val="24"/>
            <w:szCs w:val="24"/>
          </w:rPr>
          <w:t>www.fcc.gov/live</w:t>
        </w:r>
      </w:hyperlink>
      <w:r>
        <w:rPr>
          <w:rFonts w:ascii="Times New Roman" w:eastAsia="Times New Roman" w:hAnsi="Times New Roman"/>
        </w:rPr>
        <w:t>.</w:t>
      </w:r>
    </w:p>
    <w:p w:rsidR="007A53F3" w14:paraId="65D56DBD" w14:textId="77777777">
      <w:pPr>
        <w:tabs>
          <w:tab w:val="center" w:pos="4680"/>
        </w:tabs>
        <w:spacing w:after="120"/>
        <w:rPr>
          <w:rFonts w:ascii="Times New Roman" w:eastAsia="Times New Roman" w:hAnsi="Times New Roman"/>
        </w:rPr>
      </w:pPr>
    </w:p>
    <w:p w:rsidR="007A53F3" w14:paraId="47DFC905" w14:textId="77777777">
      <w:pPr>
        <w:tabs>
          <w:tab w:val="center" w:pos="4680"/>
        </w:tabs>
        <w:jc w:val="center"/>
        <w:rPr>
          <w:rFonts w:ascii="Times New Roman" w:eastAsia="Times New Roman" w:hAnsi="Times New Roman"/>
          <w:b/>
        </w:rPr>
      </w:pPr>
      <w:r>
        <w:rPr>
          <w:rFonts w:ascii="Times New Roman" w:eastAsia="Times New Roman" w:hAnsi="Times New Roman"/>
          <w:b/>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titlePg/>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20604FFB" w14:textId="77777777">
    <w:pPr>
      <w:pStyle w:val="Footer"/>
      <w:framePr w:wrap="none" w:vAnchor="text" w:hAnchor="margin" w:x="4603" w:y="1"/>
      <w:autoSpaceDE w:val="0"/>
      <w:autoSpaceDN w:val="0"/>
      <w:rPr>
        <w:rStyle w:val="PageNumber"/>
      </w:rPr>
    </w:pPr>
    <w:r>
      <w:fldChar w:fldCharType="begin"/>
    </w:r>
    <w:r>
      <w:instrText>PAGE  \* MERGEFORMAT</w:instrText>
    </w:r>
    <w:r>
      <w:fldChar w:fldCharType="separate"/>
    </w:r>
    <w:r>
      <w:rPr>
        <w:rStyle w:val="PageNumber"/>
      </w:rPr>
      <w:t>1</w:t>
    </w:r>
    <w:r>
      <w:rPr>
        <w:rStyle w:val="PageNumber"/>
      </w:rPr>
      <w:fldChar w:fldCharType="end"/>
    </w:r>
  </w:p>
  <w:p w:rsidR="007A53F3" w14:paraId="29E90E4D" w14:textId="77777777">
    <w:pPr>
      <w:pStyle w:val="Foote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78A1EE09" w14:textId="77777777">
    <w:pPr>
      <w:pStyle w:val="Footer"/>
      <w:tabs>
        <w:tab w:val="center" w:pos="4680"/>
        <w:tab w:val="right" w:pos="9360"/>
      </w:tabs>
      <w:autoSpaceDE w:val="0"/>
      <w:autoSpaceDN w:val="0"/>
      <w:jc w:val="center"/>
      <w:rPr>
        <w:rFonts w:ascii="Times New Roman" w:eastAsia="Times New Roman" w:hAnsi="Times New Roman"/>
      </w:rPr>
    </w:pPr>
    <w:r>
      <w:fldChar w:fldCharType="begin"/>
    </w:r>
    <w:r>
      <w:instrText>PAGE  \* MERGEFORMAT</w:instrText>
    </w:r>
    <w:r>
      <w:fldChar w:fldCharType="separate"/>
    </w:r>
    <w:r>
      <w:rPr>
        <w:rFonts w:ascii="Times New Roman" w:eastAsia="Times New Roman" w:hAnsi="Times New Roman"/>
      </w:rPr>
      <w:t>3</w:t>
    </w:r>
    <w:r>
      <w:rPr>
        <w:rFonts w:ascii="Times New Roman" w:eastAsia="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48019C4A" w14:textId="77777777">
    <w:pPr>
      <w:tabs>
        <w:tab w:val="left" w:pos="4320"/>
      </w:tabs>
      <w:spacing w:line="160" w:lineRule="exact"/>
      <w:rPr>
        <w:rFonts w:ascii="Times New Roman" w:eastAsia="Times New Roman" w:hAnsi="Times New Roman"/>
        <w:sz w:val="22"/>
        <w:szCs w:val="22"/>
      </w:rPr>
    </w:pPr>
  </w:p>
  <w:p w:rsidR="007A53F3" w14:paraId="00D58D37" w14:textId="77777777">
    <w:pPr>
      <w:pStyle w:val="BodyTextIndent"/>
      <w:autoSpaceDE w:val="0"/>
      <w:autoSpaceDN w:val="0"/>
      <w:spacing w:line="140" w:lineRule="exact"/>
      <w:rPr>
        <w:sz w:val="14"/>
        <w:szCs w:val="14"/>
      </w:rPr>
    </w:pPr>
    <w:r>
      <w:rPr>
        <w:sz w:val="14"/>
        <w:szCs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0E4D75" w14:textId="77777777">
    <w:pPr>
      <w:spacing w:line="240" w:lineRule="atLeast"/>
      <w:rPr>
        <w:rFonts w:ascii="Times New Roman" w:eastAsia="Times New Roman" w:hAnsi="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3F3" w14:paraId="66E3A103" w14:textId="77777777">
    <w:pPr>
      <w:tabs>
        <w:tab w:val="left" w:pos="4140"/>
      </w:tabs>
      <w:spacing w:line="240" w:lineRule="atLeast"/>
      <w:rPr>
        <w:rFonts w:ascii="Times New Roman" w:eastAsia="Times New Roman" w:hAnsi="Times New Roman"/>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91444</wp:posOffset>
              </wp:positionH>
              <wp:positionV relativeFrom="page">
                <wp:posOffset>731524</wp:posOffset>
              </wp:positionV>
              <wp:extent cx="767080" cy="735965"/>
              <wp:effectExtent l="0" t="0" r="0" b="0"/>
              <wp:wrapNone/>
              <wp:docPr id="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wps:cNvSpPr>
                    <wps:spPr>
                      <a:xfrm>
                        <a:off x="0" y="0"/>
                        <a:ext cx="767080" cy="735965"/>
                      </a:xfrm>
                      <a:prstGeom prst="rect">
                        <a:avLst/>
                      </a:prstGeom>
                      <a:noFill/>
                      <a:ln>
                        <a:noFill/>
                      </a:ln>
                    </wps:spPr>
                    <wps:txbx>
                      <w:txbxContent>
                        <w:p w:rsidR="007A53F3" w14:textId="77777777">
                          <w:pPr>
                            <w:tabs>
                              <w:tab w:val="left" w:pos="-720"/>
                            </w:tabs>
                            <w:spacing w:line="240" w:lineRule="atLeast"/>
                            <w:rPr>
                              <w:sz w:val="2"/>
                              <w:szCs w:val="2"/>
                            </w:rPr>
                          </w:pPr>
                          <w:r>
                            <w:rPr>
                              <w:noProof/>
                              <w:sz w:val="20"/>
                            </w:rPr>
                            <w:drawing>
                              <wp:inline distT="0" distB="0" distL="0" distR="0">
                                <wp:extent cx="751205" cy="690880"/>
                                <wp:effectExtent l="0" t="0" r="0" b="0"/>
                                <wp:docPr id="1059300152" name="Picture 6"/>
                                <wp:cNvGraphicFramePr/>
                                <a:graphic xmlns:a="http://schemas.openxmlformats.org/drawingml/2006/main">
                                  <a:graphicData uri="http://schemas.openxmlformats.org/drawingml/2006/picture">
                                    <pic:pic xmlns:pic="http://schemas.openxmlformats.org/drawingml/2006/picture">
                                      <pic:nvPicPr>
                                        <pic:cNvPr id="844401444"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Rectangle 4" o:spid="_x0000_s2049" type="#_x0000_t202" style="width:60.4pt;height:57.95pt;margin-top:57.6pt;margin-left:7.2pt;mso-position-horizontal-relative:margin;mso-position-vertical-relative:page;mso-wrap-distance-bottom:0;mso-wrap-distance-left:9pt;mso-wrap-distance-right:9pt;mso-wrap-distance-top:0;mso-wrap-style:square;position:absolute;visibility:visible;v-text-anchor:top;z-index:-251657216" o:allowincell="f" filled="f" stroked="f">
              <o:lock v:ext="edit" aspectratio="t"/>
              <v:textbox inset="0,0,0,0">
                <w:txbxContent>
                  <w:p w:rsidR="007A53F3" w14:paraId="157C4CD3" w14:textId="77777777">
                    <w:pPr>
                      <w:tabs>
                        <w:tab w:val="left" w:pos="-720"/>
                      </w:tabs>
                      <w:spacing w:line="240" w:lineRule="atLeast"/>
                      <w:rPr>
                        <w:sz w:val="2"/>
                        <w:szCs w:val="2"/>
                      </w:rPr>
                    </w:pPr>
                    <w:drawing>
                      <wp:inline distT="0" distB="0" distL="0" distR="0">
                        <wp:extent cx="751205" cy="6908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6/polarisSave/image1.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1840" cy="691515"/>
                                </a:xfrm>
                                <a:prstGeom prst="rect">
                                  <a:avLst/>
                                </a:prstGeom>
                                <a:noFill/>
                                <a:ln>
                                  <a:noFill/>
                                </a:ln>
                              </pic:spPr>
                            </pic:pic>
                          </a:graphicData>
                        </a:graphic>
                      </wp:inline>
                    </w:drawing>
                  </w:p>
                </w:txbxContent>
              </v:textbox>
              <w10:wrap anchorx="margin"/>
            </v:shape>
          </w:pict>
        </mc:Fallback>
      </mc:AlternateContent>
    </w:r>
    <w:r>
      <w:rPr>
        <w:rFonts w:ascii="Times New Roman" w:eastAsia="Times New Roman" w:hAnsi="Times New Roman"/>
      </w:rPr>
      <w:tab/>
    </w:r>
    <w:r>
      <w:rPr>
        <w:rFonts w:ascii="Times New Roman" w:eastAsia="Times New Roman" w:hAnsi="Times New Roman"/>
        <w:b/>
        <w:sz w:val="48"/>
        <w:szCs w:val="48"/>
      </w:rPr>
      <w:t>Commission</w:t>
    </w:r>
  </w:p>
  <w:p w:rsidR="007A53F3" w14:paraId="45A4DB03"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rPr>
      <w:tab/>
    </w:r>
    <w:r>
      <w:rPr>
        <w:rFonts w:ascii="Times New Roman" w:eastAsia="Times New Roman" w:hAnsi="Times New Roman"/>
        <w:b/>
        <w:sz w:val="48"/>
        <w:szCs w:val="48"/>
      </w:rPr>
      <w:t>Meeting Agenda</w:t>
    </w:r>
  </w:p>
  <w:p w:rsidR="007A53F3" w14:paraId="6072E3A5" w14:textId="77777777">
    <w:pPr>
      <w:tabs>
        <w:tab w:val="left" w:pos="4140"/>
      </w:tabs>
      <w:spacing w:before="120" w:line="240" w:lineRule="atLeast"/>
      <w:rPr>
        <w:rFonts w:ascii="Times New Roman" w:eastAsia="Times New Roman" w:hAnsi="Times New Roman"/>
        <w:b/>
        <w:sz w:val="19"/>
        <w:szCs w:val="19"/>
      </w:rPr>
    </w:pPr>
    <w:r>
      <w:rPr>
        <w:rFonts w:ascii="Times New Roman" w:eastAsia="Times New Roman" w:hAnsi="Times New Roman"/>
      </w:rPr>
      <w:tab/>
    </w:r>
    <w:r>
      <w:rPr>
        <w:rFonts w:ascii="Times New Roman" w:eastAsia="Times New Roman" w:hAnsi="Times New Roman"/>
        <w:b/>
        <w:sz w:val="19"/>
        <w:szCs w:val="19"/>
      </w:rPr>
      <w:t>A Public Notice of the Federal Communications Commission</w:t>
    </w:r>
  </w:p>
  <w:p w:rsidR="007A53F3" w14:paraId="32941DD0" w14:textId="77777777">
    <w:pPr>
      <w:tabs>
        <w:tab w:val="left" w:pos="0"/>
        <w:tab w:val="left" w:pos="4140"/>
      </w:tabs>
      <w:spacing w:line="240" w:lineRule="atLeast"/>
      <w:rPr>
        <w:rFonts w:ascii="Times New Roman" w:eastAsia="Times New Roman" w:hAnsi="Times New Roman"/>
      </w:rPr>
    </w:pPr>
    <w:r>
      <w:rPr>
        <w:rFonts w:ascii="Times New Roman" w:eastAsia="Times New Roman" w:hAnsi="Times New Roman"/>
        <w:b/>
        <w:sz w:val="19"/>
        <w:szCs w:val="19"/>
      </w:rPr>
      <w:t>Federal Communications Commission</w:t>
    </w:r>
    <w:r>
      <w:rPr>
        <w:rFonts w:ascii="Times New Roman" w:eastAsia="Times New Roman" w:hAnsi="Times New Roman"/>
        <w:b/>
        <w:sz w:val="19"/>
        <w:szCs w:val="19"/>
      </w:rPr>
      <w:tab/>
      <w:t>News Media Information (202) 418-0500</w:t>
    </w:r>
  </w:p>
  <w:p w:rsidR="007A53F3" w14:paraId="77488B7A" w14:textId="77777777">
    <w:pPr>
      <w:tabs>
        <w:tab w:val="left" w:pos="-720"/>
        <w:tab w:val="left" w:pos="4140"/>
      </w:tabs>
      <w:spacing w:line="240" w:lineRule="atLeast"/>
      <w:rPr>
        <w:rFonts w:ascii="Times New Roman" w:eastAsia="Times New Roman" w:hAnsi="Times New Roman"/>
      </w:rPr>
    </w:pPr>
    <w:r>
      <w:rPr>
        <w:rFonts w:ascii="Times New Roman" w:eastAsia="Times New Roman" w:hAnsi="Times New Roman"/>
        <w:b/>
        <w:sz w:val="19"/>
        <w:szCs w:val="19"/>
      </w:rPr>
      <w:t>445 12th Street, S.W.</w:t>
    </w:r>
    <w:r>
      <w:rPr>
        <w:rFonts w:ascii="Times New Roman" w:eastAsia="Times New Roman" w:hAnsi="Times New Roman"/>
      </w:rPr>
      <w:tab/>
    </w:r>
    <w:r>
      <w:rPr>
        <w:rFonts w:ascii="Times New Roman" w:eastAsia="Times New Roman" w:hAnsi="Times New Roman"/>
        <w:b/>
        <w:sz w:val="19"/>
        <w:szCs w:val="19"/>
      </w:rPr>
      <w:t>Internet:</w:t>
    </w:r>
    <w:r>
      <w:rPr>
        <w:rFonts w:ascii="Times New Roman" w:eastAsia="Times New Roman" w:hAnsi="Times New Roman"/>
        <w:b/>
        <w:sz w:val="19"/>
        <w:szCs w:val="19"/>
      </w:rPr>
      <w:tab/>
      <w:t xml:space="preserve">http://www.fcc.gov </w:t>
    </w:r>
  </w:p>
  <w:p w:rsidR="007A53F3" w14:paraId="351BBC22" w14:textId="77777777">
    <w:pPr>
      <w:tabs>
        <w:tab w:val="left" w:pos="4140"/>
      </w:tabs>
      <w:spacing w:line="240" w:lineRule="atLeast"/>
      <w:rPr>
        <w:rFonts w:ascii="Times New Roman" w:eastAsia="Times New Roman" w:hAnsi="Times New Roman"/>
      </w:rPr>
    </w:pPr>
    <w:r>
      <w:rPr>
        <w:rFonts w:ascii="Times New Roman" w:eastAsia="Times New Roman" w:hAnsi="Times New Roman"/>
        <w:b/>
        <w:sz w:val="19"/>
        <w:szCs w:val="19"/>
      </w:rPr>
      <w:t>Washington, D.C. 20554</w:t>
    </w:r>
    <w:r>
      <w:rPr>
        <w:rFonts w:ascii="Times New Roman" w:eastAsia="Times New Roman" w:hAnsi="Times New Roman"/>
      </w:rPr>
      <w:tab/>
    </w:r>
    <w:r>
      <w:rPr>
        <w:rFonts w:ascii="Times New Roman" w:eastAsia="Times New Roman" w:hAnsi="Times New Roman"/>
        <w:b/>
        <w:sz w:val="19"/>
        <w:szCs w:val="19"/>
      </w:rPr>
      <w:t>TTY (888) 835-5322</w:t>
    </w:r>
  </w:p>
  <w:p w:rsidR="007A53F3" w14:paraId="040D4517" w14:textId="77777777">
    <w:pPr>
      <w:pStyle w:val="Header"/>
      <w:tabs>
        <w:tab w:val="center" w:pos="4680"/>
        <w:tab w:val="right" w:pos="9360"/>
      </w:tabs>
      <w:autoSpaceDE w:val="0"/>
      <w:autoSpaceDN w:val="0"/>
      <w:rPr>
        <w:rFonts w:ascii="Times New Roman" w:eastAsia="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inkAnnotations="1" w:insDel="0" w:markup="1"/>
  <w:defaultTabStop w:val="720"/>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F3"/>
    <w:rsid w:val="00025A86"/>
    <w:rsid w:val="00030C67"/>
    <w:rsid w:val="00044E43"/>
    <w:rsid w:val="0008158B"/>
    <w:rsid w:val="000B7C80"/>
    <w:rsid w:val="000D0705"/>
    <w:rsid w:val="000E30B3"/>
    <w:rsid w:val="001056A0"/>
    <w:rsid w:val="00127EEC"/>
    <w:rsid w:val="00163CC0"/>
    <w:rsid w:val="0017697C"/>
    <w:rsid w:val="001D0F91"/>
    <w:rsid w:val="001E6333"/>
    <w:rsid w:val="00230329"/>
    <w:rsid w:val="0023701E"/>
    <w:rsid w:val="002564ED"/>
    <w:rsid w:val="00267A58"/>
    <w:rsid w:val="00285DE3"/>
    <w:rsid w:val="002B7A62"/>
    <w:rsid w:val="002C1E32"/>
    <w:rsid w:val="002E4C5E"/>
    <w:rsid w:val="002F131F"/>
    <w:rsid w:val="003312DF"/>
    <w:rsid w:val="003B2CCB"/>
    <w:rsid w:val="003D2DA9"/>
    <w:rsid w:val="00416A45"/>
    <w:rsid w:val="00451858"/>
    <w:rsid w:val="00482671"/>
    <w:rsid w:val="004D6286"/>
    <w:rsid w:val="004E22F1"/>
    <w:rsid w:val="004E41D6"/>
    <w:rsid w:val="0050369C"/>
    <w:rsid w:val="00503E86"/>
    <w:rsid w:val="005207DD"/>
    <w:rsid w:val="005550E8"/>
    <w:rsid w:val="00555E22"/>
    <w:rsid w:val="005C6944"/>
    <w:rsid w:val="005F4DB7"/>
    <w:rsid w:val="0064308B"/>
    <w:rsid w:val="00647F38"/>
    <w:rsid w:val="00653094"/>
    <w:rsid w:val="00661AFE"/>
    <w:rsid w:val="00682084"/>
    <w:rsid w:val="00683FDC"/>
    <w:rsid w:val="006B7089"/>
    <w:rsid w:val="006E1BFC"/>
    <w:rsid w:val="006F17FC"/>
    <w:rsid w:val="007447CA"/>
    <w:rsid w:val="00753E9C"/>
    <w:rsid w:val="00795789"/>
    <w:rsid w:val="007A53F3"/>
    <w:rsid w:val="007B31F5"/>
    <w:rsid w:val="007B62B9"/>
    <w:rsid w:val="007E1025"/>
    <w:rsid w:val="0086368D"/>
    <w:rsid w:val="00884921"/>
    <w:rsid w:val="0089442B"/>
    <w:rsid w:val="008D44FA"/>
    <w:rsid w:val="008F49E6"/>
    <w:rsid w:val="00902F43"/>
    <w:rsid w:val="00911E6F"/>
    <w:rsid w:val="00923649"/>
    <w:rsid w:val="00924981"/>
    <w:rsid w:val="00947CB2"/>
    <w:rsid w:val="00961AAB"/>
    <w:rsid w:val="00965ADF"/>
    <w:rsid w:val="00976E67"/>
    <w:rsid w:val="009C2528"/>
    <w:rsid w:val="00A31569"/>
    <w:rsid w:val="00A8062C"/>
    <w:rsid w:val="00A85E47"/>
    <w:rsid w:val="00AA5389"/>
    <w:rsid w:val="00AD63C6"/>
    <w:rsid w:val="00AE3708"/>
    <w:rsid w:val="00AE3C25"/>
    <w:rsid w:val="00AF5AAF"/>
    <w:rsid w:val="00B52248"/>
    <w:rsid w:val="00B73589"/>
    <w:rsid w:val="00B852D0"/>
    <w:rsid w:val="00BF57FD"/>
    <w:rsid w:val="00C017C5"/>
    <w:rsid w:val="00C23CD0"/>
    <w:rsid w:val="00C80F79"/>
    <w:rsid w:val="00C9155B"/>
    <w:rsid w:val="00CA1732"/>
    <w:rsid w:val="00CB7C22"/>
    <w:rsid w:val="00CC5984"/>
    <w:rsid w:val="00CC65A4"/>
    <w:rsid w:val="00D040F6"/>
    <w:rsid w:val="00D22D77"/>
    <w:rsid w:val="00E0006B"/>
    <w:rsid w:val="00E83470"/>
    <w:rsid w:val="00ED220C"/>
    <w:rsid w:val="00F0594B"/>
    <w:rsid w:val="00F213A5"/>
    <w:rsid w:val="00F45BCD"/>
    <w:rsid w:val="00F60CEA"/>
    <w:rsid w:val="00FA358A"/>
    <w:rsid w:val="00FA6621"/>
    <w:rsid w:val="00FC03A7"/>
    <w:rsid w:val="00FD05D0"/>
    <w:rsid w:val="00FE206F"/>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C5DE0849-4975-4914-B62E-746BA569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DD"/>
    <w:pPr>
      <w:autoSpaceDE w:val="0"/>
      <w:autoSpaceDN w:val="0"/>
    </w:pPr>
    <w:rPr>
      <w:rFonts w:ascii="Courier" w:eastAsia="Courier" w:hAnsi="Courier"/>
      <w:sz w:val="24"/>
      <w:szCs w:val="24"/>
    </w:rPr>
  </w:style>
  <w:style w:type="paragraph" w:styleId="Heading1">
    <w:name w:val="heading 1"/>
    <w:basedOn w:val="Normal"/>
    <w:next w:val="Normal"/>
    <w:uiPriority w:val="9"/>
    <w:qFormat/>
    <w:pPr>
      <w:keepNext/>
      <w:autoSpaceDE/>
      <w:autoSpaceDN/>
      <w:outlineLvl w:val="0"/>
    </w:pPr>
    <w:rPr>
      <w:rFonts w:ascii="Arial" w:eastAsia="Arial" w:hAnsi="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autoSpaceDE/>
      <w:autoSpaceDN/>
    </w:pPr>
  </w:style>
  <w:style w:type="paragraph" w:styleId="Header">
    <w:name w:val="header"/>
    <w:basedOn w:val="Normal"/>
    <w:link w:val="HeaderChar"/>
    <w:pPr>
      <w:tabs>
        <w:tab w:val="center" w:pos="4320"/>
        <w:tab w:val="right" w:pos="8640"/>
      </w:tabs>
      <w:autoSpaceDE/>
      <w:autoSpaceDN/>
    </w:pPr>
  </w:style>
  <w:style w:type="paragraph" w:styleId="Footer">
    <w:name w:val="footer"/>
    <w:basedOn w:val="Normal"/>
    <w:link w:val="FooterChar"/>
    <w:pPr>
      <w:tabs>
        <w:tab w:val="center" w:pos="4320"/>
        <w:tab w:val="right" w:pos="8640"/>
      </w:tabs>
      <w:autoSpaceDE/>
      <w:autoSpaceDN/>
    </w:pPr>
  </w:style>
  <w:style w:type="paragraph" w:customStyle="1" w:styleId="NewHeading">
    <w:name w:val="New Heading"/>
    <w:basedOn w:val="Heading1"/>
    <w:pPr>
      <w:tabs>
        <w:tab w:val="center" w:pos="4680"/>
      </w:tabs>
      <w:jc w:val="center"/>
    </w:pPr>
    <w:rPr>
      <w:rFonts w:ascii="Courier" w:eastAsia="Times New Roman" w:hAnsi="Courier"/>
      <w:sz w:val="24"/>
      <w:szCs w:val="24"/>
      <w:u w:val="single"/>
    </w:rPr>
  </w:style>
  <w:style w:type="paragraph" w:styleId="BodyTextIndent">
    <w:name w:val="Body Text Indent"/>
    <w:basedOn w:val="Normal"/>
    <w:pPr>
      <w:autoSpaceDE/>
      <w:autoSpaceDN/>
      <w:ind w:left="4147"/>
    </w:pPr>
    <w:rPr>
      <w:rFonts w:ascii="Courier New" w:eastAsia="Courier New" w:hAnsi="Courier New"/>
      <w:spacing w:val="-8"/>
      <w:sz w:val="16"/>
      <w:szCs w:val="16"/>
    </w:rPr>
  </w:style>
  <w:style w:type="paragraph" w:styleId="BodyText">
    <w:name w:val="Body Text"/>
    <w:basedOn w:val="Normal"/>
    <w:pPr>
      <w:tabs>
        <w:tab w:val="left" w:pos="-720"/>
      </w:tabs>
      <w:autoSpaceDE/>
      <w:autoSpaceDN/>
      <w:jc w:val="both"/>
    </w:pPr>
    <w:rPr>
      <w:rFonts w:ascii="Times New Roman" w:eastAsia="Times New Roman" w:hAnsi="Times New Roman"/>
      <w:sz w:val="20"/>
      <w:szCs w:val="20"/>
    </w:rPr>
  </w:style>
  <w:style w:type="character" w:styleId="PageNumber">
    <w:name w:val="page number"/>
    <w:basedOn w:val="DefaultParagraphFont"/>
  </w:style>
  <w:style w:type="character" w:styleId="Hyperlink">
    <w:name w:val="Hyperlink"/>
    <w:rPr>
      <w:color w:val="0000FF"/>
      <w:w w:val="100"/>
      <w:sz w:val="20"/>
      <w:szCs w:val="20"/>
      <w:u w:val="single"/>
      <w:shd w:val="clear" w:color="auto" w:fill="auto"/>
    </w:rPr>
  </w:style>
  <w:style w:type="paragraph" w:styleId="BalloonText">
    <w:name w:val="Balloon Text"/>
    <w:basedOn w:val="Normal"/>
    <w:semiHidden/>
    <w:rPr>
      <w:rFonts w:ascii="Tahoma" w:eastAsia="Tahoma" w:hAnsi="Tahoma"/>
      <w:sz w:val="16"/>
      <w:szCs w:val="16"/>
    </w:rPr>
  </w:style>
  <w:style w:type="character" w:customStyle="1" w:styleId="HeaderChar">
    <w:name w:val="Header Char"/>
    <w:link w:val="Header"/>
    <w:rPr>
      <w:rFonts w:ascii="Courier" w:eastAsia="Courier" w:hAnsi="Courier"/>
      <w:w w:val="100"/>
      <w:sz w:val="24"/>
      <w:szCs w:val="24"/>
      <w:shd w:val="clear" w:color="auto" w:fill="auto"/>
    </w:rPr>
  </w:style>
  <w:style w:type="character" w:customStyle="1" w:styleId="Mention">
    <w:name w:val="Mention"/>
    <w:semiHidden/>
    <w:unhideWhenUsed/>
    <w:rPr>
      <w:color w:val="2B579A"/>
      <w:w w:val="100"/>
      <w:sz w:val="20"/>
      <w:szCs w:val="20"/>
      <w:shd w:val="clear" w:color="000000" w:fill="E6E6E6"/>
    </w:rPr>
  </w:style>
  <w:style w:type="character" w:customStyle="1" w:styleId="UnresolvedMention">
    <w:name w:val="Unresolved Mention"/>
    <w:semiHidden/>
    <w:unhideWhenUsed/>
    <w:rPr>
      <w:color w:val="605E5C"/>
      <w:w w:val="100"/>
      <w:sz w:val="20"/>
      <w:szCs w:val="20"/>
      <w:shd w:val="clear" w:color="000000" w:fill="E1DFDD"/>
    </w:rPr>
  </w:style>
  <w:style w:type="character" w:styleId="CommentReference">
    <w:name w:val="annotation reference"/>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w:eastAsia="Courier" w:hAnsi="Courier"/>
      <w:w w:val="100"/>
      <w:sz w:val="20"/>
      <w:szCs w:val="20"/>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Courier" w:eastAsia="Courier" w:hAnsi="Courier"/>
      <w:b/>
      <w:w w:val="100"/>
      <w:sz w:val="20"/>
      <w:szCs w:val="20"/>
      <w:shd w:val="clear" w:color="auto" w:fill="auto"/>
    </w:rPr>
  </w:style>
  <w:style w:type="character" w:customStyle="1" w:styleId="FooterChar">
    <w:name w:val="Footer Char"/>
    <w:link w:val="Footer"/>
    <w:rPr>
      <w:rFonts w:ascii="Courier" w:eastAsia="Courier" w:hAnsi="Courier"/>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