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4 -->
  <w:body>
    <w:tbl>
      <w:tblPr>
        <w:tblW w:w="0" w:type="auto"/>
        <w:tblLook w:val="0000"/>
      </w:tblPr>
      <w:tblGrid>
        <w:gridCol w:w="8640"/>
      </w:tblGrid>
      <w:tr w14:paraId="30E0E2F5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1C941BEA" w14:textId="77777777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6611604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78FFA47D" w14:textId="77777777">
            <w:pPr>
              <w:rPr>
                <w:b/>
                <w:bCs/>
                <w:sz w:val="12"/>
                <w:szCs w:val="12"/>
              </w:rPr>
            </w:pPr>
          </w:p>
          <w:p w:rsidR="006C2468" w:rsidRPr="008A3940" w:rsidP="006C2468" w14:paraId="138ECE00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6C2468" w:rsidRPr="008A3940" w:rsidP="006C2468" w14:paraId="68818E7E" w14:textId="7777777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Janice Wise</w:t>
            </w:r>
            <w:r w:rsidRPr="008A3940">
              <w:rPr>
                <w:bCs/>
                <w:sz w:val="22"/>
                <w:szCs w:val="22"/>
              </w:rPr>
              <w:t xml:space="preserve">, </w:t>
            </w:r>
            <w:r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</w:t>
            </w:r>
            <w:r>
              <w:rPr>
                <w:bCs/>
                <w:sz w:val="22"/>
                <w:szCs w:val="22"/>
              </w:rPr>
              <w:t>8165</w:t>
            </w:r>
          </w:p>
          <w:p w:rsidR="006C2468" w:rsidRPr="008A3940" w:rsidP="006C2468" w14:paraId="4D447654" w14:textId="7777777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janice.wise</w:t>
            </w:r>
            <w:r w:rsidRPr="008A3940">
              <w:rPr>
                <w:bCs/>
                <w:sz w:val="22"/>
                <w:szCs w:val="22"/>
              </w:rPr>
              <w:t>@fcc.gov</w:t>
            </w:r>
          </w:p>
          <w:p w:rsidR="006C2468" w:rsidRPr="008A3940" w:rsidP="006C2468" w14:paraId="567C4656" w14:textId="77777777">
            <w:pPr>
              <w:rPr>
                <w:bCs/>
                <w:sz w:val="22"/>
                <w:szCs w:val="22"/>
              </w:rPr>
            </w:pPr>
          </w:p>
          <w:p w:rsidR="006C2468" w:rsidRPr="008A3940" w:rsidP="006C2468" w14:paraId="78A33891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6C2468" w:rsidRPr="004A729A" w:rsidP="006C2468" w14:paraId="28BDFF06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C2468" w:rsidRPr="00520F6B" w:rsidP="006C2468" w14:paraId="1BED55D5" w14:textId="77777777">
            <w:pPr>
              <w:tabs>
                <w:tab w:val="left" w:pos="8625"/>
              </w:tabs>
              <w:jc w:val="center"/>
              <w:rPr>
                <w:b/>
                <w:sz w:val="26"/>
                <w:szCs w:val="26"/>
              </w:rPr>
            </w:pPr>
            <w:r w:rsidRPr="00F90AD1">
              <w:rPr>
                <w:b/>
                <w:sz w:val="26"/>
                <w:szCs w:val="26"/>
              </w:rPr>
              <w:t xml:space="preserve">FCC </w:t>
            </w:r>
            <w:r>
              <w:rPr>
                <w:b/>
                <w:sz w:val="26"/>
                <w:szCs w:val="26"/>
              </w:rPr>
              <w:t>ELIMINATES RADIO DUPLICATION RULE</w:t>
            </w:r>
          </w:p>
          <w:p w:rsidR="006C2468" w:rsidRPr="00EE2C3D" w:rsidP="006C2468" w14:paraId="7B029F3F" w14:textId="77777777">
            <w:pPr>
              <w:jc w:val="center"/>
              <w:rPr>
                <w:b/>
                <w:i/>
              </w:rPr>
            </w:pPr>
          </w:p>
          <w:p w:rsidR="006C2468" w:rsidRPr="00210C15" w:rsidP="006C2468" w14:paraId="2EA4300B" w14:textId="77777777">
            <w:pPr>
              <w:rPr>
                <w:sz w:val="22"/>
                <w:szCs w:val="22"/>
              </w:rPr>
            </w:pPr>
            <w:r w:rsidRPr="00210C15">
              <w:rPr>
                <w:sz w:val="22"/>
                <w:szCs w:val="22"/>
              </w:rPr>
              <w:t xml:space="preserve">WASHINGTON, August 6, 2020—The Federal Communications Commission today adopted a Report and Order eliminating the radio duplication rule for </w:t>
            </w:r>
            <w:r>
              <w:rPr>
                <w:sz w:val="22"/>
                <w:szCs w:val="22"/>
              </w:rPr>
              <w:t xml:space="preserve">both </w:t>
            </w:r>
            <w:r w:rsidRPr="00210C15">
              <w:rPr>
                <w:sz w:val="22"/>
                <w:szCs w:val="22"/>
              </w:rPr>
              <w:t xml:space="preserve">the AM </w:t>
            </w:r>
            <w:r>
              <w:rPr>
                <w:sz w:val="22"/>
                <w:szCs w:val="22"/>
              </w:rPr>
              <w:t xml:space="preserve">and FM </w:t>
            </w:r>
            <w:r w:rsidRPr="00210C15">
              <w:rPr>
                <w:sz w:val="22"/>
                <w:szCs w:val="22"/>
              </w:rPr>
              <w:t>service</w:t>
            </w:r>
            <w:r>
              <w:rPr>
                <w:sz w:val="22"/>
                <w:szCs w:val="22"/>
              </w:rPr>
              <w:t>s</w:t>
            </w:r>
            <w:r w:rsidRPr="00210C15">
              <w:rPr>
                <w:sz w:val="22"/>
                <w:szCs w:val="22"/>
              </w:rPr>
              <w:t>.  The rule</w:t>
            </w:r>
            <w:r w:rsidRPr="001D5F66">
              <w:rPr>
                <w:sz w:val="22"/>
                <w:szCs w:val="22"/>
              </w:rPr>
              <w:t xml:space="preserve"> restricts the duplication of programming on commonly owned broadc</w:t>
            </w:r>
            <w:r w:rsidRPr="00210C15">
              <w:rPr>
                <w:sz w:val="22"/>
                <w:szCs w:val="22"/>
              </w:rPr>
              <w:t xml:space="preserve">ast radio stations operating in the same service and geographic area.  </w:t>
            </w:r>
          </w:p>
          <w:p w:rsidR="006C2468" w:rsidRPr="00210C15" w:rsidP="006C2468" w14:paraId="6BD3EF15" w14:textId="77777777">
            <w:pPr>
              <w:rPr>
                <w:sz w:val="22"/>
                <w:szCs w:val="22"/>
              </w:rPr>
            </w:pPr>
          </w:p>
          <w:p w:rsidR="00936DB2" w:rsidP="006C2468" w14:paraId="6B485CF2" w14:textId="26B8C286">
            <w:pPr>
              <w:rPr>
                <w:szCs w:val="22"/>
              </w:rPr>
            </w:pPr>
            <w:r w:rsidRPr="00210C15">
              <w:rPr>
                <w:sz w:val="22"/>
                <w:szCs w:val="22"/>
              </w:rPr>
              <w:t xml:space="preserve">The radio duplication rule, initially adopted in 1964, has been updated several times over the years to reflect marketplace changes, </w:t>
            </w:r>
            <w:r w:rsidR="001E3A59">
              <w:rPr>
                <w:sz w:val="22"/>
                <w:szCs w:val="22"/>
              </w:rPr>
              <w:t>most recently</w:t>
            </w:r>
            <w:r w:rsidRPr="00210C15">
              <w:rPr>
                <w:sz w:val="22"/>
                <w:szCs w:val="22"/>
              </w:rPr>
              <w:t xml:space="preserve"> in 1992.  </w:t>
            </w:r>
            <w:r w:rsidR="005844DC">
              <w:rPr>
                <w:sz w:val="22"/>
                <w:szCs w:val="22"/>
              </w:rPr>
              <w:t>In</w:t>
            </w:r>
            <w:r w:rsidRPr="001D5F66" w:rsidR="005844DC">
              <w:rPr>
                <w:sz w:val="22"/>
                <w:szCs w:val="22"/>
              </w:rPr>
              <w:t xml:space="preserve"> </w:t>
            </w:r>
            <w:r w:rsidRPr="001D5F66">
              <w:rPr>
                <w:sz w:val="22"/>
                <w:szCs w:val="22"/>
              </w:rPr>
              <w:t>today’s Order, the Commission finds</w:t>
            </w:r>
            <w:r>
              <w:rPr>
                <w:sz w:val="22"/>
                <w:szCs w:val="22"/>
              </w:rPr>
              <w:t xml:space="preserve"> </w:t>
            </w:r>
            <w:r w:rsidRPr="001D5F66">
              <w:rPr>
                <w:sz w:val="22"/>
                <w:szCs w:val="22"/>
              </w:rPr>
              <w:t xml:space="preserve">that eliminating the radio duplication rule will </w:t>
            </w:r>
            <w:r w:rsidRPr="0057675F" w:rsidR="0057675F">
              <w:rPr>
                <w:sz w:val="22"/>
                <w:szCs w:val="22"/>
              </w:rPr>
              <w:t>help struggling stations stay on the air</w:t>
            </w:r>
            <w:r w:rsidR="004D09F1">
              <w:rPr>
                <w:sz w:val="22"/>
                <w:szCs w:val="22"/>
              </w:rPr>
              <w:t>;</w:t>
            </w:r>
            <w:r>
              <w:rPr>
                <w:sz w:val="22"/>
                <w:szCs w:val="22"/>
              </w:rPr>
              <w:t xml:space="preserve"> </w:t>
            </w:r>
            <w:r w:rsidRPr="001D5F66">
              <w:rPr>
                <w:sz w:val="22"/>
                <w:szCs w:val="22"/>
              </w:rPr>
              <w:t>afford broadcast radio licensees greater flexibility to address issues of local concern in a timely fashion</w:t>
            </w:r>
            <w:r w:rsidR="000F5EB7">
              <w:rPr>
                <w:sz w:val="22"/>
                <w:szCs w:val="22"/>
              </w:rPr>
              <w:t xml:space="preserve">, </w:t>
            </w:r>
            <w:r w:rsidR="00AF77A5">
              <w:rPr>
                <w:sz w:val="22"/>
                <w:szCs w:val="22"/>
              </w:rPr>
              <w:t>particularly in times of crisis</w:t>
            </w:r>
            <w:r w:rsidR="000A1149">
              <w:rPr>
                <w:sz w:val="22"/>
                <w:szCs w:val="22"/>
              </w:rPr>
              <w:t>;</w:t>
            </w:r>
            <w:r w:rsidRPr="001D5F6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assist with format changes</w:t>
            </w:r>
            <w:r w:rsidR="004D09F1">
              <w:rPr>
                <w:sz w:val="22"/>
                <w:szCs w:val="22"/>
              </w:rPr>
              <w:t xml:space="preserve">; </w:t>
            </w:r>
            <w:r w:rsidRPr="001D5F66">
              <w:rPr>
                <w:sz w:val="22"/>
                <w:szCs w:val="22"/>
              </w:rPr>
              <w:t xml:space="preserve">facilitate </w:t>
            </w:r>
            <w:r w:rsidRPr="00BC6EED" w:rsidR="00BA7871">
              <w:rPr>
                <w:sz w:val="22"/>
                <w:szCs w:val="22"/>
              </w:rPr>
              <w:t>a potential</w:t>
            </w:r>
            <w:r w:rsidRPr="00BC6EED" w:rsidR="00DB7F27">
              <w:rPr>
                <w:sz w:val="22"/>
                <w:szCs w:val="22"/>
              </w:rPr>
              <w:t xml:space="preserve"> voluntary</w:t>
            </w:r>
            <w:r w:rsidRPr="00BC6EED" w:rsidR="00BA7871">
              <w:rPr>
                <w:sz w:val="22"/>
                <w:szCs w:val="22"/>
              </w:rPr>
              <w:t xml:space="preserve"> </w:t>
            </w:r>
            <w:r w:rsidRPr="00BC6EED">
              <w:rPr>
                <w:sz w:val="22"/>
                <w:szCs w:val="22"/>
              </w:rPr>
              <w:t xml:space="preserve">digital </w:t>
            </w:r>
            <w:r w:rsidRPr="00BC6EED" w:rsidR="00DB7F27">
              <w:rPr>
                <w:sz w:val="22"/>
                <w:szCs w:val="22"/>
              </w:rPr>
              <w:t>transition in the AM service</w:t>
            </w:r>
            <w:r w:rsidR="004D09F1">
              <w:rPr>
                <w:sz w:val="22"/>
                <w:szCs w:val="22"/>
              </w:rPr>
              <w:t>;</w:t>
            </w:r>
            <w:r w:rsidRPr="00BC6EED">
              <w:rPr>
                <w:sz w:val="22"/>
                <w:szCs w:val="22"/>
              </w:rPr>
              <w:t xml:space="preserve"> and ultimately allow stations to improve service to their communities.</w:t>
            </w:r>
            <w:r w:rsidRPr="00BC6EED" w:rsidR="00BC6EED">
              <w:rPr>
                <w:sz w:val="22"/>
                <w:szCs w:val="22"/>
              </w:rPr>
              <w:t xml:space="preserve">  The Commission also concludes that </w:t>
            </w:r>
            <w:r w:rsidRPr="003F089D" w:rsidR="00BC6EED">
              <w:rPr>
                <w:sz w:val="22"/>
                <w:szCs w:val="22"/>
              </w:rPr>
              <w:t>broadcasters have no incentive to limit their appeal and thus their revenues by simulcasting the same programming on multiple stations for long periods of time</w:t>
            </w:r>
            <w:r w:rsidR="00D072AB">
              <w:rPr>
                <w:sz w:val="22"/>
                <w:szCs w:val="22"/>
              </w:rPr>
              <w:t xml:space="preserve"> so the benefits of providing additional flexibility outweigh any costs.  </w:t>
            </w:r>
            <w:r w:rsidRPr="001748B7">
              <w:rPr>
                <w:szCs w:val="22"/>
              </w:rPr>
              <w:t xml:space="preserve"> </w:t>
            </w:r>
          </w:p>
          <w:p w:rsidR="00936DB2" w:rsidP="006C2468" w14:paraId="1341F4E5" w14:textId="77777777">
            <w:pPr>
              <w:rPr>
                <w:szCs w:val="22"/>
              </w:rPr>
            </w:pPr>
          </w:p>
          <w:p w:rsidR="006A3359" w:rsidRPr="006A3359" w:rsidP="00E85942" w14:paraId="313D3D3D" w14:textId="17B64D4C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  <w:r w:rsidRPr="00210C15">
              <w:rPr>
                <w:sz w:val="22"/>
                <w:szCs w:val="22"/>
              </w:rPr>
              <w:t xml:space="preserve">The rulemaking furthers the Commission’s Modernization of Media Regulation Initiative to eliminate or modify media regulations that are outdated, unnecessary or unduly burdensome, and </w:t>
            </w:r>
            <w:r w:rsidR="002E43DF">
              <w:rPr>
                <w:sz w:val="22"/>
                <w:szCs w:val="22"/>
              </w:rPr>
              <w:t>concludes</w:t>
            </w:r>
            <w:r w:rsidRPr="00210C15" w:rsidR="002E43DF">
              <w:rPr>
                <w:sz w:val="22"/>
                <w:szCs w:val="22"/>
              </w:rPr>
              <w:t xml:space="preserve"> </w:t>
            </w:r>
            <w:r w:rsidRPr="00210C15">
              <w:rPr>
                <w:sz w:val="22"/>
                <w:szCs w:val="22"/>
              </w:rPr>
              <w:t xml:space="preserve">the </w:t>
            </w:r>
            <w:r w:rsidR="002E43DF">
              <w:rPr>
                <w:sz w:val="22"/>
                <w:szCs w:val="22"/>
              </w:rPr>
              <w:t>18</w:t>
            </w:r>
            <w:r w:rsidR="002E43DF">
              <w:rPr>
                <w:sz w:val="22"/>
                <w:szCs w:val="22"/>
                <w:vertAlign w:val="superscript"/>
              </w:rPr>
              <w:t>th</w:t>
            </w:r>
            <w:r w:rsidRPr="00210C15">
              <w:rPr>
                <w:sz w:val="22"/>
                <w:szCs w:val="22"/>
              </w:rPr>
              <w:t xml:space="preserve"> </w:t>
            </w:r>
            <w:r w:rsidR="002E43DF">
              <w:rPr>
                <w:sz w:val="22"/>
                <w:szCs w:val="22"/>
              </w:rPr>
              <w:t xml:space="preserve">proceeding </w:t>
            </w:r>
            <w:r w:rsidR="00C92B65">
              <w:rPr>
                <w:sz w:val="22"/>
                <w:szCs w:val="22"/>
              </w:rPr>
              <w:t>that is part of</w:t>
            </w:r>
            <w:r w:rsidR="00D072AB">
              <w:rPr>
                <w:sz w:val="22"/>
                <w:szCs w:val="22"/>
              </w:rPr>
              <w:t xml:space="preserve"> this initiative</w:t>
            </w:r>
            <w:r w:rsidRPr="00210C15">
              <w:rPr>
                <w:sz w:val="22"/>
                <w:szCs w:val="22"/>
              </w:rPr>
              <w:t>.</w:t>
            </w:r>
          </w:p>
          <w:p w:rsidR="000C7ADD" w:rsidP="000C7ADD" w14:paraId="486C392B" w14:textId="1FA7812E">
            <w:pPr>
              <w:rPr>
                <w:sz w:val="22"/>
                <w:szCs w:val="22"/>
              </w:rPr>
            </w:pPr>
          </w:p>
          <w:p w:rsidR="00297A0B" w:rsidRPr="00297A0B" w:rsidP="00297A0B" w14:paraId="67E4601B" w14:textId="3B654649">
            <w:pPr>
              <w:rPr>
                <w:sz w:val="22"/>
                <w:szCs w:val="22"/>
              </w:rPr>
            </w:pPr>
            <w:r w:rsidRPr="00297A0B">
              <w:rPr>
                <w:sz w:val="22"/>
                <w:szCs w:val="22"/>
              </w:rPr>
              <w:t>Action by the Commission August 6, 2020 by Report and Order (FCC 20-109).  Chairman Pai, Commissioners O’Rielly</w:t>
            </w:r>
            <w:r>
              <w:rPr>
                <w:sz w:val="22"/>
                <w:szCs w:val="22"/>
              </w:rPr>
              <w:t xml:space="preserve"> and </w:t>
            </w:r>
            <w:r w:rsidRPr="00297A0B">
              <w:rPr>
                <w:sz w:val="22"/>
                <w:szCs w:val="22"/>
              </w:rPr>
              <w:t>Carr</w:t>
            </w:r>
            <w:r w:rsidR="001C7EC7">
              <w:rPr>
                <w:sz w:val="22"/>
                <w:szCs w:val="22"/>
              </w:rPr>
              <w:t xml:space="preserve"> approving</w:t>
            </w:r>
            <w:r>
              <w:rPr>
                <w:sz w:val="22"/>
                <w:szCs w:val="22"/>
              </w:rPr>
              <w:t xml:space="preserve">.  Commissioners </w:t>
            </w:r>
            <w:r w:rsidRPr="00297A0B">
              <w:rPr>
                <w:sz w:val="22"/>
                <w:szCs w:val="22"/>
              </w:rPr>
              <w:t xml:space="preserve">Rosenworcel and Starks </w:t>
            </w:r>
            <w:r>
              <w:rPr>
                <w:sz w:val="22"/>
                <w:szCs w:val="22"/>
              </w:rPr>
              <w:t>concurring in part and dissenting in part</w:t>
            </w:r>
            <w:r w:rsidRPr="00297A0B">
              <w:rPr>
                <w:sz w:val="22"/>
                <w:szCs w:val="22"/>
              </w:rPr>
              <w:t>.  Chairman Pai, Commissioners Carr, Rosenworcel, and Starks issuing separate statements.</w:t>
            </w:r>
          </w:p>
          <w:p w:rsidR="00297A0B" w:rsidRPr="00297A0B" w:rsidP="00297A0B" w14:paraId="3F47D768" w14:textId="77777777">
            <w:pPr>
              <w:rPr>
                <w:sz w:val="22"/>
                <w:szCs w:val="22"/>
              </w:rPr>
            </w:pPr>
          </w:p>
          <w:p w:rsidR="00297A0B" w:rsidP="00297A0B" w14:paraId="78138F1C" w14:textId="421F8454">
            <w:pPr>
              <w:rPr>
                <w:sz w:val="22"/>
                <w:szCs w:val="22"/>
              </w:rPr>
            </w:pPr>
            <w:r w:rsidRPr="00297A0B">
              <w:rPr>
                <w:sz w:val="22"/>
                <w:szCs w:val="22"/>
              </w:rPr>
              <w:t>MB Docket Nos. 19-310, 17-105</w:t>
            </w:r>
          </w:p>
          <w:p w:rsidR="00297A0B" w:rsidRPr="002E165B" w:rsidP="000C7ADD" w14:paraId="649B1DBB" w14:textId="77777777">
            <w:pPr>
              <w:rPr>
                <w:sz w:val="22"/>
                <w:szCs w:val="22"/>
              </w:rPr>
            </w:pPr>
          </w:p>
          <w:p w:rsidR="004F0F1F" w:rsidRPr="007475A1" w:rsidP="00850E26" w14:paraId="237B0960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422360BF" w14:textId="5BB922BA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6243540E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4BFC80AA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3E6FABBE" w14:textId="77777777">
      <w:pPr>
        <w:rPr>
          <w:b/>
          <w:bCs/>
          <w:sz w:val="2"/>
          <w:szCs w:val="2"/>
        </w:rPr>
      </w:pPr>
    </w:p>
    <w:sectPr w:rsidSect="004A729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359"/>
    <w:rsid w:val="0002500C"/>
    <w:rsid w:val="000311FC"/>
    <w:rsid w:val="00040127"/>
    <w:rsid w:val="00065E2D"/>
    <w:rsid w:val="00081232"/>
    <w:rsid w:val="00091E65"/>
    <w:rsid w:val="00096D4A"/>
    <w:rsid w:val="000A1149"/>
    <w:rsid w:val="000A38EA"/>
    <w:rsid w:val="000C1E47"/>
    <w:rsid w:val="000C26F3"/>
    <w:rsid w:val="000C7ADD"/>
    <w:rsid w:val="000E049E"/>
    <w:rsid w:val="000F5EB7"/>
    <w:rsid w:val="0010799B"/>
    <w:rsid w:val="00117DB2"/>
    <w:rsid w:val="00123ED2"/>
    <w:rsid w:val="00125BE0"/>
    <w:rsid w:val="00142C13"/>
    <w:rsid w:val="00152776"/>
    <w:rsid w:val="00153222"/>
    <w:rsid w:val="001577D3"/>
    <w:rsid w:val="001733A6"/>
    <w:rsid w:val="001748B7"/>
    <w:rsid w:val="001865A9"/>
    <w:rsid w:val="00187DB2"/>
    <w:rsid w:val="001B20BB"/>
    <w:rsid w:val="001C4370"/>
    <w:rsid w:val="001C7EC7"/>
    <w:rsid w:val="001D3779"/>
    <w:rsid w:val="001D5F66"/>
    <w:rsid w:val="001E3A59"/>
    <w:rsid w:val="001F0469"/>
    <w:rsid w:val="00203A98"/>
    <w:rsid w:val="00206EDD"/>
    <w:rsid w:val="00210C15"/>
    <w:rsid w:val="0021247E"/>
    <w:rsid w:val="002146F6"/>
    <w:rsid w:val="00231C32"/>
    <w:rsid w:val="00233D2D"/>
    <w:rsid w:val="00240345"/>
    <w:rsid w:val="002421F0"/>
    <w:rsid w:val="00247274"/>
    <w:rsid w:val="00266966"/>
    <w:rsid w:val="00285C36"/>
    <w:rsid w:val="00294C0C"/>
    <w:rsid w:val="00297A0B"/>
    <w:rsid w:val="002A0934"/>
    <w:rsid w:val="002A6863"/>
    <w:rsid w:val="002B1013"/>
    <w:rsid w:val="002D03E5"/>
    <w:rsid w:val="002E165B"/>
    <w:rsid w:val="002E3F1D"/>
    <w:rsid w:val="002E43DF"/>
    <w:rsid w:val="002F31D0"/>
    <w:rsid w:val="00300359"/>
    <w:rsid w:val="0031773E"/>
    <w:rsid w:val="00333871"/>
    <w:rsid w:val="00347716"/>
    <w:rsid w:val="003506E1"/>
    <w:rsid w:val="003727E3"/>
    <w:rsid w:val="00385A93"/>
    <w:rsid w:val="003910F1"/>
    <w:rsid w:val="003E42FC"/>
    <w:rsid w:val="003E5991"/>
    <w:rsid w:val="003F089D"/>
    <w:rsid w:val="003F344A"/>
    <w:rsid w:val="00403FF0"/>
    <w:rsid w:val="0042046D"/>
    <w:rsid w:val="0042116E"/>
    <w:rsid w:val="00425AEF"/>
    <w:rsid w:val="00426518"/>
    <w:rsid w:val="00427B06"/>
    <w:rsid w:val="00441F59"/>
    <w:rsid w:val="00444E07"/>
    <w:rsid w:val="00444FA9"/>
    <w:rsid w:val="00473E9C"/>
    <w:rsid w:val="00480099"/>
    <w:rsid w:val="004941A2"/>
    <w:rsid w:val="00497858"/>
    <w:rsid w:val="004A729A"/>
    <w:rsid w:val="004B4FEA"/>
    <w:rsid w:val="004C0ADA"/>
    <w:rsid w:val="004C433E"/>
    <w:rsid w:val="004C4512"/>
    <w:rsid w:val="004C4F36"/>
    <w:rsid w:val="004D09F1"/>
    <w:rsid w:val="004D3D85"/>
    <w:rsid w:val="004E2BD8"/>
    <w:rsid w:val="004F0F1F"/>
    <w:rsid w:val="005022AA"/>
    <w:rsid w:val="00504845"/>
    <w:rsid w:val="0050757F"/>
    <w:rsid w:val="00516AD2"/>
    <w:rsid w:val="00520F6B"/>
    <w:rsid w:val="00545DAE"/>
    <w:rsid w:val="005541A1"/>
    <w:rsid w:val="00571B83"/>
    <w:rsid w:val="00575A00"/>
    <w:rsid w:val="0057675F"/>
    <w:rsid w:val="005844DC"/>
    <w:rsid w:val="00586417"/>
    <w:rsid w:val="0058673C"/>
    <w:rsid w:val="005A7972"/>
    <w:rsid w:val="005B17E7"/>
    <w:rsid w:val="005B2643"/>
    <w:rsid w:val="005D17FD"/>
    <w:rsid w:val="005F0D55"/>
    <w:rsid w:val="005F183E"/>
    <w:rsid w:val="00600DDA"/>
    <w:rsid w:val="00603A30"/>
    <w:rsid w:val="00604211"/>
    <w:rsid w:val="00613498"/>
    <w:rsid w:val="00617B94"/>
    <w:rsid w:val="00620BED"/>
    <w:rsid w:val="006415B4"/>
    <w:rsid w:val="00644E3D"/>
    <w:rsid w:val="00651B9E"/>
    <w:rsid w:val="00652019"/>
    <w:rsid w:val="00657EC9"/>
    <w:rsid w:val="00665633"/>
    <w:rsid w:val="00674C86"/>
    <w:rsid w:val="0068015E"/>
    <w:rsid w:val="006861AB"/>
    <w:rsid w:val="00686B89"/>
    <w:rsid w:val="0069420F"/>
    <w:rsid w:val="006A2FC5"/>
    <w:rsid w:val="006A3359"/>
    <w:rsid w:val="006A7D75"/>
    <w:rsid w:val="006B0A70"/>
    <w:rsid w:val="006B374C"/>
    <w:rsid w:val="006B606A"/>
    <w:rsid w:val="006C2468"/>
    <w:rsid w:val="006C33AF"/>
    <w:rsid w:val="006D16EF"/>
    <w:rsid w:val="006D5D22"/>
    <w:rsid w:val="006E0324"/>
    <w:rsid w:val="006E4A76"/>
    <w:rsid w:val="006F1DBD"/>
    <w:rsid w:val="00700556"/>
    <w:rsid w:val="0070589A"/>
    <w:rsid w:val="007167DD"/>
    <w:rsid w:val="0072478B"/>
    <w:rsid w:val="0073414D"/>
    <w:rsid w:val="007475A1"/>
    <w:rsid w:val="0075235E"/>
    <w:rsid w:val="007528A5"/>
    <w:rsid w:val="007732CC"/>
    <w:rsid w:val="00774079"/>
    <w:rsid w:val="0077752B"/>
    <w:rsid w:val="00793D6F"/>
    <w:rsid w:val="00794090"/>
    <w:rsid w:val="007A44F8"/>
    <w:rsid w:val="007D21BF"/>
    <w:rsid w:val="007F3C12"/>
    <w:rsid w:val="007F5205"/>
    <w:rsid w:val="0080486B"/>
    <w:rsid w:val="008215E7"/>
    <w:rsid w:val="00823B7F"/>
    <w:rsid w:val="00830FC6"/>
    <w:rsid w:val="00850E26"/>
    <w:rsid w:val="00865EAA"/>
    <w:rsid w:val="00866F06"/>
    <w:rsid w:val="008728F5"/>
    <w:rsid w:val="008824C2"/>
    <w:rsid w:val="008960E4"/>
    <w:rsid w:val="008A3940"/>
    <w:rsid w:val="008B13C9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3373C"/>
    <w:rsid w:val="00936DB2"/>
    <w:rsid w:val="00961620"/>
    <w:rsid w:val="009734B6"/>
    <w:rsid w:val="0098096F"/>
    <w:rsid w:val="0098437A"/>
    <w:rsid w:val="00986C92"/>
    <w:rsid w:val="00993C47"/>
    <w:rsid w:val="009972BC"/>
    <w:rsid w:val="009B4B16"/>
    <w:rsid w:val="009E54A1"/>
    <w:rsid w:val="009F4E25"/>
    <w:rsid w:val="009F5B1F"/>
    <w:rsid w:val="00A225A9"/>
    <w:rsid w:val="00A3308E"/>
    <w:rsid w:val="00A35DFD"/>
    <w:rsid w:val="00A702DF"/>
    <w:rsid w:val="00A775A3"/>
    <w:rsid w:val="00A81700"/>
    <w:rsid w:val="00A81B5B"/>
    <w:rsid w:val="00A82FAD"/>
    <w:rsid w:val="00A9673A"/>
    <w:rsid w:val="00A96EF2"/>
    <w:rsid w:val="00AA5C35"/>
    <w:rsid w:val="00AA5ED9"/>
    <w:rsid w:val="00AC0A38"/>
    <w:rsid w:val="00AC4E0E"/>
    <w:rsid w:val="00AC517B"/>
    <w:rsid w:val="00AD0D19"/>
    <w:rsid w:val="00AD4184"/>
    <w:rsid w:val="00AF051B"/>
    <w:rsid w:val="00AF130E"/>
    <w:rsid w:val="00AF77A5"/>
    <w:rsid w:val="00B037A2"/>
    <w:rsid w:val="00B31870"/>
    <w:rsid w:val="00B320B8"/>
    <w:rsid w:val="00B35EE2"/>
    <w:rsid w:val="00B36DEF"/>
    <w:rsid w:val="00B57131"/>
    <w:rsid w:val="00B62F2C"/>
    <w:rsid w:val="00B727C9"/>
    <w:rsid w:val="00B735C8"/>
    <w:rsid w:val="00B76A63"/>
    <w:rsid w:val="00BA6350"/>
    <w:rsid w:val="00BA7871"/>
    <w:rsid w:val="00BB4E29"/>
    <w:rsid w:val="00BB74C9"/>
    <w:rsid w:val="00BC3AB6"/>
    <w:rsid w:val="00BC6EED"/>
    <w:rsid w:val="00BD19E8"/>
    <w:rsid w:val="00BD4273"/>
    <w:rsid w:val="00C31ED8"/>
    <w:rsid w:val="00C432E4"/>
    <w:rsid w:val="00C61519"/>
    <w:rsid w:val="00C70C26"/>
    <w:rsid w:val="00C72001"/>
    <w:rsid w:val="00C772B7"/>
    <w:rsid w:val="00C80347"/>
    <w:rsid w:val="00C92B65"/>
    <w:rsid w:val="00CB24D2"/>
    <w:rsid w:val="00CB7C1A"/>
    <w:rsid w:val="00CC5E08"/>
    <w:rsid w:val="00CE14FD"/>
    <w:rsid w:val="00CF6860"/>
    <w:rsid w:val="00D02AC6"/>
    <w:rsid w:val="00D03F0C"/>
    <w:rsid w:val="00D04312"/>
    <w:rsid w:val="00D072AB"/>
    <w:rsid w:val="00D16A7F"/>
    <w:rsid w:val="00D16AD2"/>
    <w:rsid w:val="00D22596"/>
    <w:rsid w:val="00D22691"/>
    <w:rsid w:val="00D24C3D"/>
    <w:rsid w:val="00D46CB1"/>
    <w:rsid w:val="00D723F0"/>
    <w:rsid w:val="00D8133F"/>
    <w:rsid w:val="00D861EE"/>
    <w:rsid w:val="00D95B05"/>
    <w:rsid w:val="00D97E2D"/>
    <w:rsid w:val="00DA103D"/>
    <w:rsid w:val="00DA45D3"/>
    <w:rsid w:val="00DA4772"/>
    <w:rsid w:val="00DA7B44"/>
    <w:rsid w:val="00DB2667"/>
    <w:rsid w:val="00DB67B7"/>
    <w:rsid w:val="00DB7F27"/>
    <w:rsid w:val="00DC15A9"/>
    <w:rsid w:val="00DC40AA"/>
    <w:rsid w:val="00DD1750"/>
    <w:rsid w:val="00E349AA"/>
    <w:rsid w:val="00E41390"/>
    <w:rsid w:val="00E41CA0"/>
    <w:rsid w:val="00E4366B"/>
    <w:rsid w:val="00E50A4A"/>
    <w:rsid w:val="00E575E3"/>
    <w:rsid w:val="00E606DE"/>
    <w:rsid w:val="00E644FE"/>
    <w:rsid w:val="00E72733"/>
    <w:rsid w:val="00E742FA"/>
    <w:rsid w:val="00E76816"/>
    <w:rsid w:val="00E83DBF"/>
    <w:rsid w:val="00E85942"/>
    <w:rsid w:val="00E87C13"/>
    <w:rsid w:val="00E94CD9"/>
    <w:rsid w:val="00EA1A76"/>
    <w:rsid w:val="00EA290B"/>
    <w:rsid w:val="00EE0E90"/>
    <w:rsid w:val="00EE2C3D"/>
    <w:rsid w:val="00EE3C3F"/>
    <w:rsid w:val="00EF3BCA"/>
    <w:rsid w:val="00EF729B"/>
    <w:rsid w:val="00F01B0D"/>
    <w:rsid w:val="00F1238F"/>
    <w:rsid w:val="00F16485"/>
    <w:rsid w:val="00F228ED"/>
    <w:rsid w:val="00F26E31"/>
    <w:rsid w:val="00F27C6C"/>
    <w:rsid w:val="00F34A8D"/>
    <w:rsid w:val="00F50D25"/>
    <w:rsid w:val="00F535D8"/>
    <w:rsid w:val="00F61155"/>
    <w:rsid w:val="00F708E3"/>
    <w:rsid w:val="00F76561"/>
    <w:rsid w:val="00F84736"/>
    <w:rsid w:val="00F90AD1"/>
    <w:rsid w:val="00FC2ADC"/>
    <w:rsid w:val="00FC6C29"/>
    <w:rsid w:val="00FD58E0"/>
    <w:rsid w:val="00FD71AE"/>
    <w:rsid w:val="00FE0198"/>
    <w:rsid w:val="00FE3A7C"/>
    <w:rsid w:val="00FF1C0B"/>
    <w:rsid w:val="00FF232D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DA228E65-E65A-4105-BAC0-61CF6CE1A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