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E775092" w14:textId="77777777" w:rsidTr="718FC970">
        <w:tblPrEx>
          <w:tblW w:w="0" w:type="auto"/>
          <w:tblLook w:val="0000"/>
        </w:tblPrEx>
        <w:trPr>
          <w:trHeight w:val="2181"/>
        </w:trPr>
        <w:tc>
          <w:tcPr>
            <w:tcW w:w="8856" w:type="dxa"/>
          </w:tcPr>
          <w:p w:rsidR="00FF232D" w:rsidP="006A7D75" w14:paraId="4EE4CAE9"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90910"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7A44F8" w:rsidRPr="004A729A" w:rsidP="4434032B" w14:paraId="11C9AEF6" w14:textId="61DB8489">
            <w:pPr>
              <w:rPr>
                <w:b/>
                <w:bCs/>
                <w:sz w:val="12"/>
                <w:szCs w:val="12"/>
              </w:rPr>
            </w:pPr>
          </w:p>
          <w:p w:rsidR="00B6608D" w:rsidRPr="008A3940" w:rsidP="00B6608D" w14:paraId="0D65F9B3" w14:textId="77777777">
            <w:pPr>
              <w:rPr>
                <w:b/>
                <w:bCs/>
                <w:sz w:val="22"/>
                <w:szCs w:val="22"/>
              </w:rPr>
            </w:pPr>
            <w:r w:rsidRPr="008A3940">
              <w:rPr>
                <w:b/>
                <w:bCs/>
                <w:sz w:val="22"/>
                <w:szCs w:val="22"/>
              </w:rPr>
              <w:t xml:space="preserve">Media Contact: </w:t>
            </w:r>
          </w:p>
          <w:p w:rsidR="00B6608D" w:rsidRPr="008A3940" w:rsidP="718FC970" w14:paraId="1C290CF7" w14:textId="11B5CE29">
            <w:pPr>
              <w:rPr>
                <w:sz w:val="22"/>
                <w:szCs w:val="22"/>
              </w:rPr>
            </w:pPr>
            <w:r w:rsidRPr="718FC970">
              <w:rPr>
                <w:sz w:val="22"/>
                <w:szCs w:val="22"/>
              </w:rPr>
              <w:t>Cecilia Sulhoff, (202) 418-0587</w:t>
            </w:r>
          </w:p>
          <w:p w:rsidR="00B6608D" w:rsidRPr="008A3940" w:rsidP="718FC970" w14:paraId="6DE31766" w14:textId="06B2B7D1">
            <w:pPr>
              <w:rPr>
                <w:sz w:val="22"/>
                <w:szCs w:val="22"/>
              </w:rPr>
            </w:pPr>
            <w:r w:rsidRPr="718FC970">
              <w:rPr>
                <w:sz w:val="22"/>
                <w:szCs w:val="22"/>
              </w:rPr>
              <w:t>cecilia.sulhoff@fcc.gov</w:t>
            </w:r>
          </w:p>
          <w:p w:rsidR="00B6608D" w:rsidRPr="008A3940" w:rsidP="00B6608D" w14:paraId="3C05A2AF" w14:textId="77777777">
            <w:pPr>
              <w:rPr>
                <w:bCs/>
                <w:sz w:val="22"/>
                <w:szCs w:val="22"/>
              </w:rPr>
            </w:pPr>
          </w:p>
          <w:p w:rsidR="00B6608D" w:rsidRPr="008A3940" w:rsidP="00B6608D" w14:paraId="3F3EEC84" w14:textId="77777777">
            <w:pPr>
              <w:rPr>
                <w:b/>
                <w:sz w:val="22"/>
                <w:szCs w:val="22"/>
              </w:rPr>
            </w:pPr>
            <w:r w:rsidRPr="008A3940">
              <w:rPr>
                <w:b/>
                <w:sz w:val="22"/>
                <w:szCs w:val="22"/>
              </w:rPr>
              <w:t>For Immediate Release</w:t>
            </w:r>
          </w:p>
          <w:p w:rsidR="00B6608D" w:rsidRPr="004A729A" w:rsidP="00B6608D" w14:paraId="6C044EBB" w14:textId="77777777">
            <w:pPr>
              <w:jc w:val="center"/>
              <w:rPr>
                <w:b/>
                <w:bCs/>
                <w:sz w:val="22"/>
                <w:szCs w:val="22"/>
              </w:rPr>
            </w:pPr>
          </w:p>
          <w:p w:rsidR="00B6608D" w:rsidP="00B6608D" w14:paraId="7C4D4069" w14:textId="794DE471">
            <w:pPr>
              <w:tabs>
                <w:tab w:val="left" w:pos="8625"/>
              </w:tabs>
              <w:spacing w:after="120"/>
              <w:jc w:val="center"/>
              <w:rPr>
                <w:b/>
                <w:bCs/>
                <w:sz w:val="26"/>
                <w:szCs w:val="26"/>
              </w:rPr>
            </w:pPr>
            <w:r>
              <w:rPr>
                <w:b/>
                <w:bCs/>
                <w:sz w:val="26"/>
                <w:szCs w:val="26"/>
              </w:rPr>
              <w:t xml:space="preserve">FCC ANNOUNCES WINNING BIDDERS OF 3.5 GHz </w:t>
            </w:r>
            <w:r w:rsidR="008B2DB2">
              <w:rPr>
                <w:b/>
                <w:bCs/>
                <w:sz w:val="26"/>
                <w:szCs w:val="26"/>
              </w:rPr>
              <w:t xml:space="preserve">BAND </w:t>
            </w:r>
            <w:r>
              <w:rPr>
                <w:b/>
                <w:bCs/>
                <w:sz w:val="26"/>
                <w:szCs w:val="26"/>
              </w:rPr>
              <w:t xml:space="preserve">AUCTION </w:t>
            </w:r>
          </w:p>
          <w:p w:rsidR="00B6608D" w:rsidRPr="008A3940" w:rsidP="00B6608D" w14:paraId="3AACEC50" w14:textId="77777777">
            <w:pPr>
              <w:tabs>
                <w:tab w:val="left" w:pos="8625"/>
              </w:tabs>
              <w:jc w:val="center"/>
              <w:rPr>
                <w:i/>
              </w:rPr>
            </w:pPr>
            <w:r>
              <w:rPr>
                <w:b/>
                <w:bCs/>
                <w:i/>
              </w:rPr>
              <w:t>Today’s Public Notice Details Winning Bidders in First Mid-Band 5G Auction and Explains Procedures Going Forward</w:t>
            </w:r>
          </w:p>
          <w:p w:rsidR="00B6608D" w:rsidRPr="006B0A70" w:rsidP="00B6608D" w14:paraId="16F28FC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B6608D" w:rsidRPr="006A75AB" w:rsidP="003909F8" w14:paraId="7281BF05" w14:textId="7A0E24F6">
            <w:pPr>
              <w:rPr>
                <w:sz w:val="22"/>
                <w:szCs w:val="22"/>
              </w:rPr>
            </w:pPr>
            <w:r w:rsidRPr="006A75AB">
              <w:rPr>
                <w:sz w:val="22"/>
                <w:szCs w:val="22"/>
              </w:rPr>
              <w:t>WASHINGTON, September 2, 2020—</w:t>
            </w:r>
            <w:r w:rsidR="00354A9E">
              <w:rPr>
                <w:sz w:val="22"/>
                <w:szCs w:val="22"/>
              </w:rPr>
              <w:t xml:space="preserve">The </w:t>
            </w:r>
            <w:r w:rsidRPr="006A75AB">
              <w:rPr>
                <w:sz w:val="22"/>
                <w:szCs w:val="22"/>
              </w:rPr>
              <w:t xml:space="preserve">Federal Communications Commission today released a Public Notice detailing the results </w:t>
            </w:r>
            <w:r w:rsidR="00354A9E">
              <w:rPr>
                <w:sz w:val="22"/>
                <w:szCs w:val="22"/>
              </w:rPr>
              <w:t xml:space="preserve">of </w:t>
            </w:r>
            <w:r w:rsidRPr="006A75AB">
              <w:rPr>
                <w:sz w:val="22"/>
                <w:szCs w:val="22"/>
              </w:rPr>
              <w:t>and next steps related to the recently concluded auction of 70 megahertz of Priority Access Licenses</w:t>
            </w:r>
            <w:r w:rsidRPr="006A75AB" w:rsidR="007F32F9">
              <w:rPr>
                <w:sz w:val="22"/>
                <w:szCs w:val="22"/>
              </w:rPr>
              <w:t xml:space="preserve"> (PALs)</w:t>
            </w:r>
            <w:r w:rsidRPr="006A75AB">
              <w:rPr>
                <w:sz w:val="22"/>
                <w:szCs w:val="22"/>
              </w:rPr>
              <w:t xml:space="preserve"> in the 3550-3650 MHz band (Auction 105).  </w:t>
            </w:r>
            <w:r w:rsidRPr="006A75AB" w:rsidR="006A75AB">
              <w:rPr>
                <w:color w:val="000000"/>
                <w:sz w:val="22"/>
                <w:szCs w:val="22"/>
              </w:rPr>
              <w:t xml:space="preserve">This auction made available the greatest number of spectrum licenses ever in a single FCC auction. </w:t>
            </w:r>
            <w:r w:rsidR="000C0CFA">
              <w:rPr>
                <w:color w:val="000000"/>
                <w:sz w:val="22"/>
                <w:szCs w:val="22"/>
              </w:rPr>
              <w:t xml:space="preserve"> </w:t>
            </w:r>
            <w:r w:rsidRPr="006A75AB">
              <w:rPr>
                <w:sz w:val="22"/>
                <w:szCs w:val="22"/>
              </w:rPr>
              <w:t xml:space="preserve">The </w:t>
            </w:r>
            <w:r w:rsidR="00354A9E">
              <w:rPr>
                <w:sz w:val="22"/>
                <w:szCs w:val="22"/>
              </w:rPr>
              <w:t xml:space="preserve">Public Notice </w:t>
            </w:r>
            <w:r w:rsidRPr="006A75AB">
              <w:rPr>
                <w:sz w:val="22"/>
                <w:szCs w:val="22"/>
              </w:rPr>
              <w:t xml:space="preserve">details auction results—including the names of winning bidders—and announces deadlines for payments and the filing of long-form applications, as well as other post-auction procedures needed for the prompt issuance of licenses.  </w:t>
            </w:r>
          </w:p>
          <w:p w:rsidR="00B6608D" w:rsidRPr="004135CD" w:rsidP="003909F8" w14:paraId="768A0FD6" w14:textId="77777777">
            <w:pPr>
              <w:rPr>
                <w:sz w:val="22"/>
                <w:szCs w:val="22"/>
              </w:rPr>
            </w:pPr>
          </w:p>
          <w:p w:rsidR="00824520" w:rsidP="003909F8" w14:paraId="3939A1F1" w14:textId="114273E4">
            <w:pPr>
              <w:rPr>
                <w:color w:val="000000"/>
                <w:sz w:val="22"/>
                <w:szCs w:val="22"/>
              </w:rPr>
            </w:pPr>
            <w:r>
              <w:rPr>
                <w:color w:val="000000"/>
                <w:sz w:val="22"/>
                <w:szCs w:val="22"/>
              </w:rPr>
              <w:t>Auction 105 g</w:t>
            </w:r>
            <w:r w:rsidRPr="007F32F9" w:rsidR="003C0F47">
              <w:rPr>
                <w:color w:val="000000"/>
                <w:sz w:val="22"/>
                <w:szCs w:val="22"/>
              </w:rPr>
              <w:t xml:space="preserve">ross proceeds reached $4,585,663,345, </w:t>
            </w:r>
            <w:r>
              <w:rPr>
                <w:color w:val="000000"/>
                <w:sz w:val="22"/>
                <w:szCs w:val="22"/>
              </w:rPr>
              <w:t>with net proceeds totaling $4,543,232,339.</w:t>
            </w:r>
            <w:r w:rsidRPr="007F32F9">
              <w:rPr>
                <w:color w:val="000000"/>
                <w:sz w:val="22"/>
                <w:szCs w:val="22"/>
              </w:rPr>
              <w:t xml:space="preserve"> </w:t>
            </w:r>
            <w:r w:rsidR="00712A32">
              <w:rPr>
                <w:color w:val="000000"/>
                <w:sz w:val="22"/>
                <w:szCs w:val="22"/>
              </w:rPr>
              <w:t xml:space="preserve"> </w:t>
            </w:r>
            <w:r>
              <w:rPr>
                <w:color w:val="000000"/>
                <w:sz w:val="22"/>
                <w:szCs w:val="22"/>
              </w:rPr>
              <w:t>A</w:t>
            </w:r>
            <w:r w:rsidRPr="007F32F9">
              <w:rPr>
                <w:color w:val="000000"/>
                <w:sz w:val="22"/>
                <w:szCs w:val="22"/>
              </w:rPr>
              <w:t xml:space="preserve"> total of </w:t>
            </w:r>
            <w:r w:rsidRPr="00FC4CA7">
              <w:rPr>
                <w:color w:val="000000"/>
                <w:sz w:val="22"/>
                <w:szCs w:val="22"/>
              </w:rPr>
              <w:t>22</w:t>
            </w:r>
            <w:r w:rsidRPr="00FC4CA7" w:rsidR="007E5B09">
              <w:rPr>
                <w:color w:val="000000"/>
                <w:sz w:val="22"/>
                <w:szCs w:val="22"/>
              </w:rPr>
              <w:t>8</w:t>
            </w:r>
            <w:r w:rsidRPr="007F32F9">
              <w:rPr>
                <w:color w:val="000000"/>
                <w:sz w:val="22"/>
                <w:szCs w:val="22"/>
              </w:rPr>
              <w:t xml:space="preserve"> </w:t>
            </w:r>
            <w:r w:rsidRPr="007F32F9" w:rsidR="003C0F47">
              <w:rPr>
                <w:color w:val="000000"/>
                <w:sz w:val="22"/>
                <w:szCs w:val="22"/>
              </w:rPr>
              <w:t>bidders won 20,625 of 22,631, or more than 91.1%, of available licenses.</w:t>
            </w:r>
            <w:r w:rsidRPr="007F32F9">
              <w:rPr>
                <w:color w:val="000000"/>
                <w:sz w:val="22"/>
                <w:szCs w:val="22"/>
              </w:rPr>
              <w:t xml:space="preserve"> </w:t>
            </w:r>
            <w:r>
              <w:rPr>
                <w:color w:val="000000"/>
                <w:sz w:val="22"/>
                <w:szCs w:val="22"/>
              </w:rPr>
              <w:t xml:space="preserve"> </w:t>
            </w:r>
          </w:p>
          <w:p w:rsidR="00824520" w:rsidP="003909F8" w14:paraId="588C7EEE" w14:textId="77777777">
            <w:pPr>
              <w:rPr>
                <w:color w:val="201F1E"/>
                <w:sz w:val="22"/>
                <w:szCs w:val="22"/>
                <w:shd w:val="clear" w:color="auto" w:fill="FFFFFF"/>
              </w:rPr>
            </w:pPr>
          </w:p>
          <w:p w:rsidR="003C0F47" w:rsidRPr="007F32F9" w:rsidP="003909F8" w14:paraId="1E6BE9F5" w14:textId="0BACD999">
            <w:pPr>
              <w:rPr>
                <w:color w:val="201F1E"/>
                <w:sz w:val="22"/>
                <w:szCs w:val="22"/>
                <w:shd w:val="clear" w:color="auto" w:fill="FFFFFF"/>
              </w:rPr>
            </w:pPr>
            <w:r w:rsidRPr="007F32F9">
              <w:rPr>
                <w:color w:val="201F1E"/>
                <w:sz w:val="22"/>
                <w:szCs w:val="22"/>
                <w:shd w:val="clear" w:color="auto" w:fill="FFFFFF"/>
              </w:rPr>
              <w:t xml:space="preserve">The </w:t>
            </w:r>
            <w:r w:rsidR="00744916">
              <w:rPr>
                <w:color w:val="201F1E"/>
                <w:sz w:val="22"/>
                <w:szCs w:val="22"/>
                <w:shd w:val="clear" w:color="auto" w:fill="FFFFFF"/>
              </w:rPr>
              <w:t>five</w:t>
            </w:r>
            <w:r w:rsidRPr="007F32F9" w:rsidR="007F32F9">
              <w:rPr>
                <w:color w:val="201F1E"/>
                <w:sz w:val="22"/>
                <w:szCs w:val="22"/>
                <w:shd w:val="clear" w:color="auto" w:fill="FFFFFF"/>
              </w:rPr>
              <w:t xml:space="preserve"> </w:t>
            </w:r>
            <w:r w:rsidRPr="44F030FF" w:rsidR="00E7785F">
              <w:rPr>
                <w:color w:val="201F1E"/>
                <w:sz w:val="22"/>
                <w:szCs w:val="22"/>
              </w:rPr>
              <w:t xml:space="preserve">bidders </w:t>
            </w:r>
            <w:r w:rsidRPr="007F32F9" w:rsidR="125A6CDD">
              <w:rPr>
                <w:color w:val="201F1E"/>
                <w:sz w:val="22"/>
                <w:szCs w:val="22"/>
                <w:shd w:val="clear" w:color="auto" w:fill="FFFFFF"/>
              </w:rPr>
              <w:t>with</w:t>
            </w:r>
            <w:r w:rsidR="00E7785F">
              <w:rPr>
                <w:color w:val="201F1E"/>
                <w:sz w:val="22"/>
                <w:szCs w:val="22"/>
                <w:shd w:val="clear" w:color="auto" w:fill="FFFFFF"/>
              </w:rPr>
              <w:t xml:space="preserve"> the </w:t>
            </w:r>
            <w:r w:rsidRPr="007F32F9" w:rsidR="007F32F9">
              <w:rPr>
                <w:color w:val="201F1E"/>
                <w:sz w:val="22"/>
                <w:szCs w:val="22"/>
                <w:shd w:val="clear" w:color="auto" w:fill="FFFFFF"/>
              </w:rPr>
              <w:t xml:space="preserve">largest </w:t>
            </w:r>
            <w:r w:rsidRPr="007F32F9" w:rsidR="125A6CDD">
              <w:rPr>
                <w:color w:val="201F1E"/>
                <w:sz w:val="22"/>
                <w:szCs w:val="22"/>
                <w:shd w:val="clear" w:color="auto" w:fill="FFFFFF"/>
              </w:rPr>
              <w:t xml:space="preserve">total </w:t>
            </w:r>
            <w:r w:rsidR="00502E8C">
              <w:rPr>
                <w:color w:val="201F1E"/>
                <w:sz w:val="22"/>
                <w:szCs w:val="22"/>
                <w:shd w:val="clear" w:color="auto" w:fill="FFFFFF"/>
              </w:rPr>
              <w:t xml:space="preserve">winning </w:t>
            </w:r>
            <w:r w:rsidRPr="007F32F9" w:rsidR="125A6CDD">
              <w:rPr>
                <w:color w:val="201F1E"/>
                <w:sz w:val="22"/>
                <w:szCs w:val="22"/>
                <w:shd w:val="clear" w:color="auto" w:fill="FFFFFF"/>
              </w:rPr>
              <w:t xml:space="preserve">bid amounts </w:t>
            </w:r>
            <w:r w:rsidR="005A48FA">
              <w:rPr>
                <w:color w:val="201F1E"/>
                <w:sz w:val="22"/>
                <w:szCs w:val="22"/>
                <w:shd w:val="clear" w:color="auto" w:fill="FFFFFF"/>
              </w:rPr>
              <w:t>were</w:t>
            </w:r>
            <w:r w:rsidRPr="007F32F9" w:rsidR="005A48FA">
              <w:rPr>
                <w:color w:val="201F1E"/>
                <w:sz w:val="22"/>
                <w:szCs w:val="22"/>
                <w:shd w:val="clear" w:color="auto" w:fill="FFFFFF"/>
              </w:rPr>
              <w:t xml:space="preserve"> </w:t>
            </w:r>
            <w:r w:rsidRPr="007F32F9">
              <w:rPr>
                <w:color w:val="201F1E"/>
                <w:sz w:val="22"/>
                <w:szCs w:val="22"/>
                <w:shd w:val="clear" w:color="auto" w:fill="FFFFFF"/>
              </w:rPr>
              <w:t>as follows:</w:t>
            </w:r>
          </w:p>
          <w:p w:rsidR="003C0F47" w:rsidP="007F32F9" w14:paraId="3906C223" w14:textId="77777777">
            <w:pPr>
              <w:jc w:val="center"/>
              <w:rPr>
                <w:color w:val="201F1E"/>
                <w:sz w:val="22"/>
                <w:szCs w:val="22"/>
                <w:shd w:val="clear" w:color="auto" w:fill="FFFFFF"/>
              </w:rPr>
            </w:pPr>
          </w:p>
          <w:tbl>
            <w:tblPr>
              <w:tblStyle w:val="TableGrid"/>
              <w:tblW w:w="0" w:type="auto"/>
              <w:tblLook w:val="04A0"/>
            </w:tblPr>
            <w:tblGrid>
              <w:gridCol w:w="4657"/>
              <w:gridCol w:w="2700"/>
            </w:tblGrid>
            <w:tr w14:paraId="14E79935" w14:textId="77777777" w:rsidTr="00824520">
              <w:tblPrEx>
                <w:tblW w:w="0" w:type="auto"/>
                <w:tblLook w:val="04A0"/>
              </w:tblPrEx>
              <w:tc>
                <w:tcPr>
                  <w:tcW w:w="4657" w:type="dxa"/>
                </w:tcPr>
                <w:p w:rsidR="00824520" w:rsidRPr="003C0F47" w:rsidP="007F32F9" w14:paraId="494226B9" w14:textId="01DCB705">
                  <w:pPr>
                    <w:jc w:val="center"/>
                    <w:rPr>
                      <w:b/>
                      <w:bCs/>
                      <w:color w:val="201F1E"/>
                      <w:sz w:val="22"/>
                      <w:szCs w:val="22"/>
                      <w:shd w:val="clear" w:color="auto" w:fill="FFFFFF"/>
                    </w:rPr>
                  </w:pPr>
                  <w:r w:rsidRPr="003C0F47">
                    <w:rPr>
                      <w:b/>
                      <w:bCs/>
                      <w:color w:val="201F1E"/>
                      <w:sz w:val="22"/>
                      <w:szCs w:val="22"/>
                      <w:shd w:val="clear" w:color="auto" w:fill="FFFFFF"/>
                    </w:rPr>
                    <w:t>Bidder</w:t>
                  </w:r>
                </w:p>
              </w:tc>
              <w:tc>
                <w:tcPr>
                  <w:tcW w:w="2700" w:type="dxa"/>
                </w:tcPr>
                <w:p w:rsidR="00824520" w:rsidRPr="003C0F47" w:rsidP="007F32F9" w14:paraId="36BAF714" w14:textId="0EBC152B">
                  <w:pPr>
                    <w:jc w:val="center"/>
                    <w:rPr>
                      <w:b/>
                      <w:bCs/>
                      <w:color w:val="201F1E"/>
                      <w:sz w:val="22"/>
                      <w:szCs w:val="22"/>
                      <w:shd w:val="clear" w:color="auto" w:fill="FFFFFF"/>
                    </w:rPr>
                  </w:pPr>
                  <w:r w:rsidRPr="003C0F47">
                    <w:rPr>
                      <w:b/>
                      <w:bCs/>
                      <w:color w:val="201F1E"/>
                      <w:sz w:val="22"/>
                      <w:szCs w:val="22"/>
                      <w:shd w:val="clear" w:color="auto" w:fill="FFFFFF"/>
                    </w:rPr>
                    <w:t xml:space="preserve">Total </w:t>
                  </w:r>
                  <w:r w:rsidRPr="003C0F47" w:rsidR="1686F47F">
                    <w:rPr>
                      <w:b/>
                      <w:bCs/>
                      <w:color w:val="201F1E"/>
                      <w:sz w:val="22"/>
                      <w:szCs w:val="22"/>
                      <w:shd w:val="clear" w:color="auto" w:fill="FFFFFF"/>
                    </w:rPr>
                    <w:t xml:space="preserve">Winning Bids </w:t>
                  </w:r>
                </w:p>
              </w:tc>
            </w:tr>
            <w:tr w14:paraId="748B78C4" w14:textId="77777777" w:rsidTr="00824520">
              <w:tblPrEx>
                <w:tblW w:w="0" w:type="auto"/>
                <w:tblLook w:val="04A0"/>
              </w:tblPrEx>
              <w:tc>
                <w:tcPr>
                  <w:tcW w:w="4657" w:type="dxa"/>
                </w:tcPr>
                <w:p w:rsidR="00824520" w:rsidP="003909F8" w14:paraId="13ED3E14" w14:textId="2A3AD0EA">
                  <w:pPr>
                    <w:rPr>
                      <w:color w:val="201F1E"/>
                      <w:sz w:val="22"/>
                      <w:szCs w:val="22"/>
                      <w:shd w:val="clear" w:color="auto" w:fill="FFFFFF"/>
                    </w:rPr>
                  </w:pPr>
                  <w:r>
                    <w:rPr>
                      <w:color w:val="201F1E"/>
                      <w:sz w:val="22"/>
                      <w:szCs w:val="22"/>
                      <w:shd w:val="clear" w:color="auto" w:fill="FFFFFF"/>
                    </w:rPr>
                    <w:t>Verizon Wireless Network Procurement LP</w:t>
                  </w:r>
                </w:p>
              </w:tc>
              <w:tc>
                <w:tcPr>
                  <w:tcW w:w="2700" w:type="dxa"/>
                </w:tcPr>
                <w:p w:rsidR="00824520" w:rsidP="003C0F47" w14:paraId="542EED5B" w14:textId="779E39FF">
                  <w:pPr>
                    <w:jc w:val="right"/>
                    <w:rPr>
                      <w:color w:val="201F1E"/>
                      <w:sz w:val="22"/>
                      <w:szCs w:val="22"/>
                      <w:shd w:val="clear" w:color="auto" w:fill="FFFFFF"/>
                    </w:rPr>
                  </w:pPr>
                  <w:r>
                    <w:rPr>
                      <w:color w:val="201F1E"/>
                      <w:sz w:val="22"/>
                      <w:szCs w:val="22"/>
                      <w:shd w:val="clear" w:color="auto" w:fill="FFFFFF"/>
                    </w:rPr>
                    <w:t>$1,893,791,991</w:t>
                  </w:r>
                </w:p>
              </w:tc>
            </w:tr>
            <w:tr w14:paraId="4D4FE08F" w14:textId="77777777" w:rsidTr="00824520">
              <w:tblPrEx>
                <w:tblW w:w="0" w:type="auto"/>
                <w:tblLook w:val="04A0"/>
              </w:tblPrEx>
              <w:tc>
                <w:tcPr>
                  <w:tcW w:w="4657" w:type="dxa"/>
                </w:tcPr>
                <w:p w:rsidR="00824520" w:rsidP="003909F8" w14:paraId="25A4E3B4" w14:textId="4BD53CD5">
                  <w:pPr>
                    <w:rPr>
                      <w:color w:val="201F1E"/>
                      <w:sz w:val="22"/>
                      <w:szCs w:val="22"/>
                      <w:shd w:val="clear" w:color="auto" w:fill="FFFFFF"/>
                    </w:rPr>
                  </w:pPr>
                  <w:r>
                    <w:rPr>
                      <w:color w:val="201F1E"/>
                      <w:sz w:val="22"/>
                      <w:szCs w:val="22"/>
                      <w:shd w:val="clear" w:color="auto" w:fill="FFFFFF"/>
                    </w:rPr>
                    <w:t>Wetterhorn Wireless LLC</w:t>
                  </w:r>
                </w:p>
              </w:tc>
              <w:tc>
                <w:tcPr>
                  <w:tcW w:w="2700" w:type="dxa"/>
                </w:tcPr>
                <w:p w:rsidR="00824520" w:rsidP="003C0F47" w14:paraId="0343CC4A" w14:textId="24E17A9D">
                  <w:pPr>
                    <w:jc w:val="right"/>
                    <w:rPr>
                      <w:color w:val="201F1E"/>
                      <w:sz w:val="22"/>
                      <w:szCs w:val="22"/>
                      <w:shd w:val="clear" w:color="auto" w:fill="FFFFFF"/>
                    </w:rPr>
                  </w:pPr>
                  <w:r>
                    <w:rPr>
                      <w:color w:val="201F1E"/>
                      <w:sz w:val="22"/>
                      <w:szCs w:val="22"/>
                      <w:shd w:val="clear" w:color="auto" w:fill="FFFFFF"/>
                    </w:rPr>
                    <w:t>$912,939,410</w:t>
                  </w:r>
                </w:p>
              </w:tc>
            </w:tr>
            <w:tr w14:paraId="761C17B4" w14:textId="77777777" w:rsidTr="00824520">
              <w:tblPrEx>
                <w:tblW w:w="0" w:type="auto"/>
                <w:tblLook w:val="04A0"/>
              </w:tblPrEx>
              <w:trPr>
                <w:trHeight w:val="58"/>
              </w:trPr>
              <w:tc>
                <w:tcPr>
                  <w:tcW w:w="4657" w:type="dxa"/>
                </w:tcPr>
                <w:p w:rsidR="00824520" w:rsidP="003909F8" w14:paraId="0C66BAE6" w14:textId="710853B9">
                  <w:pPr>
                    <w:rPr>
                      <w:color w:val="201F1E"/>
                      <w:sz w:val="22"/>
                      <w:szCs w:val="22"/>
                      <w:shd w:val="clear" w:color="auto" w:fill="FFFFFF"/>
                    </w:rPr>
                  </w:pPr>
                  <w:r>
                    <w:rPr>
                      <w:color w:val="201F1E"/>
                      <w:sz w:val="22"/>
                      <w:szCs w:val="22"/>
                      <w:shd w:val="clear" w:color="auto" w:fill="FFFFFF"/>
                    </w:rPr>
                    <w:t xml:space="preserve">Spectrum Wireless Holdings, LLC </w:t>
                  </w:r>
                </w:p>
              </w:tc>
              <w:tc>
                <w:tcPr>
                  <w:tcW w:w="2700" w:type="dxa"/>
                </w:tcPr>
                <w:p w:rsidR="00824520" w:rsidP="003C0F47" w14:paraId="5627E698" w14:textId="58E9977E">
                  <w:pPr>
                    <w:jc w:val="right"/>
                    <w:rPr>
                      <w:color w:val="201F1E"/>
                      <w:sz w:val="22"/>
                      <w:szCs w:val="22"/>
                      <w:shd w:val="clear" w:color="auto" w:fill="FFFFFF"/>
                    </w:rPr>
                  </w:pPr>
                  <w:r>
                    <w:rPr>
                      <w:color w:val="201F1E"/>
                      <w:sz w:val="22"/>
                      <w:szCs w:val="22"/>
                      <w:shd w:val="clear" w:color="auto" w:fill="FFFFFF"/>
                    </w:rPr>
                    <w:t>$464,251,209</w:t>
                  </w:r>
                </w:p>
              </w:tc>
            </w:tr>
            <w:tr w14:paraId="72492FBD" w14:textId="77777777" w:rsidTr="00824520">
              <w:tblPrEx>
                <w:tblW w:w="0" w:type="auto"/>
                <w:tblLook w:val="04A0"/>
              </w:tblPrEx>
              <w:tc>
                <w:tcPr>
                  <w:tcW w:w="4657" w:type="dxa"/>
                </w:tcPr>
                <w:p w:rsidR="00824520" w:rsidP="003909F8" w14:paraId="2EC64828" w14:textId="6780DC96">
                  <w:pPr>
                    <w:rPr>
                      <w:color w:val="201F1E"/>
                      <w:sz w:val="22"/>
                      <w:szCs w:val="22"/>
                      <w:shd w:val="clear" w:color="auto" w:fill="FFFFFF"/>
                    </w:rPr>
                  </w:pPr>
                  <w:r>
                    <w:rPr>
                      <w:color w:val="201F1E"/>
                      <w:sz w:val="22"/>
                      <w:szCs w:val="22"/>
                      <w:shd w:val="clear" w:color="auto" w:fill="FFFFFF"/>
                    </w:rPr>
                    <w:t xml:space="preserve">XF Wireless Investment, LLC </w:t>
                  </w:r>
                </w:p>
              </w:tc>
              <w:tc>
                <w:tcPr>
                  <w:tcW w:w="2700" w:type="dxa"/>
                </w:tcPr>
                <w:p w:rsidR="00824520" w:rsidP="003C0F47" w14:paraId="0FC3663E" w14:textId="21FE5A65">
                  <w:pPr>
                    <w:jc w:val="right"/>
                    <w:rPr>
                      <w:color w:val="201F1E"/>
                      <w:sz w:val="22"/>
                      <w:szCs w:val="22"/>
                      <w:shd w:val="clear" w:color="auto" w:fill="FFFFFF"/>
                    </w:rPr>
                  </w:pPr>
                  <w:r>
                    <w:rPr>
                      <w:color w:val="201F1E"/>
                      <w:sz w:val="22"/>
                      <w:szCs w:val="22"/>
                      <w:shd w:val="clear" w:color="auto" w:fill="FFFFFF"/>
                    </w:rPr>
                    <w:t>$458,725,900</w:t>
                  </w:r>
                </w:p>
              </w:tc>
            </w:tr>
            <w:tr w14:paraId="7D23CBBC" w14:textId="77777777" w:rsidTr="00824520">
              <w:tblPrEx>
                <w:tblW w:w="0" w:type="auto"/>
                <w:tblLook w:val="04A0"/>
              </w:tblPrEx>
              <w:tc>
                <w:tcPr>
                  <w:tcW w:w="4657" w:type="dxa"/>
                </w:tcPr>
                <w:p w:rsidR="00824520" w:rsidP="003909F8" w14:paraId="7CB95A9F" w14:textId="2E9693AE">
                  <w:pPr>
                    <w:rPr>
                      <w:color w:val="201F1E"/>
                      <w:sz w:val="22"/>
                      <w:szCs w:val="22"/>
                      <w:shd w:val="clear" w:color="auto" w:fill="FFFFFF"/>
                    </w:rPr>
                  </w:pPr>
                  <w:r>
                    <w:rPr>
                      <w:color w:val="201F1E"/>
                      <w:sz w:val="22"/>
                      <w:szCs w:val="22"/>
                      <w:shd w:val="clear" w:color="auto" w:fill="FFFFFF"/>
                    </w:rPr>
                    <w:t>Cox Communications, Inc.</w:t>
                  </w:r>
                </w:p>
              </w:tc>
              <w:tc>
                <w:tcPr>
                  <w:tcW w:w="2700" w:type="dxa"/>
                </w:tcPr>
                <w:p w:rsidR="00824520" w:rsidP="003C0F47" w14:paraId="573D84BD" w14:textId="02E2DA73">
                  <w:pPr>
                    <w:jc w:val="right"/>
                    <w:rPr>
                      <w:color w:val="201F1E"/>
                      <w:sz w:val="22"/>
                      <w:szCs w:val="22"/>
                      <w:shd w:val="clear" w:color="auto" w:fill="FFFFFF"/>
                    </w:rPr>
                  </w:pPr>
                  <w:r>
                    <w:rPr>
                      <w:color w:val="201F1E"/>
                      <w:sz w:val="22"/>
                      <w:szCs w:val="22"/>
                      <w:shd w:val="clear" w:color="auto" w:fill="FFFFFF"/>
                    </w:rPr>
                    <w:t>$212,805,412</w:t>
                  </w:r>
                </w:p>
              </w:tc>
            </w:tr>
          </w:tbl>
          <w:p w:rsidR="007F32F9" w:rsidP="003909F8" w14:paraId="3909C8E5" w14:textId="77777777">
            <w:pPr>
              <w:rPr>
                <w:bCs/>
                <w:sz w:val="22"/>
                <w:szCs w:val="22"/>
              </w:rPr>
            </w:pPr>
          </w:p>
          <w:p w:rsidR="00824520" w:rsidP="003909F8" w14:paraId="43022BE4" w14:textId="0124692D">
            <w:pPr>
              <w:rPr>
                <w:bCs/>
                <w:sz w:val="22"/>
                <w:szCs w:val="22"/>
              </w:rPr>
            </w:pPr>
            <w:r>
              <w:rPr>
                <w:bCs/>
                <w:sz w:val="22"/>
                <w:szCs w:val="22"/>
              </w:rPr>
              <w:t xml:space="preserve">The </w:t>
            </w:r>
            <w:r w:rsidR="00E7785F">
              <w:rPr>
                <w:bCs/>
                <w:sz w:val="22"/>
                <w:szCs w:val="22"/>
              </w:rPr>
              <w:t>five bidders</w:t>
            </w:r>
            <w:r w:rsidR="00DF4E7D">
              <w:rPr>
                <w:bCs/>
                <w:sz w:val="22"/>
                <w:szCs w:val="22"/>
              </w:rPr>
              <w:t xml:space="preserve"> </w:t>
            </w:r>
            <w:r w:rsidR="008F3DBE">
              <w:rPr>
                <w:bCs/>
                <w:sz w:val="22"/>
                <w:szCs w:val="22"/>
              </w:rPr>
              <w:t xml:space="preserve">winning the </w:t>
            </w:r>
            <w:r>
              <w:rPr>
                <w:bCs/>
                <w:sz w:val="22"/>
                <w:szCs w:val="22"/>
              </w:rPr>
              <w:t xml:space="preserve">largest number of licenses </w:t>
            </w:r>
            <w:r w:rsidR="005A48FA">
              <w:rPr>
                <w:bCs/>
                <w:sz w:val="22"/>
                <w:szCs w:val="22"/>
              </w:rPr>
              <w:t xml:space="preserve">were </w:t>
            </w:r>
            <w:r>
              <w:rPr>
                <w:bCs/>
                <w:sz w:val="22"/>
                <w:szCs w:val="22"/>
              </w:rPr>
              <w:t>as follows:</w:t>
            </w:r>
          </w:p>
          <w:p w:rsidR="00824520" w:rsidP="003909F8" w14:paraId="284CB3CE" w14:textId="219AA6A7">
            <w:pPr>
              <w:rPr>
                <w:bCs/>
                <w:sz w:val="22"/>
                <w:szCs w:val="22"/>
              </w:rPr>
            </w:pPr>
          </w:p>
          <w:tbl>
            <w:tblPr>
              <w:tblStyle w:val="TableGrid"/>
              <w:tblW w:w="0" w:type="auto"/>
              <w:tblLook w:val="04A0"/>
            </w:tblPr>
            <w:tblGrid>
              <w:gridCol w:w="4657"/>
              <w:gridCol w:w="2700"/>
            </w:tblGrid>
            <w:tr w14:paraId="09CF908C" w14:textId="77777777" w:rsidTr="3F982170">
              <w:tblPrEx>
                <w:tblW w:w="0" w:type="auto"/>
                <w:tblLook w:val="04A0"/>
              </w:tblPrEx>
              <w:tc>
                <w:tcPr>
                  <w:tcW w:w="4657" w:type="dxa"/>
                </w:tcPr>
                <w:p w:rsidR="00824520" w:rsidRPr="00824520" w:rsidP="00824520" w14:paraId="1472AA34" w14:textId="01C98908">
                  <w:pPr>
                    <w:jc w:val="center"/>
                    <w:rPr>
                      <w:b/>
                      <w:sz w:val="22"/>
                      <w:szCs w:val="22"/>
                    </w:rPr>
                  </w:pPr>
                  <w:r w:rsidRPr="00824520">
                    <w:rPr>
                      <w:b/>
                      <w:sz w:val="22"/>
                      <w:szCs w:val="22"/>
                    </w:rPr>
                    <w:t>Bidder</w:t>
                  </w:r>
                </w:p>
              </w:tc>
              <w:tc>
                <w:tcPr>
                  <w:tcW w:w="2700" w:type="dxa"/>
                </w:tcPr>
                <w:p w:rsidR="00824520" w:rsidRPr="00824520" w:rsidP="3F982170" w14:paraId="0DF84DDB" w14:textId="781F6802">
                  <w:pPr>
                    <w:jc w:val="center"/>
                    <w:rPr>
                      <w:b/>
                      <w:bCs/>
                      <w:sz w:val="22"/>
                      <w:szCs w:val="22"/>
                    </w:rPr>
                  </w:pPr>
                  <w:r w:rsidRPr="3F982170">
                    <w:rPr>
                      <w:b/>
                      <w:bCs/>
                      <w:sz w:val="22"/>
                      <w:szCs w:val="22"/>
                    </w:rPr>
                    <w:t>Number of PALs Won</w:t>
                  </w:r>
                </w:p>
              </w:tc>
            </w:tr>
            <w:tr w14:paraId="1DBE1BDD" w14:textId="77777777" w:rsidTr="3F982170">
              <w:tblPrEx>
                <w:tblW w:w="0" w:type="auto"/>
                <w:tblLook w:val="04A0"/>
              </w:tblPrEx>
              <w:tc>
                <w:tcPr>
                  <w:tcW w:w="4657" w:type="dxa"/>
                </w:tcPr>
                <w:p w:rsidR="00824520" w:rsidP="003909F8" w14:paraId="7AE8F0FF" w14:textId="132698E4">
                  <w:pPr>
                    <w:rPr>
                      <w:bCs/>
                      <w:sz w:val="22"/>
                      <w:szCs w:val="22"/>
                    </w:rPr>
                  </w:pPr>
                  <w:r>
                    <w:rPr>
                      <w:bCs/>
                      <w:sz w:val="22"/>
                      <w:szCs w:val="22"/>
                    </w:rPr>
                    <w:t>Wetterhorn Wireless LLC</w:t>
                  </w:r>
                </w:p>
              </w:tc>
              <w:tc>
                <w:tcPr>
                  <w:tcW w:w="2700" w:type="dxa"/>
                </w:tcPr>
                <w:p w:rsidR="00824520" w:rsidP="00824520" w14:paraId="557251EF" w14:textId="2E511ECF">
                  <w:pPr>
                    <w:jc w:val="right"/>
                    <w:rPr>
                      <w:bCs/>
                      <w:sz w:val="22"/>
                      <w:szCs w:val="22"/>
                    </w:rPr>
                  </w:pPr>
                  <w:r>
                    <w:rPr>
                      <w:bCs/>
                      <w:sz w:val="22"/>
                      <w:szCs w:val="22"/>
                    </w:rPr>
                    <w:t>5</w:t>
                  </w:r>
                  <w:r w:rsidR="006A75AB">
                    <w:rPr>
                      <w:bCs/>
                      <w:sz w:val="22"/>
                      <w:szCs w:val="22"/>
                    </w:rPr>
                    <w:t>,</w:t>
                  </w:r>
                  <w:r>
                    <w:rPr>
                      <w:bCs/>
                      <w:sz w:val="22"/>
                      <w:szCs w:val="22"/>
                    </w:rPr>
                    <w:t>492</w:t>
                  </w:r>
                </w:p>
              </w:tc>
            </w:tr>
            <w:tr w14:paraId="1F300D47" w14:textId="77777777" w:rsidTr="3F982170">
              <w:tblPrEx>
                <w:tblW w:w="0" w:type="auto"/>
                <w:tblLook w:val="04A0"/>
              </w:tblPrEx>
              <w:tc>
                <w:tcPr>
                  <w:tcW w:w="4657" w:type="dxa"/>
                </w:tcPr>
                <w:p w:rsidR="00824520" w:rsidP="003909F8" w14:paraId="213F9F31" w14:textId="653077B8">
                  <w:pPr>
                    <w:rPr>
                      <w:bCs/>
                      <w:sz w:val="22"/>
                      <w:szCs w:val="22"/>
                    </w:rPr>
                  </w:pPr>
                  <w:r>
                    <w:rPr>
                      <w:bCs/>
                      <w:sz w:val="22"/>
                      <w:szCs w:val="22"/>
                    </w:rPr>
                    <w:t>SAL Spectrum, LLC</w:t>
                  </w:r>
                </w:p>
              </w:tc>
              <w:tc>
                <w:tcPr>
                  <w:tcW w:w="2700" w:type="dxa"/>
                </w:tcPr>
                <w:p w:rsidR="00824520" w:rsidP="00824520" w14:paraId="20CACD3B" w14:textId="7917A4F7">
                  <w:pPr>
                    <w:jc w:val="right"/>
                    <w:rPr>
                      <w:bCs/>
                      <w:sz w:val="22"/>
                      <w:szCs w:val="22"/>
                    </w:rPr>
                  </w:pPr>
                  <w:r>
                    <w:rPr>
                      <w:bCs/>
                      <w:sz w:val="22"/>
                      <w:szCs w:val="22"/>
                    </w:rPr>
                    <w:t>1</w:t>
                  </w:r>
                  <w:r w:rsidR="006A75AB">
                    <w:rPr>
                      <w:bCs/>
                      <w:sz w:val="22"/>
                      <w:szCs w:val="22"/>
                    </w:rPr>
                    <w:t>,</w:t>
                  </w:r>
                  <w:r>
                    <w:rPr>
                      <w:bCs/>
                      <w:sz w:val="22"/>
                      <w:szCs w:val="22"/>
                    </w:rPr>
                    <w:t>569</w:t>
                  </w:r>
                </w:p>
              </w:tc>
            </w:tr>
            <w:tr w14:paraId="3679807F" w14:textId="77777777" w:rsidTr="3F982170">
              <w:tblPrEx>
                <w:tblW w:w="0" w:type="auto"/>
                <w:tblLook w:val="04A0"/>
              </w:tblPrEx>
              <w:tc>
                <w:tcPr>
                  <w:tcW w:w="4657" w:type="dxa"/>
                </w:tcPr>
                <w:p w:rsidR="00824520" w:rsidP="003909F8" w14:paraId="117A2327" w14:textId="4D8C9620">
                  <w:pPr>
                    <w:rPr>
                      <w:bCs/>
                      <w:sz w:val="22"/>
                      <w:szCs w:val="22"/>
                    </w:rPr>
                  </w:pPr>
                  <w:r>
                    <w:rPr>
                      <w:bCs/>
                      <w:sz w:val="22"/>
                      <w:szCs w:val="22"/>
                    </w:rPr>
                    <w:t>AMG Technology Investment Group, LLC</w:t>
                  </w:r>
                </w:p>
              </w:tc>
              <w:tc>
                <w:tcPr>
                  <w:tcW w:w="2700" w:type="dxa"/>
                </w:tcPr>
                <w:p w:rsidR="00824520" w:rsidP="00824520" w14:paraId="15A35827" w14:textId="1B2099A9">
                  <w:pPr>
                    <w:jc w:val="right"/>
                    <w:rPr>
                      <w:bCs/>
                      <w:sz w:val="22"/>
                      <w:szCs w:val="22"/>
                    </w:rPr>
                  </w:pPr>
                  <w:r>
                    <w:rPr>
                      <w:bCs/>
                      <w:sz w:val="22"/>
                      <w:szCs w:val="22"/>
                    </w:rPr>
                    <w:t>1</w:t>
                  </w:r>
                  <w:r w:rsidR="006A75AB">
                    <w:rPr>
                      <w:bCs/>
                      <w:sz w:val="22"/>
                      <w:szCs w:val="22"/>
                    </w:rPr>
                    <w:t>,</w:t>
                  </w:r>
                  <w:r>
                    <w:rPr>
                      <w:bCs/>
                      <w:sz w:val="22"/>
                      <w:szCs w:val="22"/>
                    </w:rPr>
                    <w:t>072</w:t>
                  </w:r>
                </w:p>
              </w:tc>
            </w:tr>
            <w:tr w14:paraId="07DF8D63" w14:textId="77777777" w:rsidTr="3F982170">
              <w:tblPrEx>
                <w:tblW w:w="0" w:type="auto"/>
                <w:tblLook w:val="04A0"/>
              </w:tblPrEx>
              <w:tc>
                <w:tcPr>
                  <w:tcW w:w="4657" w:type="dxa"/>
                </w:tcPr>
                <w:p w:rsidR="00824520" w:rsidP="003909F8" w14:paraId="6E43680B" w14:textId="1750483A">
                  <w:pPr>
                    <w:rPr>
                      <w:bCs/>
                      <w:sz w:val="22"/>
                      <w:szCs w:val="22"/>
                    </w:rPr>
                  </w:pPr>
                  <w:r>
                    <w:rPr>
                      <w:bCs/>
                      <w:sz w:val="22"/>
                      <w:szCs w:val="22"/>
                    </w:rPr>
                    <w:t>Windstream Services LLC, Debtor-in-Possession</w:t>
                  </w:r>
                </w:p>
              </w:tc>
              <w:tc>
                <w:tcPr>
                  <w:tcW w:w="2700" w:type="dxa"/>
                </w:tcPr>
                <w:p w:rsidR="00824520" w:rsidP="00824520" w14:paraId="2AFB5B05" w14:textId="4CB39AAC">
                  <w:pPr>
                    <w:jc w:val="right"/>
                    <w:rPr>
                      <w:bCs/>
                      <w:sz w:val="22"/>
                      <w:szCs w:val="22"/>
                    </w:rPr>
                  </w:pPr>
                  <w:r>
                    <w:rPr>
                      <w:bCs/>
                      <w:sz w:val="22"/>
                      <w:szCs w:val="22"/>
                    </w:rPr>
                    <w:t>1</w:t>
                  </w:r>
                  <w:r w:rsidR="006A75AB">
                    <w:rPr>
                      <w:bCs/>
                      <w:sz w:val="22"/>
                      <w:szCs w:val="22"/>
                    </w:rPr>
                    <w:t>,</w:t>
                  </w:r>
                  <w:r>
                    <w:rPr>
                      <w:bCs/>
                      <w:sz w:val="22"/>
                      <w:szCs w:val="22"/>
                    </w:rPr>
                    <w:t>014</w:t>
                  </w:r>
                </w:p>
              </w:tc>
            </w:tr>
            <w:tr w14:paraId="6B44BD12" w14:textId="77777777" w:rsidTr="3F982170">
              <w:tblPrEx>
                <w:tblW w:w="0" w:type="auto"/>
                <w:tblLook w:val="04A0"/>
              </w:tblPrEx>
              <w:tc>
                <w:tcPr>
                  <w:tcW w:w="4657" w:type="dxa"/>
                </w:tcPr>
                <w:p w:rsidR="00824520" w:rsidP="003909F8" w14:paraId="263FB5C8" w14:textId="68DA9951">
                  <w:pPr>
                    <w:rPr>
                      <w:bCs/>
                      <w:sz w:val="22"/>
                      <w:szCs w:val="22"/>
                    </w:rPr>
                  </w:pPr>
                  <w:r>
                    <w:rPr>
                      <w:bCs/>
                      <w:sz w:val="22"/>
                      <w:szCs w:val="22"/>
                    </w:rPr>
                    <w:t>XF Wireless Investment, LLC</w:t>
                  </w:r>
                </w:p>
              </w:tc>
              <w:tc>
                <w:tcPr>
                  <w:tcW w:w="2700" w:type="dxa"/>
                </w:tcPr>
                <w:p w:rsidR="00824520" w:rsidP="00824520" w14:paraId="752D7093" w14:textId="087F1D6E">
                  <w:pPr>
                    <w:jc w:val="right"/>
                    <w:rPr>
                      <w:bCs/>
                      <w:sz w:val="22"/>
                      <w:szCs w:val="22"/>
                    </w:rPr>
                  </w:pPr>
                  <w:r>
                    <w:rPr>
                      <w:bCs/>
                      <w:sz w:val="22"/>
                      <w:szCs w:val="22"/>
                    </w:rPr>
                    <w:t>830</w:t>
                  </w:r>
                </w:p>
              </w:tc>
            </w:tr>
          </w:tbl>
          <w:p w:rsidR="00824520" w:rsidP="003909F8" w14:paraId="44F80CB7" w14:textId="77777777">
            <w:pPr>
              <w:rPr>
                <w:bCs/>
                <w:sz w:val="22"/>
                <w:szCs w:val="22"/>
              </w:rPr>
            </w:pPr>
          </w:p>
          <w:p w:rsidR="00B6608D" w:rsidRPr="003909F8" w:rsidP="003909F8" w14:paraId="3761AE90" w14:textId="595735A5">
            <w:pPr>
              <w:rPr>
                <w:sz w:val="22"/>
                <w:szCs w:val="22"/>
              </w:rPr>
            </w:pPr>
            <w:r w:rsidRPr="66DD0670">
              <w:rPr>
                <w:sz w:val="22"/>
                <w:szCs w:val="22"/>
              </w:rPr>
              <w:t xml:space="preserve">Today’s Public Notice specifies deadlines for payments and the filing of long-form applications and gives details for other post-auction procedures. </w:t>
            </w:r>
            <w:r w:rsidRPr="66DD0670" w:rsidR="007F32F9">
              <w:rPr>
                <w:sz w:val="22"/>
                <w:szCs w:val="22"/>
              </w:rPr>
              <w:t xml:space="preserve"> </w:t>
            </w:r>
            <w:r w:rsidR="00AE6E4B">
              <w:rPr>
                <w:sz w:val="22"/>
                <w:szCs w:val="22"/>
              </w:rPr>
              <w:t>P</w:t>
            </w:r>
            <w:r w:rsidRPr="4434032B" w:rsidR="00B73F64">
              <w:rPr>
                <w:sz w:val="22"/>
                <w:szCs w:val="22"/>
              </w:rPr>
              <w:t>ost-auction long-form license applications are due</w:t>
            </w:r>
            <w:r w:rsidRPr="4434032B" w:rsidR="00B73F64">
              <w:rPr>
                <w:b/>
                <w:bCs/>
                <w:sz w:val="22"/>
                <w:szCs w:val="22"/>
              </w:rPr>
              <w:t xml:space="preserve"> </w:t>
            </w:r>
            <w:r w:rsidRPr="4434032B" w:rsidR="00B73F64">
              <w:rPr>
                <w:sz w:val="22"/>
                <w:szCs w:val="22"/>
              </w:rPr>
              <w:t>by 6:00 p.m. Eastern Time (ET) on September 17, 2020.</w:t>
            </w:r>
            <w:r w:rsidR="00B73F64">
              <w:rPr>
                <w:sz w:val="22"/>
                <w:szCs w:val="22"/>
              </w:rPr>
              <w:t xml:space="preserve">  </w:t>
            </w:r>
            <w:r w:rsidRPr="4434032B" w:rsidR="00B73F64">
              <w:rPr>
                <w:sz w:val="22"/>
                <w:szCs w:val="22"/>
              </w:rPr>
              <w:t xml:space="preserve">This is also the deadline for each winning bidder to submit </w:t>
            </w:r>
            <w:r w:rsidR="00B73F64">
              <w:rPr>
                <w:sz w:val="22"/>
                <w:szCs w:val="22"/>
              </w:rPr>
              <w:t xml:space="preserve">a </w:t>
            </w:r>
            <w:r w:rsidRPr="4434032B" w:rsidR="00B73F64">
              <w:rPr>
                <w:sz w:val="22"/>
                <w:szCs w:val="22"/>
              </w:rPr>
              <w:t xml:space="preserve">down payment, equaling 20% of the aggregate net amount of its winning bids, via wire transfer to the FCC.  Final payments are due </w:t>
            </w:r>
            <w:r w:rsidRPr="4434032B" w:rsidR="00B73F64">
              <w:rPr>
                <w:sz w:val="22"/>
                <w:szCs w:val="22"/>
              </w:rPr>
              <w:t xml:space="preserve">by 6:00 p.m. ET on October 1, 2020. </w:t>
            </w:r>
            <w:r w:rsidR="00B73F64">
              <w:rPr>
                <w:sz w:val="22"/>
                <w:szCs w:val="22"/>
              </w:rPr>
              <w:t xml:space="preserve">  The Public Notice </w:t>
            </w:r>
            <w:r w:rsidRPr="66DD0670">
              <w:rPr>
                <w:sz w:val="22"/>
                <w:szCs w:val="22"/>
              </w:rPr>
              <w:t xml:space="preserve">is available at: </w:t>
            </w:r>
            <w:hyperlink r:id="rId5" w:history="1">
              <w:r w:rsidRPr="006E1152" w:rsidR="00383948">
                <w:rPr>
                  <w:rStyle w:val="Hyperlink"/>
                  <w:sz w:val="22"/>
                  <w:szCs w:val="22"/>
                </w:rPr>
                <w:t>https://www.fcc.gov/document/fcc-announces-winning-bidders-35-ghz-band-auction</w:t>
              </w:r>
            </w:hyperlink>
          </w:p>
          <w:p w:rsidR="00BE1986" w:rsidRPr="002E165B" w:rsidP="00BE1986" w14:paraId="3D0C2563" w14:textId="77777777">
            <w:pPr>
              <w:rPr>
                <w:sz w:val="22"/>
                <w:szCs w:val="22"/>
              </w:rPr>
            </w:pPr>
          </w:p>
          <w:p w:rsidR="004F0F1F" w:rsidRPr="007475A1" w:rsidP="00850E26" w14:paraId="16032EE5" w14:textId="77777777">
            <w:pPr>
              <w:ind w:right="72"/>
              <w:jc w:val="center"/>
              <w:rPr>
                <w:sz w:val="22"/>
                <w:szCs w:val="22"/>
              </w:rPr>
            </w:pPr>
            <w:r w:rsidRPr="007475A1">
              <w:rPr>
                <w:sz w:val="22"/>
                <w:szCs w:val="22"/>
              </w:rPr>
              <w:t>###</w:t>
            </w:r>
          </w:p>
          <w:p w:rsidR="00CC5E08" w:rsidRPr="0080486B" w:rsidP="00850E26" w14:paraId="132ACF33" w14:textId="25A59AD1">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C5BA05B" w14:textId="77777777">
            <w:pPr>
              <w:ind w:right="72"/>
              <w:jc w:val="center"/>
              <w:rPr>
                <w:b/>
                <w:bCs/>
                <w:sz w:val="18"/>
                <w:szCs w:val="18"/>
              </w:rPr>
            </w:pPr>
          </w:p>
          <w:p w:rsidR="00EE0E90" w:rsidRPr="00EF729B" w:rsidP="00850E26" w14:paraId="1223B22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25AE44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B1E6506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702A8720"/>
    <w:lvl w:ilvl="0">
      <w:start w:val="1"/>
      <w:numFmt w:val="decimal"/>
      <w:pStyle w:val="ParaNum"/>
      <w:lvlText w:val="%1."/>
      <w:lvlJc w:val="left"/>
      <w:pPr>
        <w:tabs>
          <w:tab w:val="num" w:pos="1080"/>
        </w:tabs>
        <w:ind w:left="0" w:firstLine="720"/>
      </w:pPr>
      <w:rPr>
        <w:rFonts w:ascii="Times New Roman" w:hAnsi="Times New Roman"/>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0CFA"/>
    <w:rsid w:val="000C1E47"/>
    <w:rsid w:val="000C26F3"/>
    <w:rsid w:val="000E049E"/>
    <w:rsid w:val="00100525"/>
    <w:rsid w:val="0010799B"/>
    <w:rsid w:val="00117DB2"/>
    <w:rsid w:val="00123ED2"/>
    <w:rsid w:val="00124129"/>
    <w:rsid w:val="00125BE0"/>
    <w:rsid w:val="00142C13"/>
    <w:rsid w:val="00152776"/>
    <w:rsid w:val="00153222"/>
    <w:rsid w:val="001543D2"/>
    <w:rsid w:val="001577D3"/>
    <w:rsid w:val="001733A6"/>
    <w:rsid w:val="00173403"/>
    <w:rsid w:val="001865A9"/>
    <w:rsid w:val="00187DB2"/>
    <w:rsid w:val="001B20BB"/>
    <w:rsid w:val="001B3B8B"/>
    <w:rsid w:val="001C4370"/>
    <w:rsid w:val="001C5B53"/>
    <w:rsid w:val="001D3779"/>
    <w:rsid w:val="001D6FE9"/>
    <w:rsid w:val="001F0469"/>
    <w:rsid w:val="001F143D"/>
    <w:rsid w:val="00203A98"/>
    <w:rsid w:val="00206EDD"/>
    <w:rsid w:val="0021022B"/>
    <w:rsid w:val="0021247E"/>
    <w:rsid w:val="002146F6"/>
    <w:rsid w:val="0021736F"/>
    <w:rsid w:val="002246CE"/>
    <w:rsid w:val="00230D3D"/>
    <w:rsid w:val="00231C32"/>
    <w:rsid w:val="00240345"/>
    <w:rsid w:val="002421F0"/>
    <w:rsid w:val="00247274"/>
    <w:rsid w:val="00266966"/>
    <w:rsid w:val="0028234F"/>
    <w:rsid w:val="00285C36"/>
    <w:rsid w:val="00294C0C"/>
    <w:rsid w:val="002978C0"/>
    <w:rsid w:val="002A0934"/>
    <w:rsid w:val="002B1013"/>
    <w:rsid w:val="002B1AD7"/>
    <w:rsid w:val="002B41D9"/>
    <w:rsid w:val="002D03E5"/>
    <w:rsid w:val="002E165B"/>
    <w:rsid w:val="002E3F1D"/>
    <w:rsid w:val="002F31D0"/>
    <w:rsid w:val="00300359"/>
    <w:rsid w:val="0031773E"/>
    <w:rsid w:val="003269C3"/>
    <w:rsid w:val="00333871"/>
    <w:rsid w:val="00344F32"/>
    <w:rsid w:val="00347716"/>
    <w:rsid w:val="003506E1"/>
    <w:rsid w:val="00354A9E"/>
    <w:rsid w:val="003710AB"/>
    <w:rsid w:val="003727E3"/>
    <w:rsid w:val="00383948"/>
    <w:rsid w:val="00385A93"/>
    <w:rsid w:val="003909F8"/>
    <w:rsid w:val="003910F1"/>
    <w:rsid w:val="003C0F47"/>
    <w:rsid w:val="003C3004"/>
    <w:rsid w:val="003D12AA"/>
    <w:rsid w:val="003E42FC"/>
    <w:rsid w:val="003E5991"/>
    <w:rsid w:val="003F344A"/>
    <w:rsid w:val="00403FF0"/>
    <w:rsid w:val="004135CD"/>
    <w:rsid w:val="0042046D"/>
    <w:rsid w:val="0042116E"/>
    <w:rsid w:val="00425AEF"/>
    <w:rsid w:val="00426518"/>
    <w:rsid w:val="00427B06"/>
    <w:rsid w:val="00441F59"/>
    <w:rsid w:val="00444E07"/>
    <w:rsid w:val="00444FA9"/>
    <w:rsid w:val="00456FBE"/>
    <w:rsid w:val="0045781B"/>
    <w:rsid w:val="004668BC"/>
    <w:rsid w:val="00473E9C"/>
    <w:rsid w:val="00480099"/>
    <w:rsid w:val="00490F0E"/>
    <w:rsid w:val="004941A2"/>
    <w:rsid w:val="00497858"/>
    <w:rsid w:val="004A729A"/>
    <w:rsid w:val="004B4FEA"/>
    <w:rsid w:val="004C0ADA"/>
    <w:rsid w:val="004C433E"/>
    <w:rsid w:val="004C4512"/>
    <w:rsid w:val="004C4F36"/>
    <w:rsid w:val="004D3D85"/>
    <w:rsid w:val="004E2BD8"/>
    <w:rsid w:val="004F0F1F"/>
    <w:rsid w:val="004F6D88"/>
    <w:rsid w:val="005022AA"/>
    <w:rsid w:val="00502E8C"/>
    <w:rsid w:val="00504845"/>
    <w:rsid w:val="0050757F"/>
    <w:rsid w:val="00516AD2"/>
    <w:rsid w:val="005178E4"/>
    <w:rsid w:val="00545DAE"/>
    <w:rsid w:val="00571B83"/>
    <w:rsid w:val="00575A00"/>
    <w:rsid w:val="00576351"/>
    <w:rsid w:val="00577862"/>
    <w:rsid w:val="00586417"/>
    <w:rsid w:val="0058673C"/>
    <w:rsid w:val="005A48FA"/>
    <w:rsid w:val="005A7972"/>
    <w:rsid w:val="005B17E7"/>
    <w:rsid w:val="005B2643"/>
    <w:rsid w:val="005C0891"/>
    <w:rsid w:val="005D17FD"/>
    <w:rsid w:val="005E4B9E"/>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DCF"/>
    <w:rsid w:val="00674C86"/>
    <w:rsid w:val="0068015E"/>
    <w:rsid w:val="00682539"/>
    <w:rsid w:val="006861AB"/>
    <w:rsid w:val="00686B89"/>
    <w:rsid w:val="0069420F"/>
    <w:rsid w:val="006A2FC5"/>
    <w:rsid w:val="006A75AB"/>
    <w:rsid w:val="006A7D75"/>
    <w:rsid w:val="006B0A70"/>
    <w:rsid w:val="006B606A"/>
    <w:rsid w:val="006C33AF"/>
    <w:rsid w:val="006D16EF"/>
    <w:rsid w:val="006D5D22"/>
    <w:rsid w:val="006E0324"/>
    <w:rsid w:val="006E1152"/>
    <w:rsid w:val="006E4A76"/>
    <w:rsid w:val="006F1DBD"/>
    <w:rsid w:val="00700556"/>
    <w:rsid w:val="0070589A"/>
    <w:rsid w:val="00707926"/>
    <w:rsid w:val="00712A32"/>
    <w:rsid w:val="00714B08"/>
    <w:rsid w:val="007167DD"/>
    <w:rsid w:val="0072478B"/>
    <w:rsid w:val="0073414D"/>
    <w:rsid w:val="00742F06"/>
    <w:rsid w:val="00744916"/>
    <w:rsid w:val="007475A1"/>
    <w:rsid w:val="0075235E"/>
    <w:rsid w:val="007528A5"/>
    <w:rsid w:val="00765BBC"/>
    <w:rsid w:val="007732CC"/>
    <w:rsid w:val="00774079"/>
    <w:rsid w:val="0077752B"/>
    <w:rsid w:val="007802D0"/>
    <w:rsid w:val="00793D6F"/>
    <w:rsid w:val="00794090"/>
    <w:rsid w:val="007A44F8"/>
    <w:rsid w:val="007B4CED"/>
    <w:rsid w:val="007B7618"/>
    <w:rsid w:val="007D06B2"/>
    <w:rsid w:val="007D21BF"/>
    <w:rsid w:val="007E5B09"/>
    <w:rsid w:val="007F32F9"/>
    <w:rsid w:val="007F3C12"/>
    <w:rsid w:val="007F5205"/>
    <w:rsid w:val="0080455A"/>
    <w:rsid w:val="0080486B"/>
    <w:rsid w:val="008215E7"/>
    <w:rsid w:val="00824520"/>
    <w:rsid w:val="00830FC6"/>
    <w:rsid w:val="00850E26"/>
    <w:rsid w:val="00865EAA"/>
    <w:rsid w:val="00866F06"/>
    <w:rsid w:val="008728F5"/>
    <w:rsid w:val="008824C2"/>
    <w:rsid w:val="00883B1E"/>
    <w:rsid w:val="008960E4"/>
    <w:rsid w:val="008A3940"/>
    <w:rsid w:val="008B0D7B"/>
    <w:rsid w:val="008B13C9"/>
    <w:rsid w:val="008B2DB2"/>
    <w:rsid w:val="008C248C"/>
    <w:rsid w:val="008C5432"/>
    <w:rsid w:val="008C7BF1"/>
    <w:rsid w:val="008D00D6"/>
    <w:rsid w:val="008D1E7F"/>
    <w:rsid w:val="008D4D00"/>
    <w:rsid w:val="008D4E5E"/>
    <w:rsid w:val="008D7ABD"/>
    <w:rsid w:val="008E55A2"/>
    <w:rsid w:val="008F1609"/>
    <w:rsid w:val="008F3DBE"/>
    <w:rsid w:val="008F78D8"/>
    <w:rsid w:val="0091028E"/>
    <w:rsid w:val="00931EDF"/>
    <w:rsid w:val="0093373C"/>
    <w:rsid w:val="00961620"/>
    <w:rsid w:val="009734B6"/>
    <w:rsid w:val="0098096F"/>
    <w:rsid w:val="0098437A"/>
    <w:rsid w:val="00986C92"/>
    <w:rsid w:val="00993C47"/>
    <w:rsid w:val="00996A8E"/>
    <w:rsid w:val="009972BC"/>
    <w:rsid w:val="009B4B16"/>
    <w:rsid w:val="009C2C97"/>
    <w:rsid w:val="009E54A1"/>
    <w:rsid w:val="009F4E25"/>
    <w:rsid w:val="009F5B1F"/>
    <w:rsid w:val="00A107DE"/>
    <w:rsid w:val="00A143F3"/>
    <w:rsid w:val="00A225A9"/>
    <w:rsid w:val="00A3308E"/>
    <w:rsid w:val="00A35DFD"/>
    <w:rsid w:val="00A702DF"/>
    <w:rsid w:val="00A775A3"/>
    <w:rsid w:val="00A81700"/>
    <w:rsid w:val="00A81B5B"/>
    <w:rsid w:val="00A82FAD"/>
    <w:rsid w:val="00A9673A"/>
    <w:rsid w:val="00A96EF2"/>
    <w:rsid w:val="00AA5C35"/>
    <w:rsid w:val="00AA5ED9"/>
    <w:rsid w:val="00AC0A38"/>
    <w:rsid w:val="00AC3C72"/>
    <w:rsid w:val="00AC4E0E"/>
    <w:rsid w:val="00AC517B"/>
    <w:rsid w:val="00AD0B8C"/>
    <w:rsid w:val="00AD0D19"/>
    <w:rsid w:val="00AD2447"/>
    <w:rsid w:val="00AD4184"/>
    <w:rsid w:val="00AE6E4B"/>
    <w:rsid w:val="00AF051B"/>
    <w:rsid w:val="00B037A2"/>
    <w:rsid w:val="00B31870"/>
    <w:rsid w:val="00B320B8"/>
    <w:rsid w:val="00B3404C"/>
    <w:rsid w:val="00B35EE2"/>
    <w:rsid w:val="00B36DEF"/>
    <w:rsid w:val="00B47CCB"/>
    <w:rsid w:val="00B516F1"/>
    <w:rsid w:val="00B54834"/>
    <w:rsid w:val="00B57131"/>
    <w:rsid w:val="00B610C0"/>
    <w:rsid w:val="00B62F2C"/>
    <w:rsid w:val="00B6608D"/>
    <w:rsid w:val="00B671A0"/>
    <w:rsid w:val="00B727C9"/>
    <w:rsid w:val="00B735C8"/>
    <w:rsid w:val="00B73F64"/>
    <w:rsid w:val="00B76A63"/>
    <w:rsid w:val="00B84AF5"/>
    <w:rsid w:val="00B852EE"/>
    <w:rsid w:val="00BA6350"/>
    <w:rsid w:val="00BB4E29"/>
    <w:rsid w:val="00BB74C9"/>
    <w:rsid w:val="00BC3AB6"/>
    <w:rsid w:val="00BD19E8"/>
    <w:rsid w:val="00BD4273"/>
    <w:rsid w:val="00BE1986"/>
    <w:rsid w:val="00BF3114"/>
    <w:rsid w:val="00C040BA"/>
    <w:rsid w:val="00C23F02"/>
    <w:rsid w:val="00C31ED8"/>
    <w:rsid w:val="00C432E4"/>
    <w:rsid w:val="00C616CA"/>
    <w:rsid w:val="00C66018"/>
    <w:rsid w:val="00C70C26"/>
    <w:rsid w:val="00C72001"/>
    <w:rsid w:val="00C772B7"/>
    <w:rsid w:val="00C80347"/>
    <w:rsid w:val="00C831ED"/>
    <w:rsid w:val="00CB0658"/>
    <w:rsid w:val="00CB24D2"/>
    <w:rsid w:val="00CB6AA3"/>
    <w:rsid w:val="00CB7C1A"/>
    <w:rsid w:val="00CC5E08"/>
    <w:rsid w:val="00CE05BD"/>
    <w:rsid w:val="00CE14FD"/>
    <w:rsid w:val="00CF6860"/>
    <w:rsid w:val="00D02AC6"/>
    <w:rsid w:val="00D03F0C"/>
    <w:rsid w:val="00D04312"/>
    <w:rsid w:val="00D16A7F"/>
    <w:rsid w:val="00D16AD2"/>
    <w:rsid w:val="00D16D74"/>
    <w:rsid w:val="00D22596"/>
    <w:rsid w:val="00D22691"/>
    <w:rsid w:val="00D24C3D"/>
    <w:rsid w:val="00D30B2B"/>
    <w:rsid w:val="00D44715"/>
    <w:rsid w:val="00D46CB1"/>
    <w:rsid w:val="00D723F0"/>
    <w:rsid w:val="00D80552"/>
    <w:rsid w:val="00D8133F"/>
    <w:rsid w:val="00D86198"/>
    <w:rsid w:val="00D861EE"/>
    <w:rsid w:val="00D95B05"/>
    <w:rsid w:val="00D97E2D"/>
    <w:rsid w:val="00DA103D"/>
    <w:rsid w:val="00DA45D3"/>
    <w:rsid w:val="00DA4772"/>
    <w:rsid w:val="00DA730E"/>
    <w:rsid w:val="00DA7B44"/>
    <w:rsid w:val="00DB2667"/>
    <w:rsid w:val="00DB67B7"/>
    <w:rsid w:val="00DC15A9"/>
    <w:rsid w:val="00DC40AA"/>
    <w:rsid w:val="00DC5D5E"/>
    <w:rsid w:val="00DD1750"/>
    <w:rsid w:val="00DD6933"/>
    <w:rsid w:val="00DE11E0"/>
    <w:rsid w:val="00DF2D62"/>
    <w:rsid w:val="00DF4E7D"/>
    <w:rsid w:val="00E123D3"/>
    <w:rsid w:val="00E330F5"/>
    <w:rsid w:val="00E349AA"/>
    <w:rsid w:val="00E41390"/>
    <w:rsid w:val="00E41CA0"/>
    <w:rsid w:val="00E4366B"/>
    <w:rsid w:val="00E50A4A"/>
    <w:rsid w:val="00E606DE"/>
    <w:rsid w:val="00E644FE"/>
    <w:rsid w:val="00E72733"/>
    <w:rsid w:val="00E742FA"/>
    <w:rsid w:val="00E76816"/>
    <w:rsid w:val="00E7785F"/>
    <w:rsid w:val="00E80853"/>
    <w:rsid w:val="00E83DBF"/>
    <w:rsid w:val="00E87C13"/>
    <w:rsid w:val="00E941A9"/>
    <w:rsid w:val="00E94CD9"/>
    <w:rsid w:val="00EA1A76"/>
    <w:rsid w:val="00EA290B"/>
    <w:rsid w:val="00EA477A"/>
    <w:rsid w:val="00EC4397"/>
    <w:rsid w:val="00EE0E90"/>
    <w:rsid w:val="00EE681B"/>
    <w:rsid w:val="00EF3BCA"/>
    <w:rsid w:val="00EF729B"/>
    <w:rsid w:val="00F01B0D"/>
    <w:rsid w:val="00F1238F"/>
    <w:rsid w:val="00F16485"/>
    <w:rsid w:val="00F20390"/>
    <w:rsid w:val="00F228ED"/>
    <w:rsid w:val="00F263BA"/>
    <w:rsid w:val="00F26E31"/>
    <w:rsid w:val="00F27C6C"/>
    <w:rsid w:val="00F34A8D"/>
    <w:rsid w:val="00F4497D"/>
    <w:rsid w:val="00F50D25"/>
    <w:rsid w:val="00F535D8"/>
    <w:rsid w:val="00F61155"/>
    <w:rsid w:val="00F708E3"/>
    <w:rsid w:val="00F73DCF"/>
    <w:rsid w:val="00F76561"/>
    <w:rsid w:val="00F84736"/>
    <w:rsid w:val="00F8555D"/>
    <w:rsid w:val="00FC4CA7"/>
    <w:rsid w:val="00FC6C29"/>
    <w:rsid w:val="00FD58E0"/>
    <w:rsid w:val="00FD71AE"/>
    <w:rsid w:val="00FDBB50"/>
    <w:rsid w:val="00FE0198"/>
    <w:rsid w:val="00FE3A7C"/>
    <w:rsid w:val="00FF1C0B"/>
    <w:rsid w:val="00FF232D"/>
    <w:rsid w:val="00FF5452"/>
    <w:rsid w:val="00FF7F9B"/>
    <w:rsid w:val="01D012BF"/>
    <w:rsid w:val="10D72DBA"/>
    <w:rsid w:val="125A6CDD"/>
    <w:rsid w:val="1686F47F"/>
    <w:rsid w:val="299A26D6"/>
    <w:rsid w:val="2C582B5A"/>
    <w:rsid w:val="2F3FAAC0"/>
    <w:rsid w:val="3F982170"/>
    <w:rsid w:val="4434032B"/>
    <w:rsid w:val="44F030FF"/>
    <w:rsid w:val="4E4C286E"/>
    <w:rsid w:val="586211C4"/>
    <w:rsid w:val="5BFCFC1A"/>
    <w:rsid w:val="66DD0670"/>
    <w:rsid w:val="718FC97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ADD98185-891C-4A5A-82B6-7D6C2CB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4135CD"/>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link w:val="Heading2Char"/>
    <w:autoRedefine/>
    <w:qFormat/>
    <w:rsid w:val="004135CD"/>
    <w:pPr>
      <w:keepNext/>
      <w:widowControl w:val="0"/>
      <w:numPr>
        <w:ilvl w:val="1"/>
        <w:numId w:val="3"/>
      </w:numPr>
      <w:spacing w:after="120"/>
      <w:outlineLvl w:val="1"/>
    </w:pPr>
    <w:rPr>
      <w:b/>
      <w:snapToGrid w:val="0"/>
      <w:kern w:val="28"/>
      <w:sz w:val="22"/>
      <w:szCs w:val="20"/>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4135CD"/>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4135CD"/>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4135CD"/>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4135CD"/>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4135CD"/>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4135CD"/>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link w:val="Heading9Char"/>
    <w:qFormat/>
    <w:rsid w:val="004135CD"/>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178E4"/>
    <w:rPr>
      <w:sz w:val="16"/>
      <w:szCs w:val="16"/>
    </w:rPr>
  </w:style>
  <w:style w:type="paragraph" w:styleId="CommentText">
    <w:name w:val="annotation text"/>
    <w:basedOn w:val="Normal"/>
    <w:link w:val="CommentTextChar"/>
    <w:semiHidden/>
    <w:unhideWhenUsed/>
    <w:rsid w:val="005178E4"/>
    <w:rPr>
      <w:sz w:val="20"/>
      <w:szCs w:val="20"/>
    </w:rPr>
  </w:style>
  <w:style w:type="character" w:customStyle="1" w:styleId="CommentTextChar">
    <w:name w:val="Comment Text Char"/>
    <w:basedOn w:val="DefaultParagraphFont"/>
    <w:link w:val="CommentText"/>
    <w:semiHidden/>
    <w:rsid w:val="005178E4"/>
  </w:style>
  <w:style w:type="paragraph" w:styleId="CommentSubject">
    <w:name w:val="annotation subject"/>
    <w:basedOn w:val="CommentText"/>
    <w:next w:val="CommentText"/>
    <w:link w:val="CommentSubjectChar"/>
    <w:semiHidden/>
    <w:unhideWhenUsed/>
    <w:rsid w:val="005178E4"/>
    <w:rPr>
      <w:b/>
      <w:bCs/>
    </w:rPr>
  </w:style>
  <w:style w:type="character" w:customStyle="1" w:styleId="CommentSubjectChar">
    <w:name w:val="Comment Subject Char"/>
    <w:basedOn w:val="CommentTextChar"/>
    <w:link w:val="CommentSubject"/>
    <w:semiHidden/>
    <w:rsid w:val="005178E4"/>
    <w:rPr>
      <w:b/>
      <w:bCs/>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1 Char1 Char"/>
    <w:basedOn w:val="DefaultParagraphFont"/>
    <w:link w:val="Heading1"/>
    <w:rsid w:val="004135CD"/>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basedOn w:val="DefaultParagraphFont"/>
    <w:link w:val="Heading2"/>
    <w:rsid w:val="004135CD"/>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basedOn w:val="DefaultParagraphFont"/>
    <w:link w:val="Heading3"/>
    <w:rsid w:val="004135CD"/>
    <w:rPr>
      <w:b/>
      <w:snapToGrid w:val="0"/>
      <w:kern w:val="28"/>
      <w:sz w:val="22"/>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basedOn w:val="DefaultParagraphFont"/>
    <w:link w:val="Heading4"/>
    <w:rsid w:val="004135CD"/>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4135CD"/>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4135CD"/>
    <w:rPr>
      <w:b/>
      <w:snapToGrid w:val="0"/>
      <w:kern w:val="28"/>
      <w:sz w:val="22"/>
    </w:rPr>
  </w:style>
  <w:style w:type="character" w:customStyle="1" w:styleId="Heading7Char">
    <w:name w:val="Heading 7 Char"/>
    <w:basedOn w:val="DefaultParagraphFont"/>
    <w:link w:val="Heading7"/>
    <w:rsid w:val="004135CD"/>
    <w:rPr>
      <w:b/>
      <w:snapToGrid w:val="0"/>
      <w:kern w:val="28"/>
      <w:sz w:val="22"/>
    </w:rPr>
  </w:style>
  <w:style w:type="character" w:customStyle="1" w:styleId="Heading8Char">
    <w:name w:val="Heading 8 Char"/>
    <w:basedOn w:val="DefaultParagraphFont"/>
    <w:link w:val="Heading8"/>
    <w:rsid w:val="004135CD"/>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4135CD"/>
    <w:rPr>
      <w:b/>
      <w:snapToGrid w:val="0"/>
      <w:kern w:val="28"/>
      <w:sz w:val="22"/>
    </w:rPr>
  </w:style>
  <w:style w:type="paragraph" w:customStyle="1" w:styleId="ParaNum">
    <w:name w:val="ParaNum"/>
    <w:basedOn w:val="Normal"/>
    <w:rsid w:val="004135CD"/>
    <w:pPr>
      <w:widowControl w:val="0"/>
      <w:numPr>
        <w:numId w:val="2"/>
      </w:numPr>
      <w:spacing w:after="120"/>
    </w:pPr>
    <w:rPr>
      <w:snapToGrid w:val="0"/>
      <w:kern w:val="28"/>
      <w:sz w:val="22"/>
      <w:szCs w:val="20"/>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qFormat/>
    <w:rsid w:val="004135CD"/>
    <w:pPr>
      <w:spacing w:after="120"/>
    </w:p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basedOn w:val="DefaultParagraphFont"/>
    <w:link w:val="FootnoteText"/>
    <w:rsid w:val="004135CD"/>
  </w:style>
  <w:style w:type="character" w:styleId="FootnoteReference">
    <w:name w:val="footnote reference"/>
    <w:aliases w:val="(NECG) Footnote Reference,Appel note de bas de p,FR,Footnote Reference/,Footnote Reference1,Style 12,Style 124,Style 13,Style 17,Style 3,Style 4,Style 6,Style 7,fr,o"/>
    <w:rsid w:val="004135CD"/>
    <w:rPr>
      <w:rFonts w:ascii="Times New Roman" w:hAnsi="Times New Roman"/>
      <w:dstrike w:val="0"/>
      <w:color w:val="auto"/>
      <w:sz w:val="22"/>
      <w:vertAlign w:val="superscript"/>
    </w:rPr>
  </w:style>
  <w:style w:type="table" w:styleId="TableGrid">
    <w:name w:val="Table Grid"/>
    <w:basedOn w:val="TableNormal"/>
    <w:rsid w:val="003C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3269C3"/>
    <w:pPr>
      <w:tabs>
        <w:tab w:val="center" w:pos="4680"/>
        <w:tab w:val="right" w:pos="9360"/>
      </w:tabs>
    </w:pPr>
  </w:style>
  <w:style w:type="character" w:customStyle="1" w:styleId="HeaderChar">
    <w:name w:val="Header Char"/>
    <w:basedOn w:val="DefaultParagraphFont"/>
    <w:link w:val="Header"/>
    <w:semiHidden/>
    <w:rsid w:val="003269C3"/>
    <w:rPr>
      <w:sz w:val="24"/>
      <w:szCs w:val="24"/>
    </w:rPr>
  </w:style>
  <w:style w:type="paragraph" w:styleId="Footer">
    <w:name w:val="footer"/>
    <w:basedOn w:val="Normal"/>
    <w:link w:val="FooterChar"/>
    <w:semiHidden/>
    <w:unhideWhenUsed/>
    <w:rsid w:val="003269C3"/>
    <w:pPr>
      <w:tabs>
        <w:tab w:val="center" w:pos="4680"/>
        <w:tab w:val="right" w:pos="9360"/>
      </w:tabs>
    </w:pPr>
  </w:style>
  <w:style w:type="character" w:customStyle="1" w:styleId="FooterChar">
    <w:name w:val="Footer Char"/>
    <w:basedOn w:val="DefaultParagraphFont"/>
    <w:link w:val="Footer"/>
    <w:semiHidden/>
    <w:rsid w:val="00326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nnounces-winning-bidders-35-ghz-band-aucti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