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B201B" w:rsidP="008311F2" w14:paraId="6D6090EE" w14:textId="71BFAF0A">
      <w:pPr>
        <w:tabs>
          <w:tab w:val="left" w:pos="-720"/>
        </w:tabs>
        <w:suppressAutoHyphens/>
        <w:jc w:val="right"/>
        <w:rPr>
          <w:rFonts w:ascii="Times New Roman" w:hAnsi="Times New Roman"/>
          <w:b/>
          <w:spacing w:val="-2"/>
          <w:sz w:val="24"/>
          <w:szCs w:val="24"/>
        </w:rPr>
      </w:pPr>
      <w:r>
        <w:rPr>
          <w:rFonts w:ascii="Times New Roman" w:hAnsi="Times New Roman"/>
          <w:b/>
          <w:spacing w:val="-2"/>
          <w:sz w:val="24"/>
          <w:szCs w:val="24"/>
        </w:rPr>
        <w:t>DA 20-</w:t>
      </w:r>
      <w:r w:rsidR="00514F06">
        <w:rPr>
          <w:rFonts w:ascii="Times New Roman" w:hAnsi="Times New Roman"/>
          <w:b/>
          <w:spacing w:val="-2"/>
          <w:sz w:val="24"/>
          <w:szCs w:val="24"/>
        </w:rPr>
        <w:t>1051</w:t>
      </w:r>
      <w:bookmarkStart w:id="0" w:name="_GoBack"/>
      <w:bookmarkEnd w:id="0"/>
    </w:p>
    <w:p w:rsidR="00FA5D2B" w14:paraId="2BD4D73D" w14:textId="77777777">
      <w:pPr>
        <w:tabs>
          <w:tab w:val="left" w:pos="-720"/>
        </w:tabs>
        <w:suppressAutoHyphens/>
        <w:jc w:val="center"/>
        <w:rPr>
          <w:rFonts w:ascii="Times New Roman" w:hAnsi="Times New Roman"/>
          <w:b/>
          <w:spacing w:val="-2"/>
          <w:sz w:val="24"/>
          <w:szCs w:val="24"/>
        </w:rPr>
      </w:pPr>
    </w:p>
    <w:p w:rsidR="002E2BF1" w14:paraId="4C44C116" w14:textId="11ED413C">
      <w:pPr>
        <w:tabs>
          <w:tab w:val="left" w:pos="-720"/>
        </w:tabs>
        <w:suppressAutoHyphens/>
        <w:jc w:val="center"/>
        <w:rPr>
          <w:rFonts w:ascii="Times New Roman" w:hAnsi="Times New Roman"/>
          <w:b/>
          <w:spacing w:val="-2"/>
          <w:sz w:val="24"/>
          <w:szCs w:val="24"/>
        </w:rPr>
      </w:pPr>
      <w:r>
        <w:rPr>
          <w:rFonts w:ascii="Times New Roman" w:hAnsi="Times New Roman"/>
          <w:b/>
          <w:spacing w:val="-2"/>
          <w:sz w:val="24"/>
          <w:szCs w:val="24"/>
        </w:rPr>
        <w:t>WHAT YOU OWE – COMMERCIAL WIRELESS SERVICES FOR FY 20</w:t>
      </w:r>
      <w:r w:rsidR="007B201B">
        <w:rPr>
          <w:rFonts w:ascii="Times New Roman" w:hAnsi="Times New Roman"/>
          <w:b/>
          <w:spacing w:val="-2"/>
          <w:sz w:val="24"/>
          <w:szCs w:val="24"/>
        </w:rPr>
        <w:t>20</w:t>
      </w:r>
    </w:p>
    <w:p w:rsidR="008311F2" w14:paraId="55EC4DE6" w14:textId="24F9066F">
      <w:pPr>
        <w:tabs>
          <w:tab w:val="left" w:pos="-720"/>
        </w:tabs>
        <w:suppressAutoHyphens/>
        <w:jc w:val="center"/>
        <w:rPr>
          <w:rFonts w:ascii="Times New Roman" w:hAnsi="Times New Roman"/>
          <w:b/>
          <w:spacing w:val="-2"/>
          <w:sz w:val="24"/>
          <w:szCs w:val="24"/>
        </w:rPr>
      </w:pPr>
      <w:r>
        <w:rPr>
          <w:rFonts w:ascii="Times New Roman" w:hAnsi="Times New Roman"/>
          <w:b/>
          <w:spacing w:val="-2"/>
          <w:sz w:val="24"/>
          <w:szCs w:val="24"/>
        </w:rPr>
        <w:t>REGULATORY FEES</w:t>
      </w:r>
    </w:p>
    <w:p w:rsidR="002E2BF1" w14:paraId="04B041DC" w14:textId="77777777">
      <w:pPr>
        <w:tabs>
          <w:tab w:val="center" w:pos="4680"/>
        </w:tabs>
        <w:suppressAutoHyphens/>
        <w:spacing w:line="167" w:lineRule="auto"/>
        <w:jc w:val="both"/>
        <w:rPr>
          <w:rFonts w:ascii="Times New Roman" w:hAnsi="Times New Roman"/>
          <w:b/>
          <w:spacing w:val="-2"/>
          <w:sz w:val="24"/>
          <w:szCs w:val="24"/>
        </w:rPr>
      </w:pPr>
      <w:r>
        <w:rPr>
          <w:rFonts w:ascii="Times New Roman" w:hAnsi="Times New Roman"/>
          <w:b/>
          <w:spacing w:val="-2"/>
          <w:sz w:val="24"/>
          <w:szCs w:val="24"/>
        </w:rPr>
        <w:tab/>
      </w:r>
    </w:p>
    <w:p w:rsidR="002E2BF1" w14:paraId="78DB58BB" w14:textId="77777777">
      <w:pPr>
        <w:tabs>
          <w:tab w:val="left" w:pos="-720"/>
        </w:tabs>
        <w:suppressAutoHyphens/>
        <w:rPr>
          <w:rFonts w:ascii="Times New Roman" w:hAnsi="Times New Roman"/>
          <w:spacing w:val="-3"/>
          <w:sz w:val="24"/>
          <w:szCs w:val="24"/>
        </w:rPr>
      </w:pPr>
    </w:p>
    <w:p w:rsidR="002E2BF1" w:rsidRPr="001F6CA3" w:rsidP="002E2BF1" w14:paraId="11E7E689" w14:textId="36EA3356">
      <w:pPr>
        <w:shd w:val="clear" w:color="auto" w:fill="FFFFFF"/>
        <w:rPr>
          <w:rFonts w:ascii="Times New Roman" w:hAnsi="Times New Roman"/>
          <w:i/>
          <w:iCs/>
          <w:sz w:val="22"/>
          <w:szCs w:val="22"/>
          <w:u w:val="single"/>
        </w:rPr>
      </w:pPr>
      <w:r w:rsidRPr="001F6CA3">
        <w:rPr>
          <w:rFonts w:ascii="Times New Roman" w:hAnsi="Times New Roman"/>
          <w:sz w:val="22"/>
          <w:szCs w:val="22"/>
        </w:rPr>
        <w:t>Each year, the Commission is required to collect regulatory f</w:t>
      </w:r>
      <w:r w:rsidRPr="001F6CA3">
        <w:rPr>
          <w:rFonts w:ascii="Times New Roman" w:hAnsi="Times New Roman"/>
          <w:snapToGrid w:val="0"/>
          <w:sz w:val="22"/>
          <w:szCs w:val="22"/>
        </w:rPr>
        <w:t xml:space="preserve">ees.  Licensees </w:t>
      </w:r>
      <w:r w:rsidRPr="001F6CA3">
        <w:rPr>
          <w:rFonts w:ascii="Times New Roman" w:hAnsi="Times New Roman"/>
          <w:sz w:val="22"/>
          <w:szCs w:val="22"/>
        </w:rPr>
        <w:t xml:space="preserve">and </w:t>
      </w:r>
      <w:r w:rsidRPr="001F6CA3">
        <w:rPr>
          <w:rFonts w:ascii="Times New Roman" w:hAnsi="Times New Roman"/>
          <w:sz w:val="22"/>
          <w:szCs w:val="22"/>
        </w:rPr>
        <w:t>regulatees</w:t>
      </w:r>
      <w:r w:rsidRPr="001F6CA3">
        <w:rPr>
          <w:rFonts w:ascii="Times New Roman" w:hAnsi="Times New Roman"/>
          <w:sz w:val="22"/>
          <w:szCs w:val="22"/>
        </w:rPr>
        <w:t xml:space="preserve"> are assessed fees as set forth in </w:t>
      </w:r>
      <w:r w:rsidRPr="001F6CA3">
        <w:rPr>
          <w:rFonts w:ascii="Times New Roman" w:hAnsi="Times New Roman"/>
          <w:i/>
          <w:sz w:val="22"/>
          <w:szCs w:val="22"/>
        </w:rPr>
        <w:t>Assessment and Collection of Regulatory Fees for Fiscal Year 20</w:t>
      </w:r>
      <w:r w:rsidR="007B201B">
        <w:rPr>
          <w:rFonts w:ascii="Times New Roman" w:hAnsi="Times New Roman"/>
          <w:i/>
          <w:sz w:val="22"/>
          <w:szCs w:val="22"/>
        </w:rPr>
        <w:t>20</w:t>
      </w:r>
      <w:r w:rsidRPr="001F6CA3">
        <w:rPr>
          <w:rFonts w:ascii="Times New Roman" w:hAnsi="Times New Roman"/>
          <w:i/>
          <w:sz w:val="22"/>
          <w:szCs w:val="22"/>
        </w:rPr>
        <w:t>,</w:t>
      </w:r>
      <w:r w:rsidRPr="001F6CA3">
        <w:rPr>
          <w:rFonts w:ascii="Times New Roman" w:hAnsi="Times New Roman"/>
          <w:sz w:val="22"/>
          <w:szCs w:val="22"/>
        </w:rPr>
        <w:t xml:space="preserve"> </w:t>
      </w:r>
      <w:r w:rsidRPr="001F6CA3">
        <w:rPr>
          <w:rFonts w:ascii="Times New Roman" w:hAnsi="Times New Roman"/>
          <w:i/>
          <w:sz w:val="22"/>
          <w:szCs w:val="22"/>
        </w:rPr>
        <w:t>Report and Order</w:t>
      </w:r>
      <w:r w:rsidR="000C59E9">
        <w:rPr>
          <w:rFonts w:ascii="Times New Roman" w:hAnsi="Times New Roman"/>
          <w:i/>
          <w:sz w:val="22"/>
          <w:szCs w:val="22"/>
        </w:rPr>
        <w:t xml:space="preserve"> </w:t>
      </w:r>
      <w:r w:rsidR="00E200C2">
        <w:rPr>
          <w:rFonts w:ascii="Times New Roman" w:hAnsi="Times New Roman"/>
          <w:i/>
          <w:sz w:val="22"/>
          <w:szCs w:val="22"/>
        </w:rPr>
        <w:t xml:space="preserve">and Further Notice of Proposed Rulemaking </w:t>
      </w:r>
      <w:r w:rsidR="00D907F6">
        <w:rPr>
          <w:rFonts w:ascii="Times New Roman" w:hAnsi="Times New Roman"/>
          <w:sz w:val="22"/>
          <w:szCs w:val="22"/>
        </w:rPr>
        <w:t>(</w:t>
      </w:r>
      <w:r>
        <w:rPr>
          <w:rFonts w:ascii="Times New Roman" w:hAnsi="Times New Roman"/>
          <w:sz w:val="22"/>
          <w:szCs w:val="22"/>
        </w:rPr>
        <w:t xml:space="preserve">released </w:t>
      </w:r>
      <w:r w:rsidR="00D907F6">
        <w:rPr>
          <w:rFonts w:ascii="Times New Roman" w:hAnsi="Times New Roman"/>
          <w:sz w:val="22"/>
          <w:szCs w:val="22"/>
        </w:rPr>
        <w:t>August</w:t>
      </w:r>
      <w:r w:rsidR="00BF7DEE">
        <w:rPr>
          <w:rFonts w:ascii="Times New Roman" w:hAnsi="Times New Roman"/>
          <w:sz w:val="22"/>
          <w:szCs w:val="22"/>
        </w:rPr>
        <w:t xml:space="preserve"> </w:t>
      </w:r>
      <w:r w:rsidR="007B201B">
        <w:rPr>
          <w:rFonts w:ascii="Times New Roman" w:hAnsi="Times New Roman"/>
          <w:sz w:val="22"/>
          <w:szCs w:val="22"/>
        </w:rPr>
        <w:t>31</w:t>
      </w:r>
      <w:r w:rsidRPr="001F6CA3">
        <w:rPr>
          <w:rFonts w:ascii="Times New Roman" w:hAnsi="Times New Roman"/>
          <w:sz w:val="22"/>
          <w:szCs w:val="22"/>
        </w:rPr>
        <w:t>, 20</w:t>
      </w:r>
      <w:r w:rsidR="007B201B">
        <w:rPr>
          <w:rFonts w:ascii="Times New Roman" w:hAnsi="Times New Roman"/>
          <w:sz w:val="22"/>
          <w:szCs w:val="22"/>
        </w:rPr>
        <w:t>20</w:t>
      </w:r>
      <w:r w:rsidRPr="001F6CA3">
        <w:rPr>
          <w:rFonts w:ascii="Times New Roman" w:hAnsi="Times New Roman"/>
          <w:sz w:val="22"/>
          <w:szCs w:val="22"/>
        </w:rPr>
        <w:t xml:space="preserve">) </w:t>
      </w:r>
      <w:r w:rsidRPr="001F6CA3">
        <w:rPr>
          <w:rFonts w:ascii="Times New Roman" w:hAnsi="Times New Roman"/>
          <w:i/>
          <w:sz w:val="22"/>
          <w:szCs w:val="22"/>
        </w:rPr>
        <w:t>(</w:t>
      </w:r>
      <w:r w:rsidRPr="00C75770">
        <w:rPr>
          <w:rFonts w:ascii="Times New Roman" w:hAnsi="Times New Roman"/>
          <w:i/>
          <w:iCs/>
          <w:sz w:val="22"/>
          <w:szCs w:val="22"/>
        </w:rPr>
        <w:t>FY 20</w:t>
      </w:r>
      <w:r w:rsidRPr="00C75770" w:rsidR="007B201B">
        <w:rPr>
          <w:rFonts w:ascii="Times New Roman" w:hAnsi="Times New Roman"/>
          <w:i/>
          <w:iCs/>
          <w:sz w:val="22"/>
          <w:szCs w:val="22"/>
        </w:rPr>
        <w:t>20</w:t>
      </w:r>
      <w:r w:rsidRPr="00C75770">
        <w:rPr>
          <w:rFonts w:ascii="Times New Roman" w:hAnsi="Times New Roman"/>
          <w:i/>
          <w:iCs/>
          <w:sz w:val="22"/>
          <w:szCs w:val="22"/>
        </w:rPr>
        <w:t xml:space="preserve"> Regulatory Fees</w:t>
      </w:r>
      <w:r w:rsidRPr="00C65948">
        <w:rPr>
          <w:rFonts w:ascii="Times New Roman" w:hAnsi="Times New Roman"/>
          <w:i/>
          <w:iCs/>
          <w:sz w:val="22"/>
          <w:szCs w:val="22"/>
        </w:rPr>
        <w:t>,</w:t>
      </w:r>
      <w:r w:rsidRPr="001F6CA3">
        <w:rPr>
          <w:rFonts w:ascii="Times New Roman" w:hAnsi="Times New Roman"/>
          <w:i/>
          <w:sz w:val="22"/>
          <w:szCs w:val="22"/>
        </w:rPr>
        <w:t xml:space="preserve"> Report</w:t>
      </w:r>
      <w:r w:rsidR="00C65948">
        <w:rPr>
          <w:rFonts w:ascii="Times New Roman" w:hAnsi="Times New Roman"/>
          <w:i/>
          <w:sz w:val="22"/>
          <w:szCs w:val="22"/>
        </w:rPr>
        <w:t xml:space="preserve"> and Order</w:t>
      </w:r>
      <w:r w:rsidRPr="001F6CA3">
        <w:rPr>
          <w:rFonts w:ascii="Times New Roman" w:hAnsi="Times New Roman"/>
          <w:sz w:val="22"/>
          <w:szCs w:val="22"/>
        </w:rPr>
        <w:t xml:space="preserve">).  The Commission also publishes industry-specific guidance in </w:t>
      </w:r>
      <w:r w:rsidRPr="001F6CA3">
        <w:rPr>
          <w:rFonts w:ascii="Times New Roman" w:hAnsi="Times New Roman"/>
          <w:i/>
          <w:iCs/>
          <w:sz w:val="22"/>
          <w:szCs w:val="22"/>
        </w:rPr>
        <w:t>Who Owes Fees &amp; What Is My FY 20</w:t>
      </w:r>
      <w:r w:rsidR="007B201B">
        <w:rPr>
          <w:rFonts w:ascii="Times New Roman" w:hAnsi="Times New Roman"/>
          <w:i/>
          <w:iCs/>
          <w:sz w:val="22"/>
          <w:szCs w:val="22"/>
        </w:rPr>
        <w:t>20</w:t>
      </w:r>
      <w:r w:rsidRPr="001F6CA3">
        <w:rPr>
          <w:rFonts w:ascii="Times New Roman" w:hAnsi="Times New Roman"/>
          <w:i/>
          <w:iCs/>
          <w:sz w:val="22"/>
          <w:szCs w:val="22"/>
        </w:rPr>
        <w:t xml:space="preserve"> Fee, </w:t>
      </w:r>
      <w:r w:rsidRPr="001F6CA3">
        <w:rPr>
          <w:rFonts w:ascii="Times New Roman" w:hAnsi="Times New Roman"/>
          <w:sz w:val="22"/>
          <w:szCs w:val="22"/>
        </w:rPr>
        <w:t xml:space="preserve">which can be found on the Commission website at </w:t>
      </w:r>
      <w:hyperlink r:id="rId5" w:history="1">
        <w:r w:rsidRPr="001F6CA3">
          <w:rPr>
            <w:rStyle w:val="Hyperlink"/>
            <w:rFonts w:ascii="Times New Roman" w:hAnsi="Times New Roman"/>
            <w:sz w:val="22"/>
            <w:szCs w:val="22"/>
          </w:rPr>
          <w:t>http://www.fcc.gov/regfees</w:t>
        </w:r>
      </w:hyperlink>
      <w:r w:rsidRPr="001F6CA3">
        <w:rPr>
          <w:rFonts w:ascii="Times New Roman" w:hAnsi="Times New Roman"/>
          <w:i/>
          <w:iCs/>
          <w:sz w:val="22"/>
          <w:szCs w:val="22"/>
          <w:u w:val="single"/>
        </w:rPr>
        <w:t>.</w:t>
      </w:r>
    </w:p>
    <w:p w:rsidR="002E2BF1" w:rsidRPr="001F6CA3" w:rsidP="002E2BF1" w14:paraId="0883DF21" w14:textId="77777777">
      <w:pPr>
        <w:shd w:val="clear" w:color="auto" w:fill="FFFFFF"/>
        <w:rPr>
          <w:rFonts w:ascii="Times New Roman" w:hAnsi="Times New Roman"/>
          <w:sz w:val="22"/>
          <w:szCs w:val="22"/>
        </w:rPr>
      </w:pPr>
    </w:p>
    <w:p w:rsidR="002E2BF1" w:rsidRPr="001F6CA3" w:rsidP="002E2BF1" w14:paraId="4613A1CC" w14:textId="568DDBFC">
      <w:pPr>
        <w:shd w:val="clear" w:color="auto" w:fill="FFFFFF"/>
        <w:rPr>
          <w:rFonts w:ascii="Times New Roman" w:hAnsi="Times New Roman"/>
          <w:sz w:val="22"/>
          <w:szCs w:val="22"/>
        </w:rPr>
      </w:pPr>
      <w:r w:rsidRPr="001F6CA3">
        <w:rPr>
          <w:rFonts w:ascii="Times New Roman" w:hAnsi="Times New Roman"/>
          <w:sz w:val="22"/>
          <w:szCs w:val="22"/>
        </w:rPr>
        <w:t xml:space="preserve">The Commission’s automated filing and payment system (Fee Filer) is available for </w:t>
      </w:r>
      <w:r w:rsidRPr="001F6CA3">
        <w:rPr>
          <w:rFonts w:ascii="Times New Roman" w:hAnsi="Times New Roman"/>
          <w:sz w:val="22"/>
          <w:szCs w:val="22"/>
          <w:u w:val="single"/>
        </w:rPr>
        <w:t>filing</w:t>
      </w:r>
      <w:r w:rsidRPr="001F6CA3">
        <w:rPr>
          <w:rFonts w:ascii="Times New Roman" w:hAnsi="Times New Roman"/>
          <w:sz w:val="22"/>
          <w:szCs w:val="22"/>
        </w:rPr>
        <w:t xml:space="preserve"> and </w:t>
      </w:r>
      <w:r w:rsidRPr="001F6CA3">
        <w:rPr>
          <w:rFonts w:ascii="Times New Roman" w:hAnsi="Times New Roman"/>
          <w:sz w:val="22"/>
          <w:szCs w:val="22"/>
          <w:u w:val="single"/>
        </w:rPr>
        <w:t>viewing</w:t>
      </w:r>
      <w:r w:rsidRPr="001F6CA3">
        <w:rPr>
          <w:rFonts w:ascii="Times New Roman" w:hAnsi="Times New Roman"/>
          <w:sz w:val="22"/>
          <w:szCs w:val="22"/>
        </w:rPr>
        <w:t xml:space="preserve"> of FY 20</w:t>
      </w:r>
      <w:r w:rsidR="007B201B">
        <w:rPr>
          <w:rFonts w:ascii="Times New Roman" w:hAnsi="Times New Roman"/>
          <w:sz w:val="22"/>
          <w:szCs w:val="22"/>
        </w:rPr>
        <w:t>20</w:t>
      </w:r>
      <w:r w:rsidRPr="001F6CA3">
        <w:rPr>
          <w:rFonts w:ascii="Times New Roman" w:hAnsi="Times New Roman"/>
          <w:sz w:val="22"/>
          <w:szCs w:val="22"/>
        </w:rPr>
        <w:t xml:space="preserve"> regulatory fees.  While FY 20</w:t>
      </w:r>
      <w:r w:rsidR="007B201B">
        <w:rPr>
          <w:rFonts w:ascii="Times New Roman" w:hAnsi="Times New Roman"/>
          <w:sz w:val="22"/>
          <w:szCs w:val="22"/>
        </w:rPr>
        <w:t>20</w:t>
      </w:r>
      <w:r w:rsidRPr="001F6CA3">
        <w:rPr>
          <w:rFonts w:ascii="Times New Roman" w:hAnsi="Times New Roman"/>
          <w:sz w:val="22"/>
          <w:szCs w:val="22"/>
        </w:rPr>
        <w:t xml:space="preserve"> regulatory fees will not become effective until the rulemaking is published in the Federal Register, </w:t>
      </w:r>
      <w:r w:rsidRPr="001F6CA3">
        <w:rPr>
          <w:rFonts w:ascii="Times New Roman" w:hAnsi="Times New Roman"/>
          <w:sz w:val="22"/>
          <w:szCs w:val="22"/>
        </w:rPr>
        <w:t>regulatees</w:t>
      </w:r>
      <w:r w:rsidRPr="001F6CA3">
        <w:rPr>
          <w:rFonts w:ascii="Times New Roman" w:hAnsi="Times New Roman"/>
          <w:sz w:val="22"/>
          <w:szCs w:val="22"/>
        </w:rPr>
        <w:t xml:space="preserve"> at their own discretion, may submit payments at any time before the FY 20</w:t>
      </w:r>
      <w:r w:rsidR="007B201B">
        <w:rPr>
          <w:rFonts w:ascii="Times New Roman" w:hAnsi="Times New Roman"/>
          <w:sz w:val="22"/>
          <w:szCs w:val="22"/>
        </w:rPr>
        <w:t>20</w:t>
      </w:r>
      <w:r w:rsidRPr="001F6CA3">
        <w:rPr>
          <w:rFonts w:ascii="Times New Roman" w:hAnsi="Times New Roman"/>
          <w:sz w:val="22"/>
          <w:szCs w:val="22"/>
        </w:rPr>
        <w:t xml:space="preserve"> regulatory fees</w:t>
      </w:r>
      <w:r w:rsidRPr="00777F91" w:rsidR="00777F91">
        <w:rPr>
          <w:rFonts w:ascii="Times New Roman" w:hAnsi="Times New Roman"/>
          <w:sz w:val="22"/>
          <w:szCs w:val="22"/>
        </w:rPr>
        <w:t xml:space="preserve"> </w:t>
      </w:r>
      <w:r w:rsidRPr="001F6CA3" w:rsidR="00777F91">
        <w:rPr>
          <w:rFonts w:ascii="Times New Roman" w:hAnsi="Times New Roman"/>
          <w:sz w:val="22"/>
          <w:szCs w:val="22"/>
        </w:rPr>
        <w:t>due date</w:t>
      </w:r>
      <w:r w:rsidRPr="001F6CA3">
        <w:rPr>
          <w:rFonts w:ascii="Times New Roman" w:hAnsi="Times New Roman"/>
          <w:sz w:val="22"/>
          <w:szCs w:val="22"/>
        </w:rPr>
        <w:t xml:space="preserve">.  </w:t>
      </w:r>
      <w:r w:rsidRPr="001F6CA3">
        <w:rPr>
          <w:rFonts w:ascii="Times New Roman" w:hAnsi="Times New Roman"/>
          <w:b/>
          <w:sz w:val="22"/>
          <w:szCs w:val="22"/>
        </w:rPr>
        <w:t xml:space="preserve">Regulatory fee payments </w:t>
      </w:r>
      <w:r w:rsidR="0023505F">
        <w:rPr>
          <w:rFonts w:ascii="Times New Roman" w:hAnsi="Times New Roman"/>
          <w:b/>
          <w:sz w:val="22"/>
          <w:szCs w:val="22"/>
        </w:rPr>
        <w:t xml:space="preserve">MUST BE </w:t>
      </w:r>
      <w:r w:rsidRPr="001F6CA3">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1F6CA3">
        <w:rPr>
          <w:rFonts w:ascii="Times New Roman" w:hAnsi="Times New Roman"/>
          <w:b/>
          <w:sz w:val="22"/>
          <w:szCs w:val="22"/>
        </w:rPr>
        <w:t xml:space="preserve"> by the Commission no later than 11:59 PM, Eastern Daylight Time, on September </w:t>
      </w:r>
      <w:r w:rsidR="00D907F6">
        <w:rPr>
          <w:rFonts w:ascii="Times New Roman" w:hAnsi="Times New Roman"/>
          <w:b/>
          <w:sz w:val="22"/>
          <w:szCs w:val="22"/>
        </w:rPr>
        <w:t>2</w:t>
      </w:r>
      <w:r w:rsidR="007B201B">
        <w:rPr>
          <w:rFonts w:ascii="Times New Roman" w:hAnsi="Times New Roman"/>
          <w:b/>
          <w:sz w:val="22"/>
          <w:szCs w:val="22"/>
        </w:rPr>
        <w:t>5</w:t>
      </w:r>
      <w:r w:rsidRPr="001F6CA3">
        <w:rPr>
          <w:rFonts w:ascii="Times New Roman" w:hAnsi="Times New Roman"/>
          <w:b/>
          <w:sz w:val="22"/>
          <w:szCs w:val="22"/>
        </w:rPr>
        <w:t>, 20</w:t>
      </w:r>
      <w:r w:rsidR="007B201B">
        <w:rPr>
          <w:rFonts w:ascii="Times New Roman" w:hAnsi="Times New Roman"/>
          <w:b/>
          <w:sz w:val="22"/>
          <w:szCs w:val="22"/>
        </w:rPr>
        <w:t>20</w:t>
      </w:r>
      <w:r w:rsidRPr="001F6CA3">
        <w:rPr>
          <w:rFonts w:ascii="Times New Roman" w:hAnsi="Times New Roman"/>
          <w:b/>
          <w:sz w:val="22"/>
          <w:szCs w:val="22"/>
        </w:rPr>
        <w:t>.</w:t>
      </w:r>
      <w:r w:rsidRPr="001F6CA3">
        <w:rPr>
          <w:rFonts w:ascii="Times New Roman" w:hAnsi="Times New Roman"/>
          <w:sz w:val="22"/>
          <w:szCs w:val="22"/>
        </w:rPr>
        <w:t xml:space="preserve">  </w:t>
      </w:r>
    </w:p>
    <w:p w:rsidR="002E2BF1" w:rsidRPr="001F6CA3" w:rsidP="002E2BF1" w14:paraId="7A32DA69" w14:textId="77777777">
      <w:pPr>
        <w:shd w:val="clear" w:color="auto" w:fill="FFFFFF"/>
        <w:rPr>
          <w:rFonts w:ascii="Times New Roman" w:hAnsi="Times New Roman"/>
          <w:sz w:val="22"/>
          <w:szCs w:val="22"/>
        </w:rPr>
      </w:pPr>
    </w:p>
    <w:p w:rsidR="002E2BF1" w:rsidRPr="001F6CA3" w14:paraId="0BF1DD0B" w14:textId="77777777">
      <w:pPr>
        <w:tabs>
          <w:tab w:val="left" w:pos="-720"/>
        </w:tabs>
        <w:suppressAutoHyphens/>
        <w:rPr>
          <w:rFonts w:ascii="Times New Roman" w:hAnsi="Times New Roman"/>
          <w:spacing w:val="-3"/>
          <w:sz w:val="22"/>
          <w:szCs w:val="22"/>
        </w:rPr>
      </w:pPr>
      <w:r w:rsidRPr="001F6CA3">
        <w:rPr>
          <w:rFonts w:ascii="Times New Roman" w:hAnsi="Times New Roman"/>
          <w:spacing w:val="-3"/>
          <w:sz w:val="22"/>
          <w:szCs w:val="22"/>
        </w:rPr>
        <w:t xml:space="preserve">This </w:t>
      </w:r>
      <w:r w:rsidRPr="001F6CA3">
        <w:rPr>
          <w:rFonts w:ascii="Times New Roman" w:hAnsi="Times New Roman"/>
          <w:i/>
          <w:spacing w:val="-3"/>
          <w:sz w:val="22"/>
          <w:szCs w:val="22"/>
        </w:rPr>
        <w:t>Fact Sheet</w:t>
      </w:r>
      <w:r w:rsidRPr="001F6CA3">
        <w:rPr>
          <w:rFonts w:ascii="Times New Roman" w:hAnsi="Times New Roman"/>
          <w:spacing w:val="-3"/>
          <w:sz w:val="22"/>
          <w:szCs w:val="22"/>
        </w:rPr>
        <w:t xml:space="preserve"> applies to </w:t>
      </w:r>
      <w:r w:rsidRPr="001F6CA3">
        <w:rPr>
          <w:rFonts w:ascii="Times New Roman" w:hAnsi="Times New Roman"/>
          <w:sz w:val="22"/>
          <w:szCs w:val="22"/>
        </w:rPr>
        <w:t xml:space="preserve">holders of licenses in the following commercial wireless services: Commercial Mobile Radio Service (CMRS), Broadband Radio Service (BRS) (formerly known as multipoint distribution service (MDS) and multichannel multipoint distribution service (MMDS)), and local multipoint distribution service (LMDS).    </w:t>
      </w:r>
    </w:p>
    <w:p w:rsidR="002E2BF1" w:rsidRPr="001F6CA3" w14:paraId="58B99BE1" w14:textId="77777777">
      <w:pPr>
        <w:widowControl/>
        <w:autoSpaceDE w:val="0"/>
        <w:autoSpaceDN w:val="0"/>
        <w:adjustRightInd w:val="0"/>
        <w:rPr>
          <w:rFonts w:ascii="Times New Roman" w:hAnsi="Times New Roman"/>
          <w:spacing w:val="-3"/>
          <w:sz w:val="22"/>
          <w:szCs w:val="22"/>
        </w:rPr>
      </w:pPr>
    </w:p>
    <w:p w:rsidR="002E2BF1" w14:paraId="639DD902" w14:textId="77777777">
      <w:pPr>
        <w:widowControl/>
        <w:autoSpaceDE w:val="0"/>
        <w:autoSpaceDN w:val="0"/>
        <w:adjustRightInd w:val="0"/>
        <w:rPr>
          <w:rFonts w:ascii="Times New Roman" w:hAnsi="Times New Roman"/>
          <w:spacing w:val="-3"/>
          <w:sz w:val="22"/>
          <w:szCs w:val="22"/>
        </w:rPr>
      </w:pPr>
      <w:r w:rsidRPr="001F6CA3">
        <w:rPr>
          <w:rFonts w:ascii="Times New Roman" w:hAnsi="Times New Roman"/>
          <w:spacing w:val="-3"/>
          <w:sz w:val="22"/>
          <w:szCs w:val="22"/>
        </w:rPr>
        <w:t xml:space="preserve">CMRS licensees include: specialized mobile radio services (Part 90); public coast stations (Part 80); public mobile radio, cellular, 800 MHz air-ground radiotelephone, and offshore radio services (Part 22); and PCS broadband services (Part 24).  The CMRS messaging services category includes all one-way (Parts 22 and 90), two-way paging, qualifying interconnected business radio services, 220-222 MHz land mobile systems (Part 90), PCS narrowband services (Part 24) (e.g. one-way and two-way paging), and all SMR systems authorized for operation with less than 10 MHz bandwidth (Part 90).  All other private wireless regulatory fees that are not noted here are paid in advance for the full license term and are submitted along with the appropriate application fee. </w:t>
      </w:r>
    </w:p>
    <w:p w:rsidR="002E2BF1" w:rsidRPr="001F6CA3" w14:paraId="399B0C80" w14:textId="77777777">
      <w:pPr>
        <w:widowControl/>
        <w:autoSpaceDE w:val="0"/>
        <w:autoSpaceDN w:val="0"/>
        <w:adjustRightInd w:val="0"/>
        <w:rPr>
          <w:rFonts w:ascii="Times New Roman" w:hAnsi="Times New Roman"/>
          <w:b/>
          <w:sz w:val="22"/>
          <w:szCs w:val="22"/>
        </w:rPr>
      </w:pPr>
      <w:r w:rsidRPr="001F6CA3">
        <w:rPr>
          <w:rFonts w:ascii="Times New Roman" w:hAnsi="Times New Roman"/>
          <w:spacing w:val="-3"/>
          <w:sz w:val="22"/>
          <w:szCs w:val="22"/>
        </w:rPr>
        <w:t xml:space="preserve"> </w:t>
      </w:r>
    </w:p>
    <w:p w:rsidR="002E2BF1" w:rsidRPr="001F6CA3" w14:paraId="0C3B5E20" w14:textId="77777777">
      <w:pPr>
        <w:tabs>
          <w:tab w:val="center" w:pos="4680"/>
        </w:tabs>
        <w:suppressAutoHyphens/>
        <w:jc w:val="center"/>
        <w:outlineLvl w:val="0"/>
        <w:rPr>
          <w:rFonts w:ascii="Times New Roman" w:hAnsi="Times New Roman"/>
          <w:b/>
          <w:spacing w:val="-2"/>
          <w:sz w:val="22"/>
          <w:szCs w:val="22"/>
        </w:rPr>
      </w:pPr>
      <w:r w:rsidRPr="001F6CA3">
        <w:rPr>
          <w:rFonts w:ascii="Times New Roman" w:hAnsi="Times New Roman"/>
          <w:b/>
          <w:spacing w:val="-3"/>
          <w:sz w:val="22"/>
          <w:szCs w:val="22"/>
        </w:rPr>
        <w:t>CMRS PROVIDERS</w:t>
      </w:r>
    </w:p>
    <w:p w:rsidR="002E2BF1" w:rsidRPr="001F6CA3" w14:paraId="5C969A03"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rFonts w:ascii="Times New Roman" w:hAnsi="Times New Roman"/>
          <w:spacing w:val="-2"/>
          <w:sz w:val="22"/>
          <w:szCs w:val="22"/>
        </w:rPr>
      </w:pPr>
    </w:p>
    <w:p w:rsidR="002E2BF1" w:rsidRPr="001F6CA3" w14:paraId="189F3B43" w14:textId="18A3B462">
      <w:pPr>
        <w:widowControl/>
        <w:autoSpaceDE w:val="0"/>
        <w:autoSpaceDN w:val="0"/>
        <w:adjustRightInd w:val="0"/>
        <w:rPr>
          <w:rFonts w:ascii="Times New Roman" w:hAnsi="Times New Roman"/>
          <w:sz w:val="22"/>
          <w:szCs w:val="22"/>
        </w:rPr>
      </w:pPr>
      <w:r w:rsidRPr="001F6CA3">
        <w:rPr>
          <w:rFonts w:ascii="Times New Roman" w:hAnsi="Times New Roman"/>
          <w:b/>
          <w:spacing w:val="-2"/>
          <w:sz w:val="22"/>
          <w:szCs w:val="22"/>
        </w:rPr>
        <w:t>Who Must Pay:</w:t>
      </w:r>
      <w:r w:rsidRPr="001F6CA3">
        <w:rPr>
          <w:rFonts w:ascii="Times New Roman" w:hAnsi="Times New Roman"/>
          <w:spacing w:val="-2"/>
          <w:sz w:val="22"/>
          <w:szCs w:val="22"/>
        </w:rPr>
        <w:t xml:space="preserve">  CMRS cellular licensees, CMRS mobile service licensees, and CMRS messaging licensees.  CMRS providers owe regulatory fees for each license held as of </w:t>
      </w:r>
      <w:r w:rsidRPr="001F6CA3">
        <w:rPr>
          <w:rFonts w:ascii="Times New Roman" w:hAnsi="Times New Roman"/>
          <w:b/>
          <w:bCs/>
          <w:sz w:val="22"/>
          <w:szCs w:val="22"/>
        </w:rPr>
        <w:t>October 1, 201</w:t>
      </w:r>
      <w:r w:rsidR="007B201B">
        <w:rPr>
          <w:rFonts w:ascii="Times New Roman" w:hAnsi="Times New Roman"/>
          <w:b/>
          <w:bCs/>
          <w:sz w:val="22"/>
          <w:szCs w:val="22"/>
        </w:rPr>
        <w:t>9</w:t>
      </w:r>
      <w:r w:rsidRPr="001F6CA3">
        <w:rPr>
          <w:rFonts w:ascii="Times New Roman" w:hAnsi="Times New Roman"/>
          <w:sz w:val="22"/>
          <w:szCs w:val="22"/>
        </w:rPr>
        <w:t xml:space="preserve">, </w:t>
      </w:r>
      <w:r w:rsidRPr="001F6CA3">
        <w:rPr>
          <w:rFonts w:ascii="Times New Roman" w:hAnsi="Times New Roman"/>
          <w:sz w:val="22"/>
          <w:szCs w:val="22"/>
          <w:u w:val="single"/>
        </w:rPr>
        <w:t>even if a license expired after October 1, 201</w:t>
      </w:r>
      <w:r w:rsidR="007B201B">
        <w:rPr>
          <w:rFonts w:ascii="Times New Roman" w:hAnsi="Times New Roman"/>
          <w:sz w:val="22"/>
          <w:szCs w:val="22"/>
          <w:u w:val="single"/>
        </w:rPr>
        <w:t>9</w:t>
      </w:r>
      <w:r w:rsidRPr="001F6CA3">
        <w:rPr>
          <w:rFonts w:ascii="Times New Roman" w:hAnsi="Times New Roman"/>
          <w:sz w:val="22"/>
          <w:szCs w:val="22"/>
        </w:rPr>
        <w:t>.  In instances where a license or authorization is transferred or assigned after October 1, 201</w:t>
      </w:r>
      <w:r w:rsidR="007B201B">
        <w:rPr>
          <w:rFonts w:ascii="Times New Roman" w:hAnsi="Times New Roman"/>
          <w:sz w:val="22"/>
          <w:szCs w:val="22"/>
        </w:rPr>
        <w:t>9</w:t>
      </w:r>
      <w:r w:rsidRPr="001F6CA3">
        <w:rPr>
          <w:rFonts w:ascii="Times New Roman" w:hAnsi="Times New Roman"/>
          <w:sz w:val="22"/>
          <w:szCs w:val="22"/>
        </w:rPr>
        <w:t xml:space="preserve">, the fee must be paid by the party that is the licensee or holder of the authorization on the </w:t>
      </w:r>
      <w:r>
        <w:rPr>
          <w:rFonts w:ascii="Times New Roman" w:hAnsi="Times New Roman"/>
          <w:sz w:val="22"/>
          <w:szCs w:val="22"/>
        </w:rPr>
        <w:t xml:space="preserve">fee due </w:t>
      </w:r>
      <w:r w:rsidRPr="001F6CA3">
        <w:rPr>
          <w:rFonts w:ascii="Times New Roman" w:hAnsi="Times New Roman"/>
          <w:sz w:val="22"/>
          <w:szCs w:val="22"/>
        </w:rPr>
        <w:t>date</w:t>
      </w:r>
      <w:r>
        <w:rPr>
          <w:rFonts w:ascii="Times New Roman" w:hAnsi="Times New Roman"/>
          <w:sz w:val="22"/>
          <w:szCs w:val="22"/>
        </w:rPr>
        <w:t>.</w:t>
      </w:r>
      <w:r w:rsidRPr="001F6CA3">
        <w:rPr>
          <w:rFonts w:ascii="Times New Roman" w:hAnsi="Times New Roman"/>
          <w:sz w:val="22"/>
          <w:szCs w:val="22"/>
        </w:rPr>
        <w:t xml:space="preserve">  </w:t>
      </w:r>
    </w:p>
    <w:p w:rsidR="002E2BF1" w:rsidRPr="001F6CA3" w14:paraId="2FB12879" w14:textId="77777777">
      <w:pPr>
        <w:widowControl/>
        <w:autoSpaceDE w:val="0"/>
        <w:autoSpaceDN w:val="0"/>
        <w:adjustRightInd w:val="0"/>
        <w:rPr>
          <w:rFonts w:ascii="Times New Roman" w:hAnsi="Times New Roman"/>
          <w:spacing w:val="-2"/>
          <w:sz w:val="22"/>
          <w:szCs w:val="22"/>
        </w:rPr>
      </w:pPr>
    </w:p>
    <w:p w:rsidR="002E2BF1" w:rsidRPr="001F6CA3" w14:paraId="3A6A6719" w14:textId="2B42E246">
      <w:pPr>
        <w:tabs>
          <w:tab w:val="left" w:pos="-720"/>
        </w:tabs>
        <w:suppressAutoHyphens/>
        <w:rPr>
          <w:rFonts w:ascii="Times New Roman" w:hAnsi="Times New Roman"/>
          <w:sz w:val="22"/>
          <w:szCs w:val="22"/>
        </w:rPr>
      </w:pPr>
      <w:r w:rsidRPr="001F6CA3">
        <w:rPr>
          <w:rFonts w:ascii="Times New Roman" w:hAnsi="Times New Roman"/>
          <w:b/>
          <w:sz w:val="22"/>
          <w:szCs w:val="22"/>
        </w:rPr>
        <w:t xml:space="preserve">Payment and Documentation Requirement:  </w:t>
      </w:r>
      <w:r w:rsidRPr="001F6CA3">
        <w:rPr>
          <w:rFonts w:ascii="Times New Roman" w:hAnsi="Times New Roman"/>
          <w:sz w:val="22"/>
          <w:szCs w:val="22"/>
        </w:rPr>
        <w:t xml:space="preserve">CMRS fees are assessed on the number of telephone numbers or </w:t>
      </w:r>
      <w:r>
        <w:rPr>
          <w:rFonts w:ascii="Times New Roman" w:hAnsi="Times New Roman"/>
          <w:sz w:val="22"/>
          <w:szCs w:val="22"/>
        </w:rPr>
        <w:t xml:space="preserve">subscriber </w:t>
      </w:r>
      <w:r w:rsidRPr="001F6CA3">
        <w:rPr>
          <w:rFonts w:ascii="Times New Roman" w:hAnsi="Times New Roman"/>
          <w:sz w:val="22"/>
          <w:szCs w:val="22"/>
        </w:rPr>
        <w:t xml:space="preserve">counts, as stated in the table below.  </w:t>
      </w:r>
      <w:r w:rsidR="00890A85">
        <w:rPr>
          <w:rFonts w:ascii="Times New Roman" w:hAnsi="Times New Roman"/>
          <w:sz w:val="22"/>
          <w:szCs w:val="22"/>
        </w:rPr>
        <w:t>CMRS providers that filed the NRUF (</w:t>
      </w:r>
      <w:r w:rsidR="00EF1AE7">
        <w:rPr>
          <w:rFonts w:ascii="Times New Roman" w:hAnsi="Times New Roman"/>
          <w:sz w:val="22"/>
          <w:szCs w:val="22"/>
        </w:rPr>
        <w:t xml:space="preserve">Numbering Resource Utilization Forecast) report on Form 502 </w:t>
      </w:r>
      <w:r w:rsidR="00890A85">
        <w:rPr>
          <w:rFonts w:ascii="Times New Roman" w:hAnsi="Times New Roman"/>
          <w:sz w:val="22"/>
          <w:szCs w:val="22"/>
        </w:rPr>
        <w:t xml:space="preserve">were provided with an opportunity to revise </w:t>
      </w:r>
      <w:r w:rsidR="00EF1AE7">
        <w:rPr>
          <w:rFonts w:ascii="Times New Roman" w:hAnsi="Times New Roman"/>
          <w:sz w:val="22"/>
          <w:szCs w:val="22"/>
        </w:rPr>
        <w:t xml:space="preserve">their subscriber counts.  </w:t>
      </w:r>
      <w:r w:rsidRPr="001F6CA3">
        <w:rPr>
          <w:rFonts w:ascii="Times New Roman" w:hAnsi="Times New Roman"/>
          <w:sz w:val="22"/>
          <w:szCs w:val="22"/>
        </w:rPr>
        <w:t>If the</w:t>
      </w:r>
      <w:r w:rsidR="00263F1E">
        <w:rPr>
          <w:rFonts w:ascii="Times New Roman" w:hAnsi="Times New Roman"/>
          <w:sz w:val="22"/>
          <w:szCs w:val="22"/>
        </w:rPr>
        <w:t>se</w:t>
      </w:r>
      <w:r w:rsidRPr="001F6CA3">
        <w:rPr>
          <w:rFonts w:ascii="Times New Roman" w:hAnsi="Times New Roman"/>
          <w:sz w:val="22"/>
          <w:szCs w:val="22"/>
        </w:rPr>
        <w:t xml:space="preserve"> </w:t>
      </w:r>
      <w:r w:rsidR="00EF1AE7">
        <w:rPr>
          <w:rFonts w:ascii="Times New Roman" w:hAnsi="Times New Roman"/>
          <w:sz w:val="22"/>
          <w:szCs w:val="22"/>
        </w:rPr>
        <w:t xml:space="preserve">revised subscriber </w:t>
      </w:r>
      <w:r w:rsidR="00263F1E">
        <w:rPr>
          <w:rFonts w:ascii="Times New Roman" w:hAnsi="Times New Roman"/>
          <w:sz w:val="22"/>
          <w:szCs w:val="22"/>
        </w:rPr>
        <w:t xml:space="preserve">counts </w:t>
      </w:r>
      <w:r w:rsidR="00EF1AE7">
        <w:rPr>
          <w:rFonts w:ascii="Times New Roman" w:hAnsi="Times New Roman"/>
          <w:sz w:val="22"/>
          <w:szCs w:val="22"/>
        </w:rPr>
        <w:t>w</w:t>
      </w:r>
      <w:r w:rsidR="00263F1E">
        <w:rPr>
          <w:rFonts w:ascii="Times New Roman" w:hAnsi="Times New Roman"/>
          <w:sz w:val="22"/>
          <w:szCs w:val="22"/>
        </w:rPr>
        <w:t>ere</w:t>
      </w:r>
      <w:r w:rsidR="00EF1AE7">
        <w:rPr>
          <w:rFonts w:ascii="Times New Roman" w:hAnsi="Times New Roman"/>
          <w:sz w:val="22"/>
          <w:szCs w:val="22"/>
        </w:rPr>
        <w:t xml:space="preserve"> approved by the FCC, the</w:t>
      </w:r>
      <w:r w:rsidR="00263F1E">
        <w:rPr>
          <w:rFonts w:ascii="Times New Roman" w:hAnsi="Times New Roman"/>
          <w:sz w:val="22"/>
          <w:szCs w:val="22"/>
        </w:rPr>
        <w:t xml:space="preserve">y should appear in Fee Filer as the CMRS count to be used for the payment of </w:t>
      </w:r>
      <w:r w:rsidR="00740480">
        <w:rPr>
          <w:rFonts w:ascii="Times New Roman" w:hAnsi="Times New Roman"/>
          <w:sz w:val="22"/>
          <w:szCs w:val="22"/>
        </w:rPr>
        <w:t>FY 20</w:t>
      </w:r>
      <w:r w:rsidR="007B201B">
        <w:rPr>
          <w:rFonts w:ascii="Times New Roman" w:hAnsi="Times New Roman"/>
          <w:sz w:val="22"/>
          <w:szCs w:val="22"/>
        </w:rPr>
        <w:t>20</w:t>
      </w:r>
      <w:r w:rsidR="00740480">
        <w:rPr>
          <w:rFonts w:ascii="Times New Roman" w:hAnsi="Times New Roman"/>
          <w:sz w:val="22"/>
          <w:szCs w:val="22"/>
        </w:rPr>
        <w:t xml:space="preserve"> </w:t>
      </w:r>
      <w:r w:rsidR="00263F1E">
        <w:rPr>
          <w:rFonts w:ascii="Times New Roman" w:hAnsi="Times New Roman"/>
          <w:sz w:val="22"/>
          <w:szCs w:val="22"/>
        </w:rPr>
        <w:t>CMRS regulatory fees.  All other CMRS providers that did not file the NRUF report should report their subscriber count or telephone number units as of December 31, 201</w:t>
      </w:r>
      <w:r w:rsidR="00F95385">
        <w:rPr>
          <w:rFonts w:ascii="Times New Roman" w:hAnsi="Times New Roman"/>
          <w:sz w:val="22"/>
          <w:szCs w:val="22"/>
        </w:rPr>
        <w:t>9</w:t>
      </w:r>
      <w:r w:rsidR="00740480">
        <w:rPr>
          <w:rFonts w:ascii="Times New Roman" w:hAnsi="Times New Roman"/>
          <w:sz w:val="22"/>
          <w:szCs w:val="22"/>
        </w:rPr>
        <w:t xml:space="preserve"> for the payment of FY 20</w:t>
      </w:r>
      <w:r w:rsidR="00F95385">
        <w:rPr>
          <w:rFonts w:ascii="Times New Roman" w:hAnsi="Times New Roman"/>
          <w:sz w:val="22"/>
          <w:szCs w:val="22"/>
        </w:rPr>
        <w:t>20</w:t>
      </w:r>
      <w:r w:rsidR="00740480">
        <w:rPr>
          <w:rFonts w:ascii="Times New Roman" w:hAnsi="Times New Roman"/>
          <w:sz w:val="22"/>
          <w:szCs w:val="22"/>
        </w:rPr>
        <w:t xml:space="preserve"> regulatory fees</w:t>
      </w:r>
      <w:r w:rsidR="00263F1E">
        <w:rPr>
          <w:rFonts w:ascii="Times New Roman" w:hAnsi="Times New Roman"/>
          <w:sz w:val="22"/>
          <w:szCs w:val="22"/>
        </w:rPr>
        <w:t xml:space="preserve">.  </w:t>
      </w:r>
      <w:r w:rsidRPr="001F6CA3">
        <w:rPr>
          <w:rFonts w:ascii="Times New Roman" w:hAnsi="Times New Roman"/>
          <w:sz w:val="22"/>
          <w:szCs w:val="22"/>
        </w:rPr>
        <w:t>CMRS Messaging (Paging) licensees should use the number of telephone number</w:t>
      </w:r>
      <w:r w:rsidR="00740480">
        <w:rPr>
          <w:rFonts w:ascii="Times New Roman" w:hAnsi="Times New Roman"/>
          <w:sz w:val="22"/>
          <w:szCs w:val="22"/>
        </w:rPr>
        <w:t xml:space="preserve"> units</w:t>
      </w:r>
      <w:r w:rsidRPr="001F6CA3">
        <w:rPr>
          <w:rFonts w:ascii="Times New Roman" w:hAnsi="Times New Roman"/>
          <w:sz w:val="22"/>
          <w:szCs w:val="22"/>
        </w:rPr>
        <w:t xml:space="preserve"> or </w:t>
      </w:r>
      <w:r w:rsidR="00740480">
        <w:rPr>
          <w:rFonts w:ascii="Times New Roman" w:hAnsi="Times New Roman"/>
          <w:sz w:val="22"/>
          <w:szCs w:val="22"/>
        </w:rPr>
        <w:t xml:space="preserve">subscriber counts </w:t>
      </w:r>
      <w:r w:rsidRPr="001F6CA3">
        <w:rPr>
          <w:rFonts w:ascii="Times New Roman" w:hAnsi="Times New Roman"/>
          <w:sz w:val="22"/>
          <w:szCs w:val="22"/>
        </w:rPr>
        <w:t xml:space="preserve">as of </w:t>
      </w:r>
      <w:r w:rsidRPr="001F6CA3">
        <w:rPr>
          <w:rFonts w:ascii="Times New Roman" w:hAnsi="Times New Roman"/>
          <w:b/>
          <w:bCs/>
          <w:sz w:val="22"/>
          <w:szCs w:val="22"/>
        </w:rPr>
        <w:t>December 31, 201</w:t>
      </w:r>
      <w:r w:rsidR="00F95385">
        <w:rPr>
          <w:rFonts w:ascii="Times New Roman" w:hAnsi="Times New Roman"/>
          <w:b/>
          <w:bCs/>
          <w:sz w:val="22"/>
          <w:szCs w:val="22"/>
        </w:rPr>
        <w:t>9</w:t>
      </w:r>
      <w:r w:rsidRPr="001F6CA3">
        <w:rPr>
          <w:rFonts w:ascii="Times New Roman" w:hAnsi="Times New Roman"/>
          <w:sz w:val="22"/>
          <w:szCs w:val="22"/>
        </w:rPr>
        <w:t xml:space="preserve"> for </w:t>
      </w:r>
      <w:r w:rsidR="00740480">
        <w:rPr>
          <w:rFonts w:ascii="Times New Roman" w:hAnsi="Times New Roman"/>
          <w:sz w:val="22"/>
          <w:szCs w:val="22"/>
        </w:rPr>
        <w:t>the payment of FY 20</w:t>
      </w:r>
      <w:r w:rsidR="00F95385">
        <w:rPr>
          <w:rFonts w:ascii="Times New Roman" w:hAnsi="Times New Roman"/>
          <w:sz w:val="22"/>
          <w:szCs w:val="22"/>
        </w:rPr>
        <w:t>20</w:t>
      </w:r>
      <w:r w:rsidR="00740480">
        <w:rPr>
          <w:rFonts w:ascii="Times New Roman" w:hAnsi="Times New Roman"/>
          <w:sz w:val="22"/>
          <w:szCs w:val="22"/>
        </w:rPr>
        <w:t xml:space="preserve"> regulatory fees.</w:t>
      </w:r>
    </w:p>
    <w:p w:rsidR="002E2BF1" w:rsidRPr="001F6CA3" w14:paraId="1F020C51"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pacing w:val="-2"/>
          <w:sz w:val="22"/>
          <w:szCs w:val="22"/>
        </w:rPr>
      </w:pPr>
    </w:p>
    <w:p w:rsidR="002E2BF1" w:rsidRPr="001F6CA3" w14:paraId="2C9F37EC" w14:textId="77777777">
      <w:pPr>
        <w:tabs>
          <w:tab w:val="left" w:pos="-1440"/>
          <w:tab w:val="left" w:pos="-720"/>
          <w:tab w:val="left" w:pos="0"/>
          <w:tab w:val="left" w:pos="288"/>
          <w:tab w:val="left" w:pos="648"/>
          <w:tab w:val="left" w:pos="1008"/>
          <w:tab w:val="left" w:pos="2088"/>
          <w:tab w:val="left" w:pos="532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Times New Roman" w:hAnsi="Times New Roman"/>
          <w:sz w:val="22"/>
          <w:szCs w:val="22"/>
        </w:rPr>
      </w:pPr>
      <w:r w:rsidRPr="001F6CA3">
        <w:rPr>
          <w:rFonts w:ascii="Times New Roman" w:hAnsi="Times New Roman"/>
          <w:spacing w:val="-2"/>
          <w:sz w:val="22"/>
          <w:szCs w:val="22"/>
        </w:rPr>
        <w:t xml:space="preserve">Pursuant to 47 CFR Section 1.1157(d), </w:t>
      </w:r>
      <w:r w:rsidRPr="001F6CA3">
        <w:rPr>
          <w:rFonts w:ascii="Times New Roman" w:hAnsi="Times New Roman"/>
          <w:sz w:val="22"/>
          <w:szCs w:val="22"/>
        </w:rPr>
        <w:t xml:space="preserve">CMRS providers must retain the business records that were used to calculate their fee payment for a period of two (2) years from the date of regulatory fee payment. </w:t>
      </w:r>
    </w:p>
    <w:p w:rsidR="002E2BF1" w:rsidRPr="001F6CA3" w14:paraId="733130EC" w14:textId="77777777">
      <w:pPr>
        <w:tabs>
          <w:tab w:val="left" w:pos="-720"/>
        </w:tabs>
        <w:suppressAutoHyphens/>
        <w:rPr>
          <w:rFonts w:ascii="Times New Roman" w:hAnsi="Times New Roman"/>
          <w:sz w:val="22"/>
          <w:szCs w:val="22"/>
        </w:rPr>
      </w:pPr>
    </w:p>
    <w:tbl>
      <w:tblPr>
        <w:tblW w:w="9630" w:type="dxa"/>
        <w:tblInd w:w="210" w:type="dxa"/>
        <w:tblLayout w:type="fixed"/>
        <w:tblCellMar>
          <w:left w:w="120" w:type="dxa"/>
          <w:right w:w="120" w:type="dxa"/>
        </w:tblCellMar>
        <w:tblLook w:val="0000"/>
      </w:tblPr>
      <w:tblGrid>
        <w:gridCol w:w="5310"/>
        <w:gridCol w:w="2880"/>
        <w:gridCol w:w="1440"/>
      </w:tblGrid>
      <w:tr w14:paraId="48E53B97" w14:textId="77777777">
        <w:tblPrEx>
          <w:tblW w:w="9630" w:type="dxa"/>
          <w:tblInd w:w="210" w:type="dxa"/>
          <w:tblLayout w:type="fixed"/>
          <w:tblCellMar>
            <w:left w:w="120" w:type="dxa"/>
            <w:right w:w="120" w:type="dxa"/>
          </w:tblCellMar>
          <w:tblLook w:val="0000"/>
        </w:tblPrEx>
        <w:tc>
          <w:tcPr>
            <w:tcW w:w="5310" w:type="dxa"/>
            <w:tcBorders>
              <w:top w:val="double" w:sz="6" w:space="0" w:color="auto"/>
              <w:left w:val="double" w:sz="6" w:space="0" w:color="auto"/>
            </w:tcBorders>
          </w:tcPr>
          <w:p w:rsidR="002E2BF1" w:rsidRPr="001F6CA3" w14:paraId="412EC5EB" w14:textId="77777777">
            <w:pPr>
              <w:tabs>
                <w:tab w:val="left" w:pos="-720"/>
              </w:tabs>
              <w:suppressAutoHyphens/>
              <w:spacing w:before="90" w:after="54"/>
              <w:jc w:val="center"/>
              <w:rPr>
                <w:rFonts w:ascii="Times New Roman" w:hAnsi="Times New Roman"/>
                <w:sz w:val="22"/>
                <w:szCs w:val="22"/>
              </w:rPr>
            </w:pPr>
            <w:r>
              <w:rPr>
                <w:rFonts w:ascii="Times New Roman" w:hAnsi="Times New Roman"/>
                <w:spacing w:val="-3"/>
                <w:sz w:val="22"/>
                <w:szCs w:val="22"/>
              </w:rPr>
              <w:fldChar w:fldCharType="begin"/>
            </w:r>
            <w:r w:rsidRPr="001F6CA3">
              <w:rPr>
                <w:rFonts w:ascii="Times New Roman" w:hAnsi="Times New Roman"/>
                <w:spacing w:val="-3"/>
                <w:sz w:val="22"/>
                <w:szCs w:val="22"/>
              </w:rPr>
              <w:instrText xml:space="preserve">PRIVATE </w:instrText>
            </w:r>
            <w:r>
              <w:rPr>
                <w:rFonts w:ascii="Times New Roman" w:hAnsi="Times New Roman"/>
                <w:spacing w:val="-3"/>
                <w:sz w:val="22"/>
                <w:szCs w:val="22"/>
              </w:rPr>
              <w:fldChar w:fldCharType="end"/>
            </w:r>
            <w:r w:rsidRPr="001F6CA3">
              <w:rPr>
                <w:rFonts w:ascii="Times New Roman" w:hAnsi="Times New Roman"/>
                <w:b/>
                <w:sz w:val="22"/>
                <w:szCs w:val="22"/>
              </w:rPr>
              <w:t>Type of Fee</w:t>
            </w:r>
          </w:p>
        </w:tc>
        <w:tc>
          <w:tcPr>
            <w:tcW w:w="2880" w:type="dxa"/>
            <w:tcBorders>
              <w:top w:val="double" w:sz="6" w:space="0" w:color="auto"/>
              <w:left w:val="single" w:sz="6" w:space="0" w:color="auto"/>
            </w:tcBorders>
          </w:tcPr>
          <w:p w:rsidR="002E2BF1" w:rsidRPr="001F6CA3" w14:paraId="3A6BAFB3" w14:textId="77777777">
            <w:pPr>
              <w:tabs>
                <w:tab w:val="center" w:pos="1869"/>
              </w:tabs>
              <w:suppressAutoHyphens/>
              <w:spacing w:before="90" w:after="54"/>
              <w:jc w:val="center"/>
              <w:rPr>
                <w:rFonts w:ascii="Times New Roman" w:hAnsi="Times New Roman"/>
                <w:sz w:val="22"/>
                <w:szCs w:val="22"/>
              </w:rPr>
            </w:pPr>
            <w:r w:rsidRPr="001F6CA3">
              <w:rPr>
                <w:rFonts w:ascii="Times New Roman" w:hAnsi="Times New Roman"/>
                <w:b/>
                <w:sz w:val="22"/>
                <w:szCs w:val="22"/>
              </w:rPr>
              <w:t>Regulatory Fee Payment</w:t>
            </w:r>
          </w:p>
        </w:tc>
        <w:tc>
          <w:tcPr>
            <w:tcW w:w="1440" w:type="dxa"/>
            <w:tcBorders>
              <w:top w:val="double" w:sz="6" w:space="0" w:color="auto"/>
              <w:left w:val="single" w:sz="6" w:space="0" w:color="auto"/>
              <w:right w:val="double" w:sz="6" w:space="0" w:color="auto"/>
            </w:tcBorders>
          </w:tcPr>
          <w:p w:rsidR="002E2BF1" w:rsidRPr="001F6CA3" w14:paraId="50402C02" w14:textId="77777777">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14:paraId="63D8BBFE" w14:textId="77777777">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tcBorders>
          </w:tcPr>
          <w:p w:rsidR="002E2BF1" w:rsidRPr="001F6CA3" w14:paraId="1D2BFB28"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Cellular Radio (Part 22) and CMRS Mobile Services (Parts 22, 24, 27, 80 and 90) </w:t>
            </w:r>
          </w:p>
          <w:p w:rsidR="002E2BF1" w:rsidRPr="001F6CA3" w:rsidP="002E2BF1" w14:paraId="3B4EE534"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Cellular Radio and Mobile Services are to use the same Payment Type Code 1311.  </w:t>
            </w:r>
          </w:p>
        </w:tc>
        <w:tc>
          <w:tcPr>
            <w:tcW w:w="2880" w:type="dxa"/>
            <w:tcBorders>
              <w:top w:val="single" w:sz="6" w:space="0" w:color="auto"/>
              <w:left w:val="single" w:sz="6" w:space="0" w:color="auto"/>
            </w:tcBorders>
          </w:tcPr>
          <w:p w:rsidR="002E2BF1" w:rsidRPr="001F6CA3" w:rsidP="008E1439" w14:paraId="5CBBD428" w14:textId="5FD655DE">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$0.</w:t>
            </w:r>
            <w:r w:rsidR="00424B57">
              <w:rPr>
                <w:rFonts w:ascii="Times New Roman" w:hAnsi="Times New Roman"/>
                <w:sz w:val="22"/>
                <w:szCs w:val="22"/>
              </w:rPr>
              <w:t>1</w:t>
            </w:r>
            <w:r w:rsidR="00F95385">
              <w:rPr>
                <w:rFonts w:ascii="Times New Roman" w:hAnsi="Times New Roman"/>
                <w:sz w:val="22"/>
                <w:szCs w:val="22"/>
              </w:rPr>
              <w:t>7</w:t>
            </w:r>
            <w:r w:rsidRPr="001F6CA3">
              <w:rPr>
                <w:rFonts w:ascii="Times New Roman" w:hAnsi="Times New Roman"/>
                <w:sz w:val="22"/>
                <w:szCs w:val="22"/>
              </w:rPr>
              <w:t xml:space="preserve"> per telephone number/</w:t>
            </w:r>
            <w:r w:rsidR="00424B57">
              <w:rPr>
                <w:rFonts w:ascii="Times New Roman" w:hAnsi="Times New Roman"/>
                <w:sz w:val="22"/>
                <w:szCs w:val="22"/>
              </w:rPr>
              <w:t>subscriber count</w:t>
            </w:r>
          </w:p>
        </w:tc>
        <w:tc>
          <w:tcPr>
            <w:tcW w:w="1440" w:type="dxa"/>
            <w:tcBorders>
              <w:top w:val="single" w:sz="6" w:space="0" w:color="auto"/>
              <w:left w:val="single" w:sz="6" w:space="0" w:color="auto"/>
              <w:right w:val="double" w:sz="6" w:space="0" w:color="auto"/>
            </w:tcBorders>
          </w:tcPr>
          <w:p w:rsidR="002E2BF1" w:rsidRPr="001F6CA3" w:rsidP="008E1439" w14:paraId="2CC6DB53" w14:textId="1EB63AFB">
            <w:pPr>
              <w:tabs>
                <w:tab w:val="center" w:pos="535"/>
              </w:tabs>
              <w:suppressAutoHyphens/>
              <w:spacing w:before="90" w:after="54"/>
              <w:jc w:val="center"/>
              <w:rPr>
                <w:rFonts w:ascii="Times New Roman" w:hAnsi="Times New Roman"/>
                <w:sz w:val="22"/>
                <w:szCs w:val="22"/>
              </w:rPr>
            </w:pPr>
            <w:r>
              <w:rPr>
                <w:rFonts w:ascii="Times New Roman" w:hAnsi="Times New Roman"/>
                <w:sz w:val="22"/>
                <w:szCs w:val="22"/>
              </w:rPr>
              <w:t>20</w:t>
            </w:r>
            <w:r w:rsidRPr="001F6CA3">
              <w:rPr>
                <w:rFonts w:ascii="Times New Roman" w:hAnsi="Times New Roman"/>
                <w:sz w:val="22"/>
                <w:szCs w:val="22"/>
              </w:rPr>
              <w:t>11</w:t>
            </w:r>
          </w:p>
        </w:tc>
      </w:tr>
      <w:tr w14:paraId="4D461457" w14:textId="77777777">
        <w:tblPrEx>
          <w:tblW w:w="9630" w:type="dxa"/>
          <w:tblInd w:w="210" w:type="dxa"/>
          <w:tblLayout w:type="fixed"/>
          <w:tblCellMar>
            <w:left w:w="120" w:type="dxa"/>
            <w:right w:w="120" w:type="dxa"/>
          </w:tblCellMar>
          <w:tblLook w:val="0000"/>
        </w:tblPrEx>
        <w:tc>
          <w:tcPr>
            <w:tcW w:w="5310" w:type="dxa"/>
            <w:tcBorders>
              <w:top w:val="single" w:sz="6" w:space="0" w:color="auto"/>
              <w:left w:val="double" w:sz="6" w:space="0" w:color="auto"/>
              <w:bottom w:val="double" w:sz="6" w:space="0" w:color="auto"/>
            </w:tcBorders>
          </w:tcPr>
          <w:p w:rsidR="002E2BF1" w:rsidRPr="001F6CA3" w14:paraId="0CB0EBFF"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CMRS Messaging Services (Parts 22, 24 and 90) </w:t>
            </w:r>
          </w:p>
        </w:tc>
        <w:tc>
          <w:tcPr>
            <w:tcW w:w="2880" w:type="dxa"/>
            <w:tcBorders>
              <w:top w:val="single" w:sz="6" w:space="0" w:color="auto"/>
              <w:left w:val="single" w:sz="6" w:space="0" w:color="auto"/>
              <w:bottom w:val="double" w:sz="6" w:space="0" w:color="auto"/>
            </w:tcBorders>
          </w:tcPr>
          <w:p w:rsidR="002E2BF1" w:rsidRPr="001F6CA3" w14:paraId="7A5A5E9D" w14:textId="77777777">
            <w:pPr>
              <w:tabs>
                <w:tab w:val="left" w:pos="-720"/>
              </w:tabs>
              <w:suppressAutoHyphens/>
              <w:spacing w:before="90" w:after="54"/>
              <w:rPr>
                <w:rFonts w:ascii="Times New Roman" w:hAnsi="Times New Roman"/>
                <w:sz w:val="22"/>
                <w:szCs w:val="22"/>
              </w:rPr>
            </w:pPr>
            <w:r w:rsidRPr="001F6CA3">
              <w:rPr>
                <w:rFonts w:ascii="Times New Roman" w:hAnsi="Times New Roman"/>
                <w:sz w:val="22"/>
                <w:szCs w:val="22"/>
              </w:rPr>
              <w:t xml:space="preserve">$0.08 per </w:t>
            </w:r>
            <w:r w:rsidR="00424B57">
              <w:rPr>
                <w:rFonts w:ascii="Times New Roman" w:hAnsi="Times New Roman"/>
                <w:sz w:val="22"/>
                <w:szCs w:val="22"/>
              </w:rPr>
              <w:t>subscriber count</w:t>
            </w:r>
          </w:p>
        </w:tc>
        <w:tc>
          <w:tcPr>
            <w:tcW w:w="1440" w:type="dxa"/>
            <w:tcBorders>
              <w:top w:val="single" w:sz="6" w:space="0" w:color="auto"/>
              <w:left w:val="single" w:sz="6" w:space="0" w:color="auto"/>
              <w:bottom w:val="double" w:sz="6" w:space="0" w:color="auto"/>
              <w:right w:val="double" w:sz="6" w:space="0" w:color="auto"/>
            </w:tcBorders>
          </w:tcPr>
          <w:p w:rsidR="002E2BF1" w:rsidRPr="001F6CA3" w:rsidP="008E1439" w14:paraId="77ECAA16" w14:textId="1C24CEE5">
            <w:pPr>
              <w:tabs>
                <w:tab w:val="center" w:pos="535"/>
              </w:tabs>
              <w:suppressAutoHyphens/>
              <w:spacing w:before="90" w:after="54"/>
              <w:jc w:val="center"/>
              <w:rPr>
                <w:rFonts w:ascii="Times New Roman" w:hAnsi="Times New Roman"/>
                <w:sz w:val="22"/>
                <w:szCs w:val="22"/>
              </w:rPr>
            </w:pPr>
            <w:r>
              <w:rPr>
                <w:rFonts w:ascii="Times New Roman" w:hAnsi="Times New Roman"/>
                <w:sz w:val="22"/>
                <w:szCs w:val="22"/>
              </w:rPr>
              <w:t>20</w:t>
            </w:r>
            <w:r w:rsidRPr="001F6CA3">
              <w:rPr>
                <w:rFonts w:ascii="Times New Roman" w:hAnsi="Times New Roman"/>
                <w:sz w:val="22"/>
                <w:szCs w:val="22"/>
              </w:rPr>
              <w:t>13</w:t>
            </w:r>
          </w:p>
        </w:tc>
      </w:tr>
    </w:tbl>
    <w:p w:rsidR="002E2BF1" w:rsidRPr="001F6CA3" w14:paraId="14871B4F" w14:textId="77777777">
      <w:pPr>
        <w:pStyle w:val="header2"/>
        <w:tabs>
          <w:tab w:val="clear" w:pos="1440"/>
          <w:tab w:val="clear" w:pos="4320"/>
          <w:tab w:val="clear" w:pos="8640"/>
        </w:tabs>
        <w:suppressAutoHyphens w:val="0"/>
        <w:rPr>
          <w:bCs/>
          <w:sz w:val="22"/>
          <w:szCs w:val="22"/>
        </w:rPr>
      </w:pPr>
    </w:p>
    <w:p w:rsidR="002E2BF1" w:rsidRPr="001F6CA3" w14:paraId="1E2F670A" w14:textId="77777777">
      <w:pPr>
        <w:pStyle w:val="header2"/>
        <w:tabs>
          <w:tab w:val="clear" w:pos="1440"/>
          <w:tab w:val="clear" w:pos="4320"/>
          <w:tab w:val="clear" w:pos="8640"/>
        </w:tabs>
        <w:suppressAutoHyphens w:val="0"/>
        <w:rPr>
          <w:bCs/>
          <w:sz w:val="22"/>
          <w:szCs w:val="22"/>
        </w:rPr>
      </w:pPr>
      <w:r w:rsidRPr="001F6CA3">
        <w:rPr>
          <w:bCs/>
          <w:sz w:val="22"/>
          <w:szCs w:val="22"/>
        </w:rPr>
        <w:t>BRS (FORMERLY MDS/MMDS) AND LMDS PROVIDERS</w:t>
      </w:r>
    </w:p>
    <w:p w:rsidR="002E2BF1" w:rsidRPr="001F6CA3" w14:paraId="1B90AD19" w14:textId="77777777">
      <w:pPr>
        <w:tabs>
          <w:tab w:val="left" w:pos="-720"/>
        </w:tabs>
        <w:suppressAutoHyphens/>
        <w:rPr>
          <w:rFonts w:ascii="Times New Roman" w:hAnsi="Times New Roman"/>
          <w:b/>
          <w:sz w:val="22"/>
          <w:szCs w:val="22"/>
        </w:rPr>
      </w:pPr>
    </w:p>
    <w:p w:rsidR="002E2BF1" w:rsidRPr="001F6CA3" w14:paraId="184D4FFB" w14:textId="752DC9ED">
      <w:pPr>
        <w:tabs>
          <w:tab w:val="left" w:pos="-720"/>
        </w:tabs>
        <w:suppressAutoHyphens/>
        <w:rPr>
          <w:rFonts w:ascii="Times New Roman" w:hAnsi="Times New Roman"/>
          <w:spacing w:val="-3"/>
          <w:sz w:val="22"/>
          <w:szCs w:val="22"/>
        </w:rPr>
      </w:pPr>
      <w:r w:rsidRPr="001F6CA3">
        <w:rPr>
          <w:rFonts w:ascii="Times New Roman" w:hAnsi="Times New Roman"/>
          <w:b/>
          <w:sz w:val="22"/>
          <w:szCs w:val="22"/>
        </w:rPr>
        <w:t>Who Must Pay:</w:t>
      </w:r>
      <w:r w:rsidRPr="001F6CA3">
        <w:rPr>
          <w:rFonts w:ascii="Times New Roman" w:hAnsi="Times New Roman"/>
          <w:sz w:val="22"/>
          <w:szCs w:val="22"/>
        </w:rPr>
        <w:t xml:space="preserve">  BRS and LMDS </w:t>
      </w:r>
      <w:r w:rsidRPr="001F6CA3">
        <w:rPr>
          <w:rFonts w:ascii="Times New Roman" w:hAnsi="Times New Roman"/>
          <w:spacing w:val="-2"/>
          <w:sz w:val="22"/>
          <w:szCs w:val="22"/>
        </w:rPr>
        <w:t xml:space="preserve">providers owe regulatory fees for each license held as of </w:t>
      </w:r>
      <w:r w:rsidRPr="001F6CA3">
        <w:rPr>
          <w:rFonts w:ascii="Times New Roman" w:hAnsi="Times New Roman"/>
          <w:bCs/>
          <w:sz w:val="22"/>
          <w:szCs w:val="22"/>
        </w:rPr>
        <w:t>October 1, 201</w:t>
      </w:r>
      <w:r w:rsidR="00F95385">
        <w:rPr>
          <w:rFonts w:ascii="Times New Roman" w:hAnsi="Times New Roman"/>
          <w:bCs/>
          <w:sz w:val="22"/>
          <w:szCs w:val="22"/>
        </w:rPr>
        <w:t>9</w:t>
      </w:r>
      <w:r w:rsidRPr="001F6CA3">
        <w:rPr>
          <w:rFonts w:ascii="Times New Roman" w:hAnsi="Times New Roman"/>
          <w:sz w:val="22"/>
          <w:szCs w:val="22"/>
        </w:rPr>
        <w:t xml:space="preserve">, </w:t>
      </w:r>
      <w:r w:rsidRPr="001F6CA3">
        <w:rPr>
          <w:rFonts w:ascii="Times New Roman" w:hAnsi="Times New Roman"/>
          <w:sz w:val="22"/>
          <w:szCs w:val="22"/>
          <w:u w:val="single"/>
        </w:rPr>
        <w:t xml:space="preserve">even if a license expired after October 1, </w:t>
      </w:r>
      <w:r w:rsidRPr="001F6CA3">
        <w:rPr>
          <w:rFonts w:ascii="Times New Roman" w:hAnsi="Times New Roman"/>
          <w:sz w:val="22"/>
          <w:szCs w:val="22"/>
          <w:u w:val="single"/>
        </w:rPr>
        <w:t>201</w:t>
      </w:r>
      <w:r w:rsidR="00F95385">
        <w:rPr>
          <w:rFonts w:ascii="Times New Roman" w:hAnsi="Times New Roman"/>
          <w:sz w:val="22"/>
          <w:szCs w:val="22"/>
          <w:u w:val="single"/>
        </w:rPr>
        <w:t>9</w:t>
      </w:r>
      <w:r w:rsidRPr="001F6CA3">
        <w:rPr>
          <w:rFonts w:ascii="Times New Roman" w:hAnsi="Times New Roman"/>
          <w:sz w:val="22"/>
          <w:szCs w:val="22"/>
        </w:rPr>
        <w:t>.</w:t>
      </w:r>
      <w:r w:rsidRPr="001F6CA3">
        <w:rPr>
          <w:rFonts w:ascii="Times New Roman" w:hAnsi="Times New Roman"/>
          <w:sz w:val="22"/>
          <w:szCs w:val="22"/>
        </w:rPr>
        <w:t xml:space="preserve">  In instances where a license or authorization is transferred or assigned after October 1, 201</w:t>
      </w:r>
      <w:r w:rsidR="00F95385">
        <w:rPr>
          <w:rFonts w:ascii="Times New Roman" w:hAnsi="Times New Roman"/>
          <w:sz w:val="22"/>
          <w:szCs w:val="22"/>
        </w:rPr>
        <w:t>9</w:t>
      </w:r>
      <w:r w:rsidRPr="001F6CA3">
        <w:rPr>
          <w:rFonts w:ascii="Times New Roman" w:hAnsi="Times New Roman"/>
          <w:sz w:val="22"/>
          <w:szCs w:val="22"/>
        </w:rPr>
        <w:t xml:space="preserve">, the fee must be paid by the party that is the licensee or holder of the authorization on the date that the fee payment is due.  </w:t>
      </w:r>
    </w:p>
    <w:p w:rsidR="002E2BF1" w:rsidRPr="001F6CA3" w14:paraId="690216FD" w14:textId="77777777">
      <w:pPr>
        <w:tabs>
          <w:tab w:val="left" w:pos="-720"/>
        </w:tabs>
        <w:suppressAutoHyphens/>
        <w:rPr>
          <w:rFonts w:ascii="Times New Roman" w:hAnsi="Times New Roman"/>
          <w:b/>
          <w:smallCaps/>
          <w:sz w:val="22"/>
          <w:szCs w:val="22"/>
        </w:rPr>
      </w:pPr>
    </w:p>
    <w:p w:rsidR="002E2BF1" w:rsidRPr="001F6CA3" w14:paraId="1038DAB4" w14:textId="77777777">
      <w:pPr>
        <w:tabs>
          <w:tab w:val="left" w:pos="-720"/>
        </w:tabs>
        <w:suppressAutoHyphens/>
        <w:rPr>
          <w:rFonts w:ascii="Times New Roman" w:hAnsi="Times New Roman"/>
          <w:sz w:val="22"/>
          <w:szCs w:val="22"/>
        </w:rPr>
      </w:pPr>
      <w:r w:rsidRPr="001F6CA3">
        <w:rPr>
          <w:rFonts w:ascii="Times New Roman" w:hAnsi="Times New Roman"/>
          <w:b/>
          <w:sz w:val="22"/>
          <w:szCs w:val="22"/>
        </w:rPr>
        <w:t>Fee Requirement:</w:t>
      </w:r>
      <w:r w:rsidRPr="001F6CA3">
        <w:rPr>
          <w:rFonts w:ascii="Times New Roman" w:hAnsi="Times New Roman"/>
          <w:b/>
          <w:smallCaps/>
          <w:sz w:val="22"/>
          <w:szCs w:val="22"/>
        </w:rPr>
        <w:t xml:space="preserve"> </w:t>
      </w:r>
      <w:r w:rsidRPr="001F6CA3">
        <w:rPr>
          <w:rFonts w:ascii="Times New Roman" w:hAnsi="Times New Roman"/>
          <w:smallCaps/>
          <w:sz w:val="22"/>
          <w:szCs w:val="22"/>
        </w:rPr>
        <w:t xml:space="preserve"> </w:t>
      </w:r>
      <w:r w:rsidRPr="001F6CA3">
        <w:rPr>
          <w:rFonts w:ascii="Times New Roman" w:hAnsi="Times New Roman"/>
          <w:sz w:val="22"/>
          <w:szCs w:val="22"/>
        </w:rPr>
        <w:t>Regulatory fees for BRS are assessed on a per license basis, whereas regulatory fees for LMDS are assessed on a per call sign basis as follows:</w:t>
      </w:r>
    </w:p>
    <w:p w:rsidR="002E2BF1" w:rsidRPr="001F6CA3" w14:paraId="702AE95B" w14:textId="77777777">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5004"/>
        <w:gridCol w:w="2502"/>
        <w:gridCol w:w="2502"/>
      </w:tblGrid>
      <w:tr w14:paraId="5F97A3F0" w14:textId="77777777">
        <w:tblPrEx>
          <w:tblW w:w="0" w:type="auto"/>
          <w:tblInd w:w="120" w:type="dxa"/>
          <w:tblLayout w:type="fixed"/>
          <w:tblCellMar>
            <w:left w:w="120" w:type="dxa"/>
            <w:right w:w="120" w:type="dxa"/>
          </w:tblCellMar>
          <w:tblLook w:val="0000"/>
        </w:tblPrEx>
        <w:tc>
          <w:tcPr>
            <w:tcW w:w="5004" w:type="dxa"/>
            <w:tcBorders>
              <w:top w:val="double" w:sz="6" w:space="0" w:color="auto"/>
              <w:left w:val="double" w:sz="6" w:space="0" w:color="auto"/>
            </w:tcBorders>
          </w:tcPr>
          <w:p w:rsidR="002E2BF1" w:rsidRPr="001F6CA3" w14:paraId="39472A37"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1F6CA3">
              <w:rPr>
                <w:rFonts w:ascii="Times New Roman" w:hAnsi="Times New Roman"/>
                <w:sz w:val="22"/>
                <w:szCs w:val="22"/>
              </w:rPr>
              <w:instrText xml:space="preserve">PRIVATE </w:instrText>
            </w:r>
            <w:r>
              <w:rPr>
                <w:rFonts w:ascii="Times New Roman" w:hAnsi="Times New Roman"/>
                <w:sz w:val="22"/>
                <w:szCs w:val="22"/>
              </w:rPr>
              <w:fldChar w:fldCharType="end"/>
            </w:r>
            <w:r w:rsidRPr="001F6CA3">
              <w:rPr>
                <w:rFonts w:ascii="Times New Roman" w:hAnsi="Times New Roman"/>
                <w:b/>
                <w:sz w:val="22"/>
                <w:szCs w:val="22"/>
              </w:rPr>
              <w:t>Type of License</w:t>
            </w:r>
          </w:p>
          <w:p w:rsidR="002E2BF1" w:rsidRPr="001F6CA3" w14:paraId="7A2B5805"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2E2BF1" w:rsidRPr="001F6CA3" w14:paraId="6BDCA210" w14:textId="77777777">
            <w:pPr>
              <w:tabs>
                <w:tab w:val="left" w:pos="-720"/>
              </w:tabs>
              <w:suppressAutoHyphens/>
              <w:spacing w:before="90"/>
              <w:jc w:val="center"/>
              <w:rPr>
                <w:rFonts w:ascii="Times New Roman" w:hAnsi="Times New Roman"/>
                <w:b/>
                <w:sz w:val="22"/>
                <w:szCs w:val="22"/>
              </w:rPr>
            </w:pPr>
            <w:r w:rsidRPr="001F6CA3">
              <w:rPr>
                <w:rFonts w:ascii="Times New Roman" w:hAnsi="Times New Roman"/>
                <w:b/>
                <w:sz w:val="22"/>
                <w:szCs w:val="22"/>
              </w:rPr>
              <w:t>Regulatory Fee</w:t>
            </w:r>
          </w:p>
          <w:p w:rsidR="002E2BF1" w:rsidRPr="001F6CA3" w14:paraId="0A422F89"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2E2BF1" w:rsidRPr="001F6CA3" w14:paraId="282647A7" w14:textId="77777777">
            <w:pPr>
              <w:tabs>
                <w:tab w:val="left" w:pos="-720"/>
              </w:tabs>
              <w:suppressAutoHyphens/>
              <w:spacing w:before="90" w:after="54"/>
              <w:jc w:val="center"/>
              <w:rPr>
                <w:rFonts w:ascii="Times New Roman" w:hAnsi="Times New Roman"/>
                <w:sz w:val="22"/>
                <w:szCs w:val="22"/>
              </w:rPr>
            </w:pPr>
            <w:r w:rsidRPr="001F6CA3">
              <w:rPr>
                <w:rFonts w:ascii="Times New Roman" w:hAnsi="Times New Roman"/>
                <w:b/>
                <w:sz w:val="22"/>
                <w:szCs w:val="22"/>
              </w:rPr>
              <w:t>Payment Type Code</w:t>
            </w:r>
          </w:p>
        </w:tc>
      </w:tr>
      <w:tr w14:paraId="74F3A98F" w14:textId="77777777">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single" w:sz="6" w:space="0" w:color="auto"/>
            </w:tcBorders>
          </w:tcPr>
          <w:p w:rsidR="002E2BF1" w:rsidRPr="001F6CA3" w14:paraId="577918F6" w14:textId="77777777">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BRS (Formerly MDS/MMDS)</w:t>
            </w:r>
          </w:p>
        </w:tc>
        <w:tc>
          <w:tcPr>
            <w:tcW w:w="2502" w:type="dxa"/>
            <w:tcBorders>
              <w:top w:val="single" w:sz="6" w:space="0" w:color="auto"/>
              <w:left w:val="single" w:sz="6" w:space="0" w:color="auto"/>
              <w:bottom w:val="single" w:sz="6" w:space="0" w:color="auto"/>
            </w:tcBorders>
          </w:tcPr>
          <w:p w:rsidR="002E2BF1" w:rsidRPr="001F6CA3" w:rsidP="008E1439" w14:paraId="5BBF68FC" w14:textId="13F8FD59">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F95385">
              <w:rPr>
                <w:rFonts w:ascii="Times New Roman" w:hAnsi="Times New Roman"/>
                <w:sz w:val="22"/>
                <w:szCs w:val="22"/>
              </w:rPr>
              <w:t>560</w:t>
            </w:r>
          </w:p>
        </w:tc>
        <w:tc>
          <w:tcPr>
            <w:tcW w:w="2502" w:type="dxa"/>
            <w:tcBorders>
              <w:top w:val="single" w:sz="6" w:space="0" w:color="auto"/>
              <w:left w:val="single" w:sz="6" w:space="0" w:color="auto"/>
              <w:bottom w:val="single" w:sz="6" w:space="0" w:color="auto"/>
              <w:right w:val="double" w:sz="6" w:space="0" w:color="auto"/>
            </w:tcBorders>
          </w:tcPr>
          <w:p w:rsidR="002E2BF1" w:rsidRPr="001F6CA3" w:rsidP="008E1439" w14:paraId="592B80A9" w14:textId="6A35F908">
            <w:pPr>
              <w:tabs>
                <w:tab w:val="center" w:pos="1111"/>
              </w:tabs>
              <w:suppressAutoHyphens/>
              <w:spacing w:before="90" w:after="54"/>
              <w:jc w:val="center"/>
              <w:rPr>
                <w:rFonts w:ascii="Times New Roman" w:hAnsi="Times New Roman"/>
                <w:sz w:val="22"/>
                <w:szCs w:val="22"/>
              </w:rPr>
            </w:pPr>
            <w:r>
              <w:rPr>
                <w:rFonts w:ascii="Times New Roman" w:hAnsi="Times New Roman"/>
                <w:sz w:val="22"/>
                <w:szCs w:val="22"/>
              </w:rPr>
              <w:t>20</w:t>
            </w:r>
            <w:r w:rsidRPr="001F6CA3">
              <w:rPr>
                <w:rFonts w:ascii="Times New Roman" w:hAnsi="Times New Roman"/>
                <w:sz w:val="22"/>
                <w:szCs w:val="22"/>
              </w:rPr>
              <w:t>14</w:t>
            </w:r>
          </w:p>
        </w:tc>
      </w:tr>
      <w:tr w14:paraId="34F5117E" w14:textId="77777777">
        <w:tblPrEx>
          <w:tblW w:w="0" w:type="auto"/>
          <w:tblInd w:w="120" w:type="dxa"/>
          <w:tblLayout w:type="fixed"/>
          <w:tblCellMar>
            <w:left w:w="120" w:type="dxa"/>
            <w:right w:w="120" w:type="dxa"/>
          </w:tblCellMar>
          <w:tblLook w:val="0000"/>
        </w:tblPrEx>
        <w:tc>
          <w:tcPr>
            <w:tcW w:w="5004" w:type="dxa"/>
            <w:tcBorders>
              <w:top w:val="single" w:sz="6" w:space="0" w:color="auto"/>
              <w:left w:val="double" w:sz="6" w:space="0" w:color="auto"/>
              <w:bottom w:val="double" w:sz="6" w:space="0" w:color="auto"/>
            </w:tcBorders>
          </w:tcPr>
          <w:p w:rsidR="002E2BF1" w:rsidRPr="001F6CA3" w14:paraId="42BCCECE" w14:textId="77777777">
            <w:pPr>
              <w:tabs>
                <w:tab w:val="left" w:pos="-720"/>
                <w:tab w:val="left" w:pos="0"/>
              </w:tabs>
              <w:suppressAutoHyphens/>
              <w:spacing w:before="90" w:after="54"/>
              <w:ind w:left="720" w:hanging="720"/>
              <w:jc w:val="center"/>
              <w:rPr>
                <w:rFonts w:ascii="Times New Roman" w:hAnsi="Times New Roman"/>
                <w:sz w:val="22"/>
                <w:szCs w:val="22"/>
              </w:rPr>
            </w:pPr>
            <w:r w:rsidRPr="001F6CA3">
              <w:rPr>
                <w:rFonts w:ascii="Times New Roman" w:hAnsi="Times New Roman"/>
                <w:sz w:val="22"/>
                <w:szCs w:val="22"/>
              </w:rPr>
              <w:t>LMDS</w:t>
            </w:r>
          </w:p>
        </w:tc>
        <w:tc>
          <w:tcPr>
            <w:tcW w:w="2502" w:type="dxa"/>
            <w:tcBorders>
              <w:top w:val="single" w:sz="6" w:space="0" w:color="auto"/>
              <w:left w:val="single" w:sz="6" w:space="0" w:color="auto"/>
              <w:bottom w:val="double" w:sz="6" w:space="0" w:color="auto"/>
            </w:tcBorders>
          </w:tcPr>
          <w:p w:rsidR="002E2BF1" w:rsidRPr="001F6CA3" w:rsidP="008E1439" w14:paraId="6056986A" w14:textId="467402B3">
            <w:pPr>
              <w:tabs>
                <w:tab w:val="center" w:pos="1140"/>
              </w:tabs>
              <w:suppressAutoHyphens/>
              <w:spacing w:before="90" w:after="54"/>
              <w:jc w:val="center"/>
              <w:rPr>
                <w:rFonts w:ascii="Times New Roman" w:hAnsi="Times New Roman"/>
                <w:sz w:val="22"/>
                <w:szCs w:val="22"/>
              </w:rPr>
            </w:pPr>
            <w:r w:rsidRPr="001F6CA3">
              <w:rPr>
                <w:rFonts w:ascii="Times New Roman" w:hAnsi="Times New Roman"/>
                <w:sz w:val="22"/>
                <w:szCs w:val="22"/>
              </w:rPr>
              <w:t>$</w:t>
            </w:r>
            <w:r w:rsidR="00F95385">
              <w:rPr>
                <w:rFonts w:ascii="Times New Roman" w:hAnsi="Times New Roman"/>
                <w:sz w:val="22"/>
                <w:szCs w:val="22"/>
              </w:rPr>
              <w:t>560</w:t>
            </w:r>
          </w:p>
        </w:tc>
        <w:tc>
          <w:tcPr>
            <w:tcW w:w="2502" w:type="dxa"/>
            <w:tcBorders>
              <w:top w:val="single" w:sz="6" w:space="0" w:color="auto"/>
              <w:left w:val="single" w:sz="6" w:space="0" w:color="auto"/>
              <w:bottom w:val="double" w:sz="6" w:space="0" w:color="auto"/>
              <w:right w:val="double" w:sz="6" w:space="0" w:color="auto"/>
            </w:tcBorders>
          </w:tcPr>
          <w:p w:rsidR="002E2BF1" w:rsidRPr="001F6CA3" w:rsidP="008E1439" w14:paraId="752203B4" w14:textId="2E697920">
            <w:pPr>
              <w:tabs>
                <w:tab w:val="center" w:pos="1111"/>
              </w:tabs>
              <w:suppressAutoHyphens/>
              <w:spacing w:before="90" w:after="54"/>
              <w:jc w:val="center"/>
              <w:rPr>
                <w:rFonts w:ascii="Times New Roman" w:hAnsi="Times New Roman"/>
                <w:sz w:val="22"/>
                <w:szCs w:val="22"/>
              </w:rPr>
            </w:pPr>
            <w:r>
              <w:rPr>
                <w:rFonts w:ascii="Times New Roman" w:hAnsi="Times New Roman"/>
                <w:sz w:val="22"/>
                <w:szCs w:val="22"/>
              </w:rPr>
              <w:t>20</w:t>
            </w:r>
            <w:r w:rsidRPr="001F6CA3">
              <w:rPr>
                <w:rFonts w:ascii="Times New Roman" w:hAnsi="Times New Roman"/>
                <w:sz w:val="22"/>
                <w:szCs w:val="22"/>
              </w:rPr>
              <w:t>85</w:t>
            </w:r>
          </w:p>
        </w:tc>
      </w:tr>
    </w:tbl>
    <w:p w:rsidR="002E2BF1" w:rsidRPr="001F6CA3" w14:paraId="38ACE76A" w14:textId="77777777">
      <w:pPr>
        <w:tabs>
          <w:tab w:val="left" w:pos="-720"/>
        </w:tabs>
        <w:suppressAutoHyphens/>
        <w:jc w:val="center"/>
        <w:outlineLvl w:val="0"/>
        <w:rPr>
          <w:rFonts w:ascii="Times New Roman" w:hAnsi="Times New Roman"/>
          <w:b/>
          <w:sz w:val="22"/>
          <w:szCs w:val="22"/>
        </w:rPr>
      </w:pPr>
    </w:p>
    <w:p w:rsidR="00B30701" w:rsidRPr="001F6CA3" w:rsidP="002E2BF1" w14:paraId="67EA6B6C" w14:textId="2DD79675">
      <w:pPr>
        <w:tabs>
          <w:tab w:val="left" w:pos="-720"/>
        </w:tabs>
        <w:suppressAutoHyphens/>
        <w:rPr>
          <w:rFonts w:ascii="Times New Roman" w:hAnsi="Times New Roman"/>
          <w:b/>
          <w:sz w:val="22"/>
          <w:szCs w:val="22"/>
        </w:rPr>
      </w:pPr>
    </w:p>
    <w:p w:rsidR="002E2BF1" w:rsidRPr="00C71464" w:rsidP="002E2BF1" w14:paraId="2727EBF9" w14:textId="77777777">
      <w:pPr>
        <w:pStyle w:val="ParaNum0"/>
        <w:numPr>
          <w:ilvl w:val="0"/>
          <w:numId w:val="0"/>
        </w:numPr>
        <w:jc w:val="center"/>
        <w:rPr>
          <w:b/>
          <w:szCs w:val="22"/>
        </w:rPr>
      </w:pPr>
      <w:r w:rsidRPr="00C71464">
        <w:rPr>
          <w:b/>
          <w:szCs w:val="22"/>
        </w:rPr>
        <w:t>MANDATORY USE OF FEE FILER</w:t>
      </w:r>
    </w:p>
    <w:p w:rsidR="00FB127B" w:rsidP="00FB127B" w14:paraId="41946BD9" w14:textId="28E5B72F">
      <w:pPr>
        <w:widowControl/>
        <w:rPr>
          <w:rFonts w:ascii="Times New Roman" w:hAnsi="Times New Roman"/>
          <w:sz w:val="24"/>
          <w:szCs w:val="24"/>
        </w:rPr>
      </w:pPr>
      <w:r>
        <w:rPr>
          <w:rFonts w:ascii="Times New Roman" w:hAnsi="Times New Roman"/>
          <w:sz w:val="22"/>
          <w:szCs w:val="22"/>
        </w:rPr>
        <w:t xml:space="preserve">The use of the online Fee Filer system for filing regulatory fees has not changed since the process was first initiated in FY 2009:  licensees and </w:t>
      </w:r>
      <w:r>
        <w:rPr>
          <w:rFonts w:ascii="Times New Roman" w:hAnsi="Times New Roman"/>
          <w:sz w:val="22"/>
          <w:szCs w:val="22"/>
        </w:rPr>
        <w:t>regulatees</w:t>
      </w:r>
      <w:r>
        <w:rPr>
          <w:rFonts w:ascii="Times New Roman" w:hAnsi="Times New Roman"/>
          <w:sz w:val="22"/>
          <w:szCs w:val="22"/>
        </w:rPr>
        <w:t xml:space="preserve"> must first enter the Commission’s Fee Filer system with a valid FRN and password, and follow the online prompts to review their data and submit an electronic fee payment.</w:t>
      </w:r>
      <w:r>
        <w:rPr>
          <w:rFonts w:ascii="Times New Roman" w:hAnsi="Times New Roman"/>
          <w:iCs/>
          <w:sz w:val="22"/>
          <w:szCs w:val="22"/>
        </w:rPr>
        <w:t xml:space="preserve">  </w:t>
      </w:r>
      <w:r>
        <w:rPr>
          <w:rFonts w:ascii="Times New Roman" w:hAnsi="Times New Roman"/>
          <w:sz w:val="22"/>
          <w:szCs w:val="22"/>
        </w:rPr>
        <w:t xml:space="preserve">Use of the online Fee Filer system is mandatory, and </w:t>
      </w:r>
      <w:r>
        <w:rPr>
          <w:rFonts w:ascii="Times New Roman" w:hAnsi="Times New Roman"/>
          <w:b/>
          <w:sz w:val="22"/>
          <w:szCs w:val="22"/>
        </w:rPr>
        <w:t xml:space="preserve">payments </w:t>
      </w:r>
      <w:r w:rsidR="00F95385">
        <w:rPr>
          <w:rFonts w:ascii="Times New Roman" w:hAnsi="Times New Roman"/>
          <w:b/>
          <w:sz w:val="22"/>
          <w:szCs w:val="22"/>
        </w:rPr>
        <w:t>made by</w:t>
      </w:r>
      <w:r>
        <w:rPr>
          <w:rFonts w:ascii="Times New Roman" w:hAnsi="Times New Roman"/>
          <w:b/>
          <w:sz w:val="22"/>
          <w:szCs w:val="22"/>
        </w:rPr>
        <w:t xml:space="preserve"> checks, money orders, and cashier’s checks </w:t>
      </w:r>
      <w:r w:rsidR="0023505F">
        <w:rPr>
          <w:rFonts w:ascii="Times New Roman" w:hAnsi="Times New Roman"/>
          <w:b/>
          <w:sz w:val="22"/>
          <w:szCs w:val="22"/>
          <w:u w:val="single"/>
        </w:rPr>
        <w:t xml:space="preserve">will not be </w:t>
      </w:r>
      <w:r>
        <w:rPr>
          <w:rFonts w:ascii="Times New Roman" w:hAnsi="Times New Roman"/>
          <w:b/>
          <w:sz w:val="22"/>
          <w:szCs w:val="22"/>
          <w:u w:val="single"/>
        </w:rPr>
        <w:t>accepted</w:t>
      </w:r>
      <w:r>
        <w:rPr>
          <w:rFonts w:ascii="Times New Roman" w:hAnsi="Times New Roman"/>
          <w:sz w:val="22"/>
          <w:szCs w:val="22"/>
        </w:rPr>
        <w:t xml:space="preserve">. </w:t>
      </w:r>
      <w:r>
        <w:rPr>
          <w:rStyle w:val="FootnoteReference"/>
          <w:rFonts w:ascii="Times New Roman" w:hAnsi="Times New Roman"/>
          <w:sz w:val="22"/>
          <w:szCs w:val="22"/>
        </w:rPr>
        <w:footnoteReference w:id="3"/>
      </w:r>
      <w:r>
        <w:rPr>
          <w:rFonts w:ascii="Times New Roman" w:hAnsi="Times New Roman"/>
          <w:sz w:val="22"/>
          <w:szCs w:val="22"/>
        </w:rPr>
        <w:t xml:space="preserve">  In making a wire transfer, please fax the “</w:t>
      </w:r>
      <w:r>
        <w:rPr>
          <w:sz w:val="22"/>
          <w:szCs w:val="22"/>
          <w:u w:val="single"/>
        </w:rPr>
        <w:t>Wire Transfer Instructions”</w:t>
      </w:r>
      <w:r>
        <w:rPr>
          <w:sz w:val="22"/>
          <w:szCs w:val="22"/>
        </w:rPr>
        <w:t xml:space="preserve"> from Fee </w:t>
      </w:r>
      <w:r>
        <w:rPr>
          <w:sz w:val="22"/>
          <w:szCs w:val="22"/>
        </w:rPr>
        <w:t>Filer to the Federal Communications Commission at (202) 418-2843 at least one hour before initiating the wire transfer</w:t>
      </w:r>
      <w:r>
        <w:rPr>
          <w:b/>
          <w:sz w:val="22"/>
          <w:szCs w:val="22"/>
        </w:rPr>
        <w:t xml:space="preserve"> (but on the same business day) so as not to delay crediting their account.  These Wire Transfer Instructions contain valuable information (</w:t>
      </w:r>
      <w:r w:rsidRPr="00703490">
        <w:rPr>
          <w:b/>
          <w:i/>
          <w:sz w:val="22"/>
          <w:szCs w:val="22"/>
        </w:rPr>
        <w:t>e.g.</w:t>
      </w:r>
      <w:r>
        <w:rPr>
          <w:b/>
          <w:sz w:val="22"/>
          <w:szCs w:val="22"/>
        </w:rPr>
        <w:t xml:space="preserve"> FRN, Voucher Number, Payer Name, and the Amount of the Wire) that will help to post the payment more quickly, and avoid costly delays that could result in penalties and interest for missing the payment due date.  </w:t>
      </w:r>
      <w:r>
        <w:rPr>
          <w:sz w:val="22"/>
          <w:szCs w:val="22"/>
        </w:rPr>
        <w:t>Please note that most wire transfers initiated after 6:00 p.m. (EDT) will be credited the next business day</w:t>
      </w:r>
      <w:r w:rsidR="00424B57">
        <w:rPr>
          <w:sz w:val="22"/>
          <w:szCs w:val="22"/>
        </w:rPr>
        <w:t>, and international wires may take a little longer</w:t>
      </w:r>
      <w:r>
        <w:rPr>
          <w:sz w:val="22"/>
          <w:szCs w:val="22"/>
        </w:rPr>
        <w:t>.</w:t>
      </w:r>
      <w:r>
        <w:rPr>
          <w:rFonts w:ascii="Times New Roman" w:hAnsi="Times New Roman"/>
          <w:sz w:val="24"/>
          <w:szCs w:val="24"/>
        </w:rPr>
        <w:t xml:space="preserve"> </w:t>
      </w:r>
    </w:p>
    <w:p w:rsidR="00FB127B" w:rsidP="00FB127B" w14:paraId="75FA4D1A" w14:textId="77777777">
      <w:pPr>
        <w:widowControl/>
        <w:rPr>
          <w:rFonts w:ascii="Times New Roman" w:hAnsi="Times New Roman"/>
          <w:sz w:val="24"/>
          <w:szCs w:val="24"/>
        </w:rPr>
      </w:pPr>
    </w:p>
    <w:p w:rsidR="002E2BF1" w:rsidRPr="00C71464" w:rsidP="002E2BF1" w14:paraId="1E6CE684" w14:textId="77777777">
      <w:pPr>
        <w:tabs>
          <w:tab w:val="left" w:pos="-720"/>
        </w:tabs>
        <w:suppressAutoHyphens/>
        <w:jc w:val="center"/>
        <w:outlineLvl w:val="0"/>
        <w:rPr>
          <w:rFonts w:ascii="Times New Roman" w:hAnsi="Times New Roman"/>
          <w:b/>
          <w:sz w:val="22"/>
          <w:szCs w:val="22"/>
        </w:rPr>
      </w:pPr>
      <w:r w:rsidRPr="00C71464">
        <w:rPr>
          <w:rFonts w:ascii="Times New Roman" w:hAnsi="Times New Roman"/>
          <w:b/>
          <w:sz w:val="22"/>
          <w:szCs w:val="22"/>
        </w:rPr>
        <w:t>LIMITATIONS ON CREDIT CARD TRANSACTIONS</w:t>
      </w:r>
    </w:p>
    <w:p w:rsidR="002E2BF1" w:rsidRPr="00C71464" w:rsidP="002E2BF1" w14:paraId="52D42A66" w14:textId="77777777">
      <w:pPr>
        <w:tabs>
          <w:tab w:val="left" w:pos="-720"/>
        </w:tabs>
        <w:suppressAutoHyphens/>
        <w:jc w:val="center"/>
        <w:outlineLvl w:val="0"/>
        <w:rPr>
          <w:rFonts w:ascii="Times New Roman" w:hAnsi="Times New Roman"/>
          <w:b/>
          <w:sz w:val="22"/>
          <w:szCs w:val="22"/>
        </w:rPr>
      </w:pPr>
    </w:p>
    <w:p w:rsidR="002E2BF1" w:rsidP="00703490" w14:paraId="306B59BB" w14:textId="662B66E2">
      <w:pPr>
        <w:rPr>
          <w:rFonts w:ascii="Times New Roman" w:hAnsi="Times New Roman"/>
          <w:sz w:val="22"/>
          <w:szCs w:val="22"/>
        </w:rPr>
      </w:pPr>
      <w:r w:rsidRPr="00C71464">
        <w:rPr>
          <w:rFonts w:ascii="Times New Roman" w:hAnsi="Times New Roman"/>
          <w:sz w:val="22"/>
        </w:rPr>
        <w:t xml:space="preserve">In accordance with U.S. Treasury Announcement No. A-2014-04 (July 2014), the amount that can be charged on a credit card for transactions with federal agencies </w:t>
      </w:r>
      <w:r w:rsidR="00781948">
        <w:rPr>
          <w:rFonts w:ascii="Times New Roman" w:hAnsi="Times New Roman"/>
          <w:sz w:val="22"/>
        </w:rPr>
        <w:t>is</w:t>
      </w:r>
      <w:r w:rsidRPr="00C71464">
        <w:rPr>
          <w:rFonts w:ascii="Times New Roman" w:hAnsi="Times New Roman"/>
          <w:sz w:val="22"/>
        </w:rPr>
        <w:t xml:space="preserve"> $24,999.99.</w:t>
      </w:r>
      <w:r>
        <w:rPr>
          <w:rStyle w:val="FootnoteReference"/>
          <w:rFonts w:ascii="Times New Roman" w:hAnsi="Times New Roman"/>
          <w:sz w:val="22"/>
        </w:rPr>
        <w:footnoteReference w:id="4"/>
      </w:r>
      <w:r w:rsidRPr="00C71464">
        <w:rPr>
          <w:rFonts w:ascii="Times New Roman" w:hAnsi="Times New Roman"/>
          <w:sz w:val="22"/>
        </w:rPr>
        <w:t xml:space="preserve">  This lower transaction amount </w:t>
      </w:r>
      <w:r w:rsidR="00781948">
        <w:rPr>
          <w:rFonts w:ascii="Times New Roman" w:hAnsi="Times New Roman"/>
          <w:sz w:val="22"/>
        </w:rPr>
        <w:t>became</w:t>
      </w:r>
      <w:r w:rsidRPr="00C71464">
        <w:rPr>
          <w:rFonts w:ascii="Times New Roman" w:hAnsi="Times New Roman"/>
          <w:sz w:val="22"/>
        </w:rPr>
        <w:t xml:space="preserve"> effective </w:t>
      </w:r>
      <w:r w:rsidR="00781948">
        <w:rPr>
          <w:rFonts w:ascii="Times New Roman" w:hAnsi="Times New Roman"/>
          <w:sz w:val="22"/>
        </w:rPr>
        <w:t xml:space="preserve">on </w:t>
      </w:r>
      <w:r w:rsidRPr="00C71464">
        <w:rPr>
          <w:rFonts w:ascii="Times New Roman" w:hAnsi="Times New Roman"/>
          <w:sz w:val="22"/>
        </w:rPr>
        <w:t>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w:t>
      </w:r>
      <w:r w:rsidR="00F95385">
        <w:rPr>
          <w:rFonts w:ascii="Times New Roman" w:hAnsi="Times New Roman"/>
          <w:sz w:val="22"/>
        </w:rPr>
        <w:t>20</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4A4015">
        <w:rPr>
          <w:rFonts w:ascii="Times New Roman" w:hAnsi="Times New Roman"/>
          <w:sz w:val="22"/>
        </w:rPr>
        <w:t xml:space="preserve">in Fact Sheets, available </w:t>
      </w:r>
      <w:r w:rsidRPr="00C71464">
        <w:rPr>
          <w:rFonts w:ascii="Times New Roman" w:hAnsi="Times New Roman"/>
          <w:color w:val="1F497D"/>
          <w:sz w:val="22"/>
        </w:rPr>
        <w:t xml:space="preserve">at </w:t>
      </w:r>
      <w:hyperlink r:id="rId6" w:history="1">
        <w:r w:rsidRPr="00C71464">
          <w:rPr>
            <w:rStyle w:val="Hyperlink"/>
            <w:rFonts w:ascii="Times New Roman" w:hAnsi="Times New Roman"/>
            <w:sz w:val="22"/>
          </w:rPr>
          <w:t>https://www.fcc.gov/regfees</w:t>
        </w:r>
      </w:hyperlink>
      <w:r w:rsidRPr="004A4015">
        <w:rPr>
          <w:rFonts w:ascii="Times New Roman" w:hAnsi="Times New Roman"/>
          <w:color w:val="1F497D"/>
          <w:sz w:val="22"/>
        </w:rPr>
        <w:t xml:space="preserve">.  </w:t>
      </w:r>
      <w:r w:rsidRPr="00C71464">
        <w:rPr>
          <w:rFonts w:ascii="Times New Roman" w:hAnsi="Times New Roman"/>
          <w:sz w:val="22"/>
          <w:szCs w:val="22"/>
        </w:rPr>
        <w:t xml:space="preserve">Regulatory fee payments that exceed the U.S. Treasury limit and are rejected by Treasury, causing a payment to </w:t>
      </w:r>
      <w:r w:rsidR="00FA5D2B">
        <w:rPr>
          <w:rFonts w:ascii="Times New Roman" w:hAnsi="Times New Roman"/>
          <w:sz w:val="22"/>
          <w:szCs w:val="22"/>
        </w:rPr>
        <w:t xml:space="preserve">not </w:t>
      </w:r>
      <w:r w:rsidRPr="00C71464">
        <w:rPr>
          <w:rFonts w:ascii="Times New Roman" w:hAnsi="Times New Roman"/>
          <w:sz w:val="22"/>
          <w:szCs w:val="22"/>
        </w:rPr>
        <w:t>meet the required payment deadline, will be subject to interest, fees, and a 25</w:t>
      </w:r>
      <w:r w:rsidR="00FA5D2B">
        <w:rPr>
          <w:rFonts w:ascii="Times New Roman" w:hAnsi="Times New Roman"/>
          <w:sz w:val="22"/>
          <w:szCs w:val="22"/>
        </w:rPr>
        <w:t xml:space="preserve"> percent</w:t>
      </w:r>
      <w:r w:rsidRPr="00C71464">
        <w:rPr>
          <w:rFonts w:ascii="Times New Roman" w:hAnsi="Times New Roman"/>
          <w:sz w:val="22"/>
          <w:szCs w:val="22"/>
        </w:rPr>
        <w:t xml:space="preserve"> late payment penalty.</w:t>
      </w:r>
    </w:p>
    <w:p w:rsidR="002E2BF1" w:rsidRPr="00C71464" w:rsidP="00703490" w14:paraId="215E2A23" w14:textId="77777777">
      <w:pPr>
        <w:rPr>
          <w:rFonts w:ascii="Times New Roman" w:hAnsi="Times New Roman"/>
          <w:sz w:val="22"/>
          <w:szCs w:val="22"/>
        </w:rPr>
      </w:pPr>
    </w:p>
    <w:p w:rsidR="002E2BF1" w:rsidRPr="00C71464" w:rsidP="00CF3E70" w14:paraId="348333F8" w14:textId="77777777">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C71464">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71464">
        <w:rPr>
          <w:rFonts w:ascii="Times New Roman" w:hAnsi="Times New Roman"/>
          <w:szCs w:val="22"/>
        </w:rPr>
        <w:t>EGULATORY FEE LEVEL</w:t>
      </w:r>
    </w:p>
    <w:p w:rsidR="002E2BF1" w14:paraId="286D6DDD" w14:textId="0073926B">
      <w:pPr>
        <w:rPr>
          <w:rFonts w:ascii="Times New Roman" w:hAnsi="Times New Roman"/>
          <w:spacing w:val="-3"/>
          <w:sz w:val="22"/>
          <w:szCs w:val="24"/>
        </w:rPr>
      </w:pPr>
      <w:r w:rsidRPr="00C71464">
        <w:rPr>
          <w:rFonts w:ascii="Times New Roman" w:hAnsi="Times New Roman"/>
          <w:sz w:val="22"/>
        </w:rPr>
        <w:t>Regulatees</w:t>
      </w:r>
      <w:r w:rsidRPr="00C71464">
        <w:rPr>
          <w:rFonts w:ascii="Times New Roman" w:hAnsi="Times New Roman"/>
          <w:sz w:val="22"/>
        </w:rPr>
        <w:t xml:space="preserve"> whose total FY 20</w:t>
      </w:r>
      <w:r w:rsidR="00F95385">
        <w:rPr>
          <w:rFonts w:ascii="Times New Roman" w:hAnsi="Times New Roman"/>
          <w:sz w:val="22"/>
        </w:rPr>
        <w:t>20</w:t>
      </w:r>
      <w:r w:rsidRPr="00C71464">
        <w:rPr>
          <w:rFonts w:ascii="Times New Roman" w:hAnsi="Times New Roman"/>
          <w:sz w:val="22"/>
        </w:rPr>
        <w:t xml:space="preserve"> annual regulatory fee liability, including all categories of fees for which payment is due, is $</w:t>
      </w:r>
      <w:r w:rsidR="008E1439">
        <w:rPr>
          <w:rFonts w:ascii="Times New Roman" w:hAnsi="Times New Roman"/>
          <w:sz w:val="22"/>
        </w:rPr>
        <w:t>1,000</w:t>
      </w:r>
      <w:r w:rsidRPr="00C71464">
        <w:rPr>
          <w:rFonts w:ascii="Times New Roman" w:hAnsi="Times New Roman"/>
          <w:sz w:val="22"/>
        </w:rPr>
        <w:t xml:space="preserve"> or less are exempt from payment of FY 20</w:t>
      </w:r>
      <w:r w:rsidR="00F95385">
        <w:rPr>
          <w:rFonts w:ascii="Times New Roman" w:hAnsi="Times New Roman"/>
          <w:sz w:val="22"/>
        </w:rPr>
        <w:t>20</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w:t>
      </w:r>
      <w:r w:rsidRPr="008E1439">
        <w:rPr>
          <w:rFonts w:ascii="Times New Roman" w:hAnsi="Times New Roman"/>
          <w:sz w:val="22"/>
          <w:u w:val="single"/>
        </w:rPr>
        <w:t>annual</w:t>
      </w:r>
      <w:r w:rsidRPr="00C71464">
        <w:rPr>
          <w:rFonts w:ascii="Times New Roman" w:hAnsi="Times New Roman"/>
          <w:sz w:val="22"/>
        </w:rPr>
        <w:t xml:space="preserve"> regulatory fees (not regulatory fees paid through multi-year </w:t>
      </w:r>
      <w:r w:rsidR="00991CFE">
        <w:rPr>
          <w:rFonts w:ascii="Times New Roman" w:hAnsi="Times New Roman"/>
          <w:sz w:val="22"/>
        </w:rPr>
        <w:t xml:space="preserve">wireless </w:t>
      </w:r>
      <w:r w:rsidRPr="00C71464">
        <w:rPr>
          <w:rFonts w:ascii="Times New Roman" w:hAnsi="Times New Roman"/>
          <w:sz w:val="22"/>
        </w:rPr>
        <w:t xml:space="preserve">filings), and it is not a permanent exemption.  Rather, each regulate will need to reevaluate their total fee liability each fiscal year to determine whether they meet the </w:t>
      </w:r>
      <w:r w:rsidRPr="00C71464">
        <w:rPr>
          <w:rFonts w:ascii="Times New Roman" w:hAnsi="Times New Roman"/>
          <w:i/>
          <w:sz w:val="22"/>
        </w:rPr>
        <w:t>de minimis</w:t>
      </w:r>
      <w:r w:rsidRPr="00C71464">
        <w:rPr>
          <w:rFonts w:ascii="Times New Roman" w:hAnsi="Times New Roman"/>
          <w:sz w:val="22"/>
        </w:rPr>
        <w:t xml:space="preserve"> exemption. </w:t>
      </w:r>
      <w:r w:rsidR="00B827E6">
        <w:rPr>
          <w:rFonts w:ascii="Times New Roman" w:hAnsi="Times New Roman"/>
          <w:sz w:val="22"/>
        </w:rPr>
        <w:t xml:space="preserve"> </w:t>
      </w:r>
      <w:r w:rsidRPr="00C71464">
        <w:rPr>
          <w:rFonts w:ascii="Times New Roman" w:hAnsi="Times New Roman"/>
          <w:sz w:val="22"/>
          <w:szCs w:val="24"/>
        </w:rPr>
        <w:t>R</w:t>
      </w:r>
      <w:r w:rsidRPr="00C71464">
        <w:rPr>
          <w:rFonts w:ascii="Times New Roman" w:hAnsi="Times New Roman"/>
          <w:spacing w:val="-3"/>
          <w:sz w:val="22"/>
          <w:szCs w:val="24"/>
        </w:rPr>
        <w:t>egulatees</w:t>
      </w:r>
      <w:r w:rsidRPr="00C71464">
        <w:rPr>
          <w:rFonts w:ascii="Times New Roman" w:hAnsi="Times New Roman"/>
          <w:spacing w:val="-3"/>
          <w:sz w:val="22"/>
          <w:szCs w:val="24"/>
        </w:rPr>
        <w:t xml:space="preserve"> are responsible for calculating their own total fee obligation to determine whether they qualify for this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The Commission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703490" w:rsidP="00703490" w14:paraId="6F34A7A4" w14:textId="52102275">
      <w:pPr>
        <w:rPr>
          <w:rFonts w:ascii="Times New Roman" w:hAnsi="Times New Roman"/>
          <w:spacing w:val="-3"/>
          <w:sz w:val="22"/>
          <w:szCs w:val="24"/>
        </w:rPr>
      </w:pPr>
    </w:p>
    <w:p w:rsidR="00703490" w:rsidRPr="00C71464" w:rsidP="00703490" w14:paraId="5006C14A" w14:textId="77777777">
      <w:pPr>
        <w:rPr>
          <w:rFonts w:ascii="Times New Roman" w:hAnsi="Times New Roman"/>
          <w:sz w:val="22"/>
        </w:rPr>
      </w:pPr>
    </w:p>
    <w:p w:rsidR="002E2BF1" w:rsidRPr="001F6CA3" w:rsidP="002E2BF1" w14:paraId="091C76AE" w14:textId="77777777">
      <w:pPr>
        <w:pStyle w:val="ParaNum0"/>
        <w:numPr>
          <w:ilvl w:val="0"/>
          <w:numId w:val="0"/>
        </w:numPr>
        <w:jc w:val="center"/>
        <w:rPr>
          <w:szCs w:val="22"/>
        </w:rPr>
      </w:pPr>
      <w:r w:rsidRPr="001F6CA3">
        <w:rPr>
          <w:szCs w:val="22"/>
        </w:rPr>
        <w:t>-FCC-</w:t>
      </w:r>
    </w:p>
    <w:sectPr w:rsidSect="002E2BF1">
      <w:footerReference w:type="even" r:id="rId7"/>
      <w:footerReference w:type="default" r:id="rId8"/>
      <w:headerReference w:type="first" r:id="rId9"/>
      <w:type w:val="continuous"/>
      <w:pgSz w:w="12240" w:h="15840" w:code="1"/>
      <w:pgMar w:top="1440" w:right="864" w:bottom="864" w:left="1296"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14:paraId="08CF34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E2BF1" w14:paraId="100FED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2BF1" w14:paraId="48D90F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7DC">
      <w:rPr>
        <w:rStyle w:val="PageNumber"/>
        <w:noProof/>
      </w:rPr>
      <w:t>3</w:t>
    </w:r>
    <w:r>
      <w:rPr>
        <w:rStyle w:val="PageNumber"/>
      </w:rPr>
      <w:fldChar w:fldCharType="end"/>
    </w:r>
  </w:p>
  <w:p w:rsidR="002E2BF1" w14:paraId="4A2140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00EF" w14:paraId="06B627E4" w14:textId="77777777">
      <w:r>
        <w:separator/>
      </w:r>
    </w:p>
  </w:footnote>
  <w:footnote w:type="continuationSeparator" w:id="1">
    <w:p w:rsidR="000F00EF" w14:paraId="47BABFD4" w14:textId="77777777">
      <w:r>
        <w:continuationSeparator/>
      </w:r>
    </w:p>
  </w:footnote>
  <w:footnote w:id="2">
    <w:p w:rsidR="002E2BF1" w:rsidP="00B30701" w14:paraId="664279A6" w14:textId="31E3CA9D">
      <w:pPr>
        <w:pStyle w:val="FootnoteText"/>
        <w:spacing w:after="120"/>
      </w:pPr>
      <w:r>
        <w:rPr>
          <w:rStyle w:val="FootnoteReference"/>
        </w:rPr>
        <w:footnoteRef/>
      </w:r>
      <w:r>
        <w:t xml:space="preserve"> The Commission has instituted a mandatory electronic payment policy, which means that licensees </w:t>
      </w:r>
      <w:r w:rsidR="00F26D75">
        <w:rPr>
          <w:lang w:val="en-US"/>
        </w:rPr>
        <w:t>cannot</w:t>
      </w:r>
      <w:r>
        <w:t xml:space="preserve"> make regulatory fee payments by check, money order, or cashier’s check.  Only credit card, ACH, and wire transfer payments will be accepted.  Please make sure that your electronic fee payment is made and the transaction is complete</w:t>
      </w:r>
      <w:r w:rsidR="000E516A">
        <w:rPr>
          <w:lang w:val="en-US"/>
        </w:rPr>
        <w:t>d</w:t>
      </w:r>
      <w:r>
        <w:t xml:space="preserve"> by the due date of FY 20</w:t>
      </w:r>
      <w:r w:rsidR="007B201B">
        <w:rPr>
          <w:lang w:val="en-US"/>
        </w:rPr>
        <w:t>20</w:t>
      </w:r>
      <w:r>
        <w:t xml:space="preserve"> regulatory fees.  </w:t>
      </w:r>
    </w:p>
  </w:footnote>
  <w:footnote w:id="3">
    <w:p w:rsidR="00FB127B" w:rsidP="00B30701" w14:paraId="36226D87" w14:textId="77777777">
      <w:pPr>
        <w:pStyle w:val="FootnoteText"/>
        <w:spacing w:after="12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4">
    <w:p w:rsidR="002E2BF1" w:rsidP="00B30701" w14:paraId="61D0A7BC" w14:textId="77777777">
      <w:pPr>
        <w:spacing w:after="120"/>
      </w:pPr>
      <w:r>
        <w:rPr>
          <w:rStyle w:val="FootnoteReference"/>
        </w:rPr>
        <w:footnoteRef/>
      </w:r>
      <w:r>
        <w:t xml:space="preserve"> </w:t>
      </w:r>
      <w:r w:rsidRPr="00F12B45">
        <w:t xml:space="preserve">Customers who owe an amount on a bill, debt, or </w:t>
      </w:r>
      <w:r w:rsidRPr="00C63217">
        <w:t>other</w:t>
      </w:r>
      <w:r w:rsidRPr="00F12B45">
        <w:t xml:space="preserve">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7DC" w:rsidP="007F47DC" w14:paraId="2574F2D6" w14:textId="77777777">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27608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7F47DC" w:rsidRPr="00F22398" w:rsidP="007F47DC" w14:paraId="1294B238" w14:textId="77777777">
    <w:pPr>
      <w:pStyle w:val="Header"/>
      <w:tabs>
        <w:tab w:val="clear" w:pos="4320"/>
        <w:tab w:val="clear" w:pos="8640"/>
      </w:tabs>
      <w:spacing w:before="40"/>
      <w:jc w:val="center"/>
      <w:rPr>
        <w:rFonts w:ascii="Times New Roman" w:hAnsi="Times New Roman"/>
        <w:b/>
        <w:kern w:val="28"/>
        <w:sz w:val="44"/>
        <w:szCs w:val="44"/>
      </w:rPr>
    </w:pPr>
  </w:p>
  <w:p w:rsidR="007F47DC" w:rsidP="007F47DC" w14:paraId="6D85C3D7" w14:textId="77777777">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14:textId="77777777">
                          <w:pPr>
                            <w:rPr>
                              <w:rFonts w:ascii="Arial" w:hAnsi="Arial"/>
                              <w:b/>
                            </w:rPr>
                          </w:pPr>
                          <w:r>
                            <w:rPr>
                              <w:rFonts w:ascii="Arial" w:hAnsi="Arial"/>
                              <w:b/>
                            </w:rPr>
                            <w:t>Federal Communications Commission</w:t>
                          </w:r>
                        </w:p>
                        <w:p w:rsidR="007F47DC" w:rsidP="007F47D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F47DC" w:rsidP="007F47D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F47DC" w:rsidP="007F47DC" w14:paraId="1CBFD361" w14:textId="77777777">
                    <w:pPr>
                      <w:rPr>
                        <w:rFonts w:ascii="Arial" w:hAnsi="Arial"/>
                        <w:b/>
                      </w:rPr>
                    </w:pPr>
                    <w:r>
                      <w:rPr>
                        <w:rFonts w:ascii="Arial" w:hAnsi="Arial"/>
                        <w:b/>
                      </w:rPr>
                      <w:t>Federal Communications Commission</w:t>
                    </w:r>
                  </w:p>
                  <w:p w:rsidR="007F47DC" w:rsidP="007F47DC" w14:paraId="061D024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F47DC" w:rsidP="007F47DC" w14:paraId="21ED8064"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F47DC" w:rsidP="007F47DC" w14:textId="2A16E0EB">
                          <w:pPr>
                            <w:spacing w:before="40"/>
                            <w:jc w:val="right"/>
                            <w:rPr>
                              <w:rFonts w:ascii="Arial" w:hAnsi="Arial"/>
                              <w:b/>
                              <w:sz w:val="16"/>
                            </w:rPr>
                          </w:pPr>
                          <w:r>
                            <w:rPr>
                              <w:rFonts w:ascii="Arial" w:hAnsi="Arial"/>
                              <w:b/>
                            </w:rPr>
                            <w:t>September</w:t>
                          </w:r>
                          <w:r w:rsidR="00D907F6">
                            <w:rPr>
                              <w:rFonts w:ascii="Arial" w:hAnsi="Arial"/>
                              <w:b/>
                            </w:rPr>
                            <w:t xml:space="preserve"> </w:t>
                          </w:r>
                          <w:r w:rsidR="00781948">
                            <w:rPr>
                              <w:rFonts w:ascii="Arial" w:hAnsi="Arial"/>
                              <w:b/>
                            </w:rPr>
                            <w:t>8</w:t>
                          </w:r>
                          <w:r w:rsidR="00110526">
                            <w:rPr>
                              <w:rFonts w:ascii="Arial" w:hAnsi="Arial"/>
                              <w:b/>
                            </w:rPr>
                            <w:t>,</w:t>
                          </w:r>
                          <w:r>
                            <w:rPr>
                              <w:rFonts w:ascii="Arial" w:hAnsi="Arial"/>
                              <w:b/>
                            </w:rPr>
                            <w:t xml:space="preserve"> 20</w:t>
                          </w:r>
                          <w:r w:rsidR="007B201B">
                            <w:rPr>
                              <w:rFonts w:ascii="Arial" w:hAnsi="Arial"/>
                              <w:b/>
                            </w:rPr>
                            <w:t>20</w:t>
                          </w:r>
                        </w:p>
                        <w:p w:rsidR="007F47DC" w:rsidP="007F47D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7F47DC" w:rsidP="007F47DC" w14:paraId="0C1978E8" w14:textId="2A16E0EB">
                    <w:pPr>
                      <w:spacing w:before="40"/>
                      <w:jc w:val="right"/>
                      <w:rPr>
                        <w:rFonts w:ascii="Arial" w:hAnsi="Arial"/>
                        <w:b/>
                        <w:sz w:val="16"/>
                      </w:rPr>
                    </w:pPr>
                    <w:r>
                      <w:rPr>
                        <w:rFonts w:ascii="Arial" w:hAnsi="Arial"/>
                        <w:b/>
                      </w:rPr>
                      <w:t>September</w:t>
                    </w:r>
                    <w:r w:rsidR="00D907F6">
                      <w:rPr>
                        <w:rFonts w:ascii="Arial" w:hAnsi="Arial"/>
                        <w:b/>
                      </w:rPr>
                      <w:t xml:space="preserve"> </w:t>
                    </w:r>
                    <w:r w:rsidR="00781948">
                      <w:rPr>
                        <w:rFonts w:ascii="Arial" w:hAnsi="Arial"/>
                        <w:b/>
                      </w:rPr>
                      <w:t>8</w:t>
                    </w:r>
                    <w:r w:rsidR="00110526">
                      <w:rPr>
                        <w:rFonts w:ascii="Arial" w:hAnsi="Arial"/>
                        <w:b/>
                      </w:rPr>
                      <w:t>,</w:t>
                    </w:r>
                    <w:r>
                      <w:rPr>
                        <w:rFonts w:ascii="Arial" w:hAnsi="Arial"/>
                        <w:b/>
                      </w:rPr>
                      <w:t xml:space="preserve"> 20</w:t>
                    </w:r>
                    <w:r w:rsidR="007B201B">
                      <w:rPr>
                        <w:rFonts w:ascii="Arial" w:hAnsi="Arial"/>
                        <w:b/>
                      </w:rPr>
                      <w:t>20</w:t>
                    </w:r>
                  </w:p>
                  <w:p w:rsidR="007F47DC" w:rsidP="007F47DC" w14:paraId="484016A6"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2E2BF1" w14:paraId="3FB70378"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E00266"/>
    <w:multiLevelType w:val="hybridMultilevel"/>
    <w:tmpl w:val="18E68C1A"/>
    <w:lvl w:ilvl="0">
      <w:start w:va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704717D"/>
    <w:multiLevelType w:val="hybridMultilevel"/>
    <w:tmpl w:val="176008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1">
    <w:nsid w:val="6698188B"/>
    <w:multiLevelType w:val="hybridMultilevel"/>
    <w:tmpl w:val="631A31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4"/>
  </w:num>
  <w:num w:numId="12">
    <w:abstractNumId w:val="3"/>
  </w:num>
  <w:num w:numId="13">
    <w:abstractNumId w:val="12"/>
  </w:num>
  <w:num w:numId="14">
    <w:abstractNumId w:val="6"/>
  </w:num>
  <w:num w:numId="15">
    <w:abstractNumId w:val="2"/>
  </w:num>
  <w:num w:numId="16">
    <w:abstractNumId w:val="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A5"/>
    <w:rsid w:val="00012523"/>
    <w:rsid w:val="0001332D"/>
    <w:rsid w:val="0004355B"/>
    <w:rsid w:val="000C4A44"/>
    <w:rsid w:val="000C59E9"/>
    <w:rsid w:val="000E516A"/>
    <w:rsid w:val="000F00EF"/>
    <w:rsid w:val="000F249A"/>
    <w:rsid w:val="00110526"/>
    <w:rsid w:val="001751C5"/>
    <w:rsid w:val="0019470D"/>
    <w:rsid w:val="001A5C93"/>
    <w:rsid w:val="001F6CA3"/>
    <w:rsid w:val="0023505F"/>
    <w:rsid w:val="00262095"/>
    <w:rsid w:val="00263F1E"/>
    <w:rsid w:val="0027653B"/>
    <w:rsid w:val="002C2449"/>
    <w:rsid w:val="002E2BF1"/>
    <w:rsid w:val="0031363E"/>
    <w:rsid w:val="00393D4A"/>
    <w:rsid w:val="0040614A"/>
    <w:rsid w:val="00424B57"/>
    <w:rsid w:val="004A4015"/>
    <w:rsid w:val="004F03AD"/>
    <w:rsid w:val="00512CD0"/>
    <w:rsid w:val="00514F06"/>
    <w:rsid w:val="00527035"/>
    <w:rsid w:val="005308FB"/>
    <w:rsid w:val="00580E27"/>
    <w:rsid w:val="005E37B1"/>
    <w:rsid w:val="0062575A"/>
    <w:rsid w:val="00703490"/>
    <w:rsid w:val="00735857"/>
    <w:rsid w:val="00740480"/>
    <w:rsid w:val="00777F91"/>
    <w:rsid w:val="00781948"/>
    <w:rsid w:val="007832DF"/>
    <w:rsid w:val="007B201B"/>
    <w:rsid w:val="007C5FCE"/>
    <w:rsid w:val="007E28FD"/>
    <w:rsid w:val="007F47DC"/>
    <w:rsid w:val="00803BA6"/>
    <w:rsid w:val="008311F2"/>
    <w:rsid w:val="008816C4"/>
    <w:rsid w:val="00886959"/>
    <w:rsid w:val="00890A85"/>
    <w:rsid w:val="008C0772"/>
    <w:rsid w:val="008E1439"/>
    <w:rsid w:val="009162FD"/>
    <w:rsid w:val="00982A71"/>
    <w:rsid w:val="00991CFE"/>
    <w:rsid w:val="00A06161"/>
    <w:rsid w:val="00B30701"/>
    <w:rsid w:val="00B827E6"/>
    <w:rsid w:val="00BB164C"/>
    <w:rsid w:val="00BF7DEE"/>
    <w:rsid w:val="00C33A1F"/>
    <w:rsid w:val="00C63217"/>
    <w:rsid w:val="00C65948"/>
    <w:rsid w:val="00C71464"/>
    <w:rsid w:val="00C75770"/>
    <w:rsid w:val="00C92D3A"/>
    <w:rsid w:val="00CA5105"/>
    <w:rsid w:val="00CF3E70"/>
    <w:rsid w:val="00D106B8"/>
    <w:rsid w:val="00D818A5"/>
    <w:rsid w:val="00D86C25"/>
    <w:rsid w:val="00D907F6"/>
    <w:rsid w:val="00E14AF6"/>
    <w:rsid w:val="00E200C2"/>
    <w:rsid w:val="00EB7495"/>
    <w:rsid w:val="00EF1AE7"/>
    <w:rsid w:val="00F12B45"/>
    <w:rsid w:val="00F22398"/>
    <w:rsid w:val="00F26D75"/>
    <w:rsid w:val="00F62C2D"/>
    <w:rsid w:val="00F95385"/>
    <w:rsid w:val="00FA5D2B"/>
    <w:rsid w:val="00FB127B"/>
    <w:rsid w:val="00FC3F46"/>
    <w:rsid w:val="00FE55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8649CC8-5A04-431C-900E-585E04DE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odyText">
    <w:name w:val="Body Text"/>
    <w:basedOn w:val="Normal"/>
    <w:pPr>
      <w:spacing w:after="120"/>
    </w:pPr>
  </w:style>
  <w:style w:type="paragraph" w:styleId="BodyTextIndent2">
    <w:name w:val="Body Text Indent 2"/>
    <w:basedOn w:val="Normal"/>
    <w:pPr>
      <w:tabs>
        <w:tab w:val="left" w:pos="-1440"/>
        <w:tab w:val="left" w:pos="-720"/>
        <w:tab w:val="left" w:pos="0"/>
        <w:tab w:val="left" w:pos="720"/>
        <w:tab w:val="left" w:pos="1440"/>
        <w:tab w:val="left" w:pos="2160"/>
        <w:tab w:val="left" w:pos="2538"/>
        <w:tab w:val="left" w:pos="334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20" w:lineRule="auto"/>
      <w:ind w:left="720" w:hanging="720"/>
    </w:pPr>
    <w:rPr>
      <w:spacing w:val="-2"/>
      <w:sz w:val="24"/>
      <w:szCs w:val="24"/>
    </w:rPr>
  </w:style>
  <w:style w:type="paragraph" w:customStyle="1" w:styleId="ParaNum0">
    <w:name w:val="ParaNum"/>
    <w:basedOn w:val="Normal"/>
    <w:link w:val="ParaNumChar"/>
    <w:pPr>
      <w:numPr>
        <w:numId w:val="17"/>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4C76"/>
    <w:rPr>
      <w:snapToGrid w:val="0"/>
      <w:kern w:val="28"/>
      <w:sz w:val="22"/>
      <w:lang w:val="en-US" w:eastAsia="en-US" w:bidi="ar-SA"/>
    </w:rPr>
  </w:style>
  <w:style w:type="paragraph" w:styleId="BalloonText">
    <w:name w:val="Balloon Text"/>
    <w:basedOn w:val="Normal"/>
    <w:semiHidden/>
    <w:rsid w:val="005E60C3"/>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323B26"/>
    <w:rPr>
      <w:rFonts w:ascii="Times Roman" w:hAnsi="Times Roman"/>
    </w:rPr>
  </w:style>
  <w:style w:type="character" w:styleId="CommentReference">
    <w:name w:val="annotation reference"/>
    <w:rsid w:val="0082359D"/>
    <w:rPr>
      <w:sz w:val="16"/>
      <w:szCs w:val="16"/>
    </w:rPr>
  </w:style>
  <w:style w:type="paragraph" w:styleId="CommentText">
    <w:name w:val="annotation text"/>
    <w:basedOn w:val="Normal"/>
    <w:link w:val="CommentTextChar"/>
    <w:rsid w:val="0082359D"/>
    <w:rPr>
      <w:lang w:val="x-none" w:eastAsia="x-none"/>
    </w:rPr>
  </w:style>
  <w:style w:type="character" w:customStyle="1" w:styleId="CommentTextChar">
    <w:name w:val="Comment Text Char"/>
    <w:link w:val="CommentText"/>
    <w:rsid w:val="0082359D"/>
    <w:rPr>
      <w:rFonts w:ascii="Times Roman" w:hAnsi="Times Roman"/>
    </w:rPr>
  </w:style>
  <w:style w:type="paragraph" w:styleId="CommentSubject">
    <w:name w:val="annotation subject"/>
    <w:basedOn w:val="CommentText"/>
    <w:next w:val="CommentText"/>
    <w:link w:val="CommentSubjectChar"/>
    <w:rsid w:val="0082359D"/>
    <w:rPr>
      <w:b/>
      <w:bCs/>
    </w:rPr>
  </w:style>
  <w:style w:type="character" w:customStyle="1" w:styleId="CommentSubjectChar">
    <w:name w:val="Comment Subject Char"/>
    <w:link w:val="CommentSubject"/>
    <w:rsid w:val="0082359D"/>
    <w:rPr>
      <w:rFonts w:ascii="Times Roman" w:hAnsi="Times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www.fcc.gov/regfee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