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47922" w:rsidP="00247922" w14:paraId="3C11B8F0" w14:textId="25BE211C">
      <w:pPr>
        <w:tabs>
          <w:tab w:val="left" w:pos="-720"/>
        </w:tabs>
        <w:suppressAutoHyphens/>
        <w:jc w:val="right"/>
        <w:rPr>
          <w:rFonts w:ascii="Times New Roman" w:hAnsi="Times New Roman"/>
          <w:b/>
          <w:sz w:val="24"/>
          <w:szCs w:val="24"/>
        </w:rPr>
      </w:pPr>
      <w:r>
        <w:rPr>
          <w:rFonts w:ascii="Times New Roman" w:hAnsi="Times New Roman"/>
          <w:b/>
          <w:sz w:val="24"/>
          <w:szCs w:val="24"/>
        </w:rPr>
        <w:t>DA 20-</w:t>
      </w:r>
      <w:r w:rsidR="00A038D3">
        <w:rPr>
          <w:rFonts w:ascii="Times New Roman" w:hAnsi="Times New Roman"/>
          <w:b/>
          <w:sz w:val="24"/>
          <w:szCs w:val="24"/>
        </w:rPr>
        <w:t>1087</w:t>
      </w:r>
      <w:bookmarkStart w:id="0" w:name="_GoBack"/>
      <w:bookmarkEnd w:id="0"/>
    </w:p>
    <w:p w:rsidR="00247922" w:rsidP="00247922" w14:paraId="3E04EC15" w14:textId="77777777">
      <w:pPr>
        <w:tabs>
          <w:tab w:val="left" w:pos="-720"/>
        </w:tabs>
        <w:suppressAutoHyphens/>
        <w:jc w:val="right"/>
        <w:rPr>
          <w:rFonts w:ascii="Times New Roman" w:hAnsi="Times New Roman"/>
          <w:b/>
          <w:sz w:val="24"/>
          <w:szCs w:val="24"/>
        </w:rPr>
      </w:pPr>
    </w:p>
    <w:p w:rsidR="00DA393B" w14:paraId="0C588B04" w14:textId="7504FA57">
      <w:pPr>
        <w:tabs>
          <w:tab w:val="left" w:pos="-720"/>
        </w:tabs>
        <w:suppressAutoHyphens/>
        <w:jc w:val="center"/>
        <w:rPr>
          <w:rFonts w:ascii="Times New Roman" w:hAnsi="Times New Roman"/>
          <w:b/>
          <w:sz w:val="24"/>
          <w:szCs w:val="24"/>
        </w:rPr>
      </w:pPr>
      <w:r>
        <w:rPr>
          <w:rFonts w:ascii="Times New Roman" w:hAnsi="Times New Roman"/>
          <w:b/>
          <w:sz w:val="24"/>
          <w:szCs w:val="24"/>
        </w:rPr>
        <w:t>FY 2020 REGULATORY FEES</w:t>
      </w:r>
      <w:r>
        <w:rPr>
          <w:rFonts w:ascii="Times New Roman" w:hAnsi="Times New Roman"/>
          <w:b/>
          <w:sz w:val="24"/>
          <w:szCs w:val="24"/>
        </w:rPr>
        <w:t xml:space="preserve"> – INTERNATIONAL AND SATELLITE SERVICES</w:t>
      </w:r>
    </w:p>
    <w:p w:rsidR="00DA393B" w14:paraId="3BD9D18D" w14:textId="1EBCEF9B">
      <w:pPr>
        <w:tabs>
          <w:tab w:val="left" w:pos="-720"/>
        </w:tabs>
        <w:suppressAutoHyphens/>
        <w:jc w:val="center"/>
        <w:rPr>
          <w:rFonts w:ascii="Times New Roman" w:hAnsi="Times New Roman"/>
          <w:b/>
          <w:sz w:val="32"/>
          <w:szCs w:val="32"/>
        </w:rPr>
      </w:pPr>
    </w:p>
    <w:p w:rsidR="00DA393B" w14:paraId="2E48D16F" w14:textId="77777777">
      <w:pPr>
        <w:tabs>
          <w:tab w:val="left" w:pos="-720"/>
        </w:tabs>
        <w:suppressAutoHyphens/>
        <w:rPr>
          <w:rFonts w:ascii="Times New Roman" w:hAnsi="Times New Roman"/>
          <w:sz w:val="24"/>
          <w:szCs w:val="24"/>
        </w:rPr>
      </w:pPr>
    </w:p>
    <w:p w:rsidR="00DA393B" w:rsidRPr="00293A57" w:rsidP="00DA393B" w14:paraId="3A97668B" w14:textId="62136D4D">
      <w:pPr>
        <w:shd w:val="clear" w:color="auto" w:fill="FFFFFF"/>
        <w:rPr>
          <w:rFonts w:ascii="Times New Roman" w:hAnsi="Times New Roman"/>
          <w:i/>
          <w:iCs/>
          <w:sz w:val="22"/>
          <w:szCs w:val="22"/>
          <w:u w:val="single"/>
        </w:rPr>
      </w:pPr>
      <w:r w:rsidRPr="00293A57">
        <w:rPr>
          <w:rFonts w:ascii="Times New Roman" w:hAnsi="Times New Roman"/>
          <w:sz w:val="22"/>
          <w:szCs w:val="22"/>
        </w:rPr>
        <w:t>Each year, the Commission is required to collect regulatory f</w:t>
      </w:r>
      <w:r w:rsidRPr="00293A57">
        <w:rPr>
          <w:rFonts w:ascii="Times New Roman" w:hAnsi="Times New Roman"/>
          <w:snapToGrid w:val="0"/>
          <w:sz w:val="22"/>
          <w:szCs w:val="22"/>
        </w:rPr>
        <w:t xml:space="preserve">ees.  Licensees </w:t>
      </w:r>
      <w:r w:rsidRPr="00293A57">
        <w:rPr>
          <w:rFonts w:ascii="Times New Roman" w:hAnsi="Times New Roman"/>
          <w:sz w:val="22"/>
          <w:szCs w:val="22"/>
        </w:rPr>
        <w:t xml:space="preserve">and </w:t>
      </w:r>
      <w:r w:rsidRPr="00293A57">
        <w:rPr>
          <w:rFonts w:ascii="Times New Roman" w:hAnsi="Times New Roman"/>
          <w:sz w:val="22"/>
          <w:szCs w:val="22"/>
        </w:rPr>
        <w:t>regulatees</w:t>
      </w:r>
      <w:r w:rsidRPr="00293A57">
        <w:rPr>
          <w:rFonts w:ascii="Times New Roman" w:hAnsi="Times New Roman"/>
          <w:sz w:val="22"/>
          <w:szCs w:val="22"/>
        </w:rPr>
        <w:t xml:space="preserve"> are assessed fees as set forth in </w:t>
      </w:r>
      <w:r w:rsidRPr="00293A57">
        <w:rPr>
          <w:rFonts w:ascii="Times New Roman" w:hAnsi="Times New Roman"/>
          <w:i/>
          <w:sz w:val="22"/>
          <w:szCs w:val="22"/>
        </w:rPr>
        <w:t>Assessment and Collection of Regulatory Fees for Fiscal Year 20</w:t>
      </w:r>
      <w:r w:rsidR="00247922">
        <w:rPr>
          <w:rFonts w:ascii="Times New Roman" w:hAnsi="Times New Roman"/>
          <w:i/>
          <w:sz w:val="22"/>
          <w:szCs w:val="22"/>
        </w:rPr>
        <w:t>20</w:t>
      </w:r>
      <w:r w:rsidRPr="00293A57">
        <w:rPr>
          <w:rFonts w:ascii="Times New Roman" w:hAnsi="Times New Roman"/>
          <w:i/>
          <w:sz w:val="22"/>
          <w:szCs w:val="22"/>
        </w:rPr>
        <w:t>,</w:t>
      </w:r>
      <w:r w:rsidRPr="00293A57">
        <w:rPr>
          <w:rFonts w:ascii="Times New Roman" w:hAnsi="Times New Roman"/>
          <w:sz w:val="22"/>
          <w:szCs w:val="22"/>
        </w:rPr>
        <w:t xml:space="preserve"> </w:t>
      </w:r>
      <w:r w:rsidRPr="00293A57">
        <w:rPr>
          <w:rFonts w:ascii="Times New Roman" w:hAnsi="Times New Roman"/>
          <w:i/>
          <w:sz w:val="22"/>
          <w:szCs w:val="22"/>
        </w:rPr>
        <w:t>Report and Order</w:t>
      </w:r>
      <w:r w:rsidR="00162567">
        <w:rPr>
          <w:rFonts w:ascii="Times New Roman" w:hAnsi="Times New Roman"/>
          <w:i/>
          <w:sz w:val="22"/>
          <w:szCs w:val="22"/>
        </w:rPr>
        <w:t xml:space="preserve"> and Further Notice of Proposed Rulemaking</w:t>
      </w:r>
      <w:r w:rsidR="00964311">
        <w:rPr>
          <w:rFonts w:ascii="Times New Roman" w:hAnsi="Times New Roman"/>
          <w:sz w:val="22"/>
          <w:szCs w:val="22"/>
        </w:rPr>
        <w:t>, (released August</w:t>
      </w:r>
      <w:r w:rsidRPr="00293A57">
        <w:rPr>
          <w:rFonts w:ascii="Times New Roman" w:hAnsi="Times New Roman"/>
          <w:sz w:val="22"/>
          <w:szCs w:val="22"/>
        </w:rPr>
        <w:t xml:space="preserve"> </w:t>
      </w:r>
      <w:r w:rsidR="00247922">
        <w:rPr>
          <w:rFonts w:ascii="Times New Roman" w:hAnsi="Times New Roman"/>
          <w:sz w:val="22"/>
          <w:szCs w:val="22"/>
        </w:rPr>
        <w:t>31</w:t>
      </w:r>
      <w:r w:rsidRPr="00293A57">
        <w:rPr>
          <w:rFonts w:ascii="Times New Roman" w:hAnsi="Times New Roman"/>
          <w:sz w:val="22"/>
          <w:szCs w:val="22"/>
        </w:rPr>
        <w:t>, 20</w:t>
      </w:r>
      <w:r w:rsidR="00247922">
        <w:rPr>
          <w:rFonts w:ascii="Times New Roman" w:hAnsi="Times New Roman"/>
          <w:sz w:val="22"/>
          <w:szCs w:val="22"/>
        </w:rPr>
        <w:t>20</w:t>
      </w:r>
      <w:r w:rsidRPr="00293A57">
        <w:rPr>
          <w:rFonts w:ascii="Times New Roman" w:hAnsi="Times New Roman"/>
          <w:sz w:val="22"/>
          <w:szCs w:val="22"/>
        </w:rPr>
        <w:t xml:space="preserve">) </w:t>
      </w:r>
      <w:r w:rsidRPr="00293A57">
        <w:rPr>
          <w:rFonts w:ascii="Times New Roman" w:hAnsi="Times New Roman"/>
          <w:i/>
          <w:sz w:val="22"/>
          <w:szCs w:val="22"/>
        </w:rPr>
        <w:t>(</w:t>
      </w:r>
      <w:r w:rsidRPr="00FC7202">
        <w:rPr>
          <w:rFonts w:ascii="Times New Roman" w:hAnsi="Times New Roman"/>
          <w:i/>
          <w:iCs/>
          <w:sz w:val="22"/>
          <w:szCs w:val="22"/>
        </w:rPr>
        <w:t>FY 20</w:t>
      </w:r>
      <w:r w:rsidRPr="00FC7202" w:rsidR="00247922">
        <w:rPr>
          <w:rFonts w:ascii="Times New Roman" w:hAnsi="Times New Roman"/>
          <w:i/>
          <w:iCs/>
          <w:sz w:val="22"/>
          <w:szCs w:val="22"/>
        </w:rPr>
        <w:t>20</w:t>
      </w:r>
      <w:r w:rsidRPr="00FC7202">
        <w:rPr>
          <w:rFonts w:ascii="Times New Roman" w:hAnsi="Times New Roman"/>
          <w:i/>
          <w:iCs/>
          <w:sz w:val="22"/>
          <w:szCs w:val="22"/>
        </w:rPr>
        <w:t xml:space="preserve"> Regulatory Fees</w:t>
      </w:r>
      <w:r w:rsidRPr="00023B97">
        <w:rPr>
          <w:rFonts w:ascii="Times New Roman" w:hAnsi="Times New Roman"/>
          <w:i/>
          <w:sz w:val="22"/>
          <w:szCs w:val="22"/>
        </w:rPr>
        <w:t xml:space="preserve"> </w:t>
      </w:r>
      <w:r w:rsidRPr="00293A57">
        <w:rPr>
          <w:rFonts w:ascii="Times New Roman" w:hAnsi="Times New Roman"/>
          <w:i/>
          <w:sz w:val="22"/>
          <w:szCs w:val="22"/>
        </w:rPr>
        <w:t>Report and Order</w:t>
      </w:r>
      <w:r w:rsidRPr="00293A57">
        <w:rPr>
          <w:rFonts w:ascii="Times New Roman" w:hAnsi="Times New Roman"/>
          <w:sz w:val="22"/>
          <w:szCs w:val="22"/>
        </w:rPr>
        <w:t xml:space="preserve">).  The Commission also publishes industry-specific guidance in </w:t>
      </w:r>
      <w:r w:rsidRPr="00293A57">
        <w:rPr>
          <w:rFonts w:ascii="Times New Roman" w:hAnsi="Times New Roman"/>
          <w:i/>
          <w:iCs/>
          <w:sz w:val="22"/>
          <w:szCs w:val="22"/>
        </w:rPr>
        <w:t>Who Owes Fees &amp; What Is My FY 20</w:t>
      </w:r>
      <w:r w:rsidR="00247922">
        <w:rPr>
          <w:rFonts w:ascii="Times New Roman" w:hAnsi="Times New Roman"/>
          <w:i/>
          <w:iCs/>
          <w:sz w:val="22"/>
          <w:szCs w:val="22"/>
        </w:rPr>
        <w:t>20</w:t>
      </w:r>
      <w:r w:rsidRPr="00293A57">
        <w:rPr>
          <w:rFonts w:ascii="Times New Roman" w:hAnsi="Times New Roman"/>
          <w:i/>
          <w:iCs/>
          <w:sz w:val="22"/>
          <w:szCs w:val="22"/>
        </w:rPr>
        <w:t xml:space="preserve"> Fee, </w:t>
      </w:r>
      <w:r w:rsidRPr="00293A57">
        <w:rPr>
          <w:rFonts w:ascii="Times New Roman" w:hAnsi="Times New Roman"/>
          <w:sz w:val="22"/>
          <w:szCs w:val="22"/>
        </w:rPr>
        <w:t xml:space="preserve">which can be found on the Commission website at </w:t>
      </w:r>
      <w:hyperlink r:id="rId5" w:history="1">
        <w:r w:rsidRPr="00293A57">
          <w:rPr>
            <w:rStyle w:val="Hyperlink"/>
            <w:rFonts w:ascii="Times New Roman" w:hAnsi="Times New Roman"/>
            <w:sz w:val="22"/>
            <w:szCs w:val="22"/>
          </w:rPr>
          <w:t>http://www.fcc.gov/regfees</w:t>
        </w:r>
      </w:hyperlink>
      <w:r w:rsidRPr="00293A57">
        <w:rPr>
          <w:rFonts w:ascii="Times New Roman" w:hAnsi="Times New Roman"/>
          <w:i/>
          <w:iCs/>
          <w:sz w:val="22"/>
          <w:szCs w:val="22"/>
          <w:u w:val="single"/>
        </w:rPr>
        <w:t>.</w:t>
      </w:r>
    </w:p>
    <w:p w:rsidR="00DA393B" w:rsidRPr="00293A57" w:rsidP="00DA393B" w14:paraId="5D45A674" w14:textId="77777777">
      <w:pPr>
        <w:shd w:val="clear" w:color="auto" w:fill="FFFFFF"/>
        <w:rPr>
          <w:rFonts w:ascii="Times New Roman" w:hAnsi="Times New Roman"/>
          <w:sz w:val="22"/>
          <w:szCs w:val="22"/>
        </w:rPr>
      </w:pPr>
    </w:p>
    <w:p w:rsidR="00DA393B" w:rsidRPr="00293A57" w:rsidP="00DA393B" w14:paraId="540FA6AD" w14:textId="2EC9C22C">
      <w:pPr>
        <w:shd w:val="clear" w:color="auto" w:fill="FFFFFF"/>
        <w:rPr>
          <w:rFonts w:ascii="Times New Roman" w:hAnsi="Times New Roman"/>
          <w:sz w:val="22"/>
          <w:szCs w:val="22"/>
        </w:rPr>
      </w:pPr>
      <w:r w:rsidRPr="00293A57">
        <w:rPr>
          <w:rFonts w:ascii="Times New Roman" w:hAnsi="Times New Roman"/>
          <w:sz w:val="22"/>
          <w:szCs w:val="22"/>
        </w:rPr>
        <w:t xml:space="preserve">The Commission’s automated filing and payment system (Fee Filer) is available for </w:t>
      </w:r>
      <w:r w:rsidRPr="00293A57">
        <w:rPr>
          <w:rFonts w:ascii="Times New Roman" w:hAnsi="Times New Roman"/>
          <w:sz w:val="22"/>
          <w:szCs w:val="22"/>
          <w:u w:val="single"/>
        </w:rPr>
        <w:t>filing</w:t>
      </w:r>
      <w:r w:rsidRPr="00293A57">
        <w:rPr>
          <w:rFonts w:ascii="Times New Roman" w:hAnsi="Times New Roman"/>
          <w:sz w:val="22"/>
          <w:szCs w:val="22"/>
        </w:rPr>
        <w:t xml:space="preserve"> and </w:t>
      </w:r>
      <w:r w:rsidRPr="00293A57">
        <w:rPr>
          <w:rFonts w:ascii="Times New Roman" w:hAnsi="Times New Roman"/>
          <w:sz w:val="22"/>
          <w:szCs w:val="22"/>
          <w:u w:val="single"/>
        </w:rPr>
        <w:t>viewing</w:t>
      </w:r>
      <w:r w:rsidRPr="00293A57">
        <w:rPr>
          <w:rFonts w:ascii="Times New Roman" w:hAnsi="Times New Roman"/>
          <w:sz w:val="22"/>
          <w:szCs w:val="22"/>
        </w:rPr>
        <w:t xml:space="preserve"> of FY 20</w:t>
      </w:r>
      <w:r w:rsidR="00247922">
        <w:rPr>
          <w:rFonts w:ascii="Times New Roman" w:hAnsi="Times New Roman"/>
          <w:sz w:val="22"/>
          <w:szCs w:val="22"/>
        </w:rPr>
        <w:t>20</w:t>
      </w:r>
      <w:r w:rsidRPr="00293A57">
        <w:rPr>
          <w:rFonts w:ascii="Times New Roman" w:hAnsi="Times New Roman"/>
          <w:sz w:val="22"/>
          <w:szCs w:val="22"/>
        </w:rPr>
        <w:t xml:space="preserve"> regulatory fees. </w:t>
      </w:r>
      <w:r w:rsidR="00F826FB">
        <w:rPr>
          <w:rFonts w:ascii="Times New Roman" w:hAnsi="Times New Roman"/>
          <w:sz w:val="22"/>
          <w:szCs w:val="22"/>
        </w:rPr>
        <w:t xml:space="preserve"> </w:t>
      </w:r>
      <w:r w:rsidRPr="00293A57">
        <w:rPr>
          <w:rFonts w:ascii="Times New Roman" w:hAnsi="Times New Roman"/>
          <w:sz w:val="22"/>
          <w:szCs w:val="22"/>
        </w:rPr>
        <w:t>While FY 20</w:t>
      </w:r>
      <w:r w:rsidR="00247922">
        <w:rPr>
          <w:rFonts w:ascii="Times New Roman" w:hAnsi="Times New Roman"/>
          <w:sz w:val="22"/>
          <w:szCs w:val="22"/>
        </w:rPr>
        <w:t>20</w:t>
      </w:r>
      <w:r w:rsidRPr="00293A57">
        <w:rPr>
          <w:rFonts w:ascii="Times New Roman" w:hAnsi="Times New Roman"/>
          <w:sz w:val="22"/>
          <w:szCs w:val="22"/>
        </w:rPr>
        <w:t xml:space="preserve"> regulatory fees will not become effective until the rulemaking is published in the </w:t>
      </w:r>
      <w:r w:rsidRPr="00F826FB">
        <w:rPr>
          <w:rFonts w:ascii="Times New Roman" w:hAnsi="Times New Roman"/>
          <w:i/>
          <w:sz w:val="22"/>
          <w:szCs w:val="22"/>
        </w:rPr>
        <w:t>Federal Register</w:t>
      </w:r>
      <w:r w:rsidRPr="00293A57">
        <w:rPr>
          <w:rFonts w:ascii="Times New Roman" w:hAnsi="Times New Roman"/>
          <w:sz w:val="22"/>
          <w:szCs w:val="22"/>
        </w:rPr>
        <w:t xml:space="preserve">, </w:t>
      </w:r>
      <w:r w:rsidRPr="00293A57">
        <w:rPr>
          <w:rFonts w:ascii="Times New Roman" w:hAnsi="Times New Roman"/>
          <w:sz w:val="22"/>
          <w:szCs w:val="22"/>
        </w:rPr>
        <w:t>regulatees</w:t>
      </w:r>
      <w:r w:rsidRPr="00293A57">
        <w:rPr>
          <w:rFonts w:ascii="Times New Roman" w:hAnsi="Times New Roman"/>
          <w:sz w:val="22"/>
          <w:szCs w:val="22"/>
        </w:rPr>
        <w:t xml:space="preserve"> at their own discretion, may submit payments at any time before the FY 20</w:t>
      </w:r>
      <w:r w:rsidR="00247922">
        <w:rPr>
          <w:rFonts w:ascii="Times New Roman" w:hAnsi="Times New Roman"/>
          <w:sz w:val="22"/>
          <w:szCs w:val="22"/>
        </w:rPr>
        <w:t>20</w:t>
      </w:r>
      <w:r w:rsidRPr="00293A57">
        <w:rPr>
          <w:rFonts w:ascii="Times New Roman" w:hAnsi="Times New Roman"/>
          <w:sz w:val="22"/>
          <w:szCs w:val="22"/>
        </w:rPr>
        <w:t xml:space="preserve"> regulatory fees</w:t>
      </w:r>
      <w:r w:rsidRPr="00023B97" w:rsidR="00023B97">
        <w:rPr>
          <w:rFonts w:ascii="Times New Roman" w:hAnsi="Times New Roman"/>
          <w:sz w:val="22"/>
          <w:szCs w:val="22"/>
        </w:rPr>
        <w:t xml:space="preserve"> </w:t>
      </w:r>
      <w:r w:rsidRPr="00293A57" w:rsidR="00023B97">
        <w:rPr>
          <w:rFonts w:ascii="Times New Roman" w:hAnsi="Times New Roman"/>
          <w:sz w:val="22"/>
          <w:szCs w:val="22"/>
        </w:rPr>
        <w:t>due date</w:t>
      </w:r>
      <w:r w:rsidRPr="00293A57">
        <w:rPr>
          <w:rFonts w:ascii="Times New Roman" w:hAnsi="Times New Roman"/>
          <w:sz w:val="22"/>
          <w:szCs w:val="22"/>
        </w:rPr>
        <w:t>.</w:t>
      </w:r>
      <w:r w:rsidR="00F826FB">
        <w:rPr>
          <w:rFonts w:ascii="Times New Roman" w:hAnsi="Times New Roman"/>
          <w:sz w:val="22"/>
          <w:szCs w:val="22"/>
        </w:rPr>
        <w:t xml:space="preserve"> </w:t>
      </w:r>
      <w:r w:rsidRPr="00293A57">
        <w:rPr>
          <w:rFonts w:ascii="Times New Roman" w:hAnsi="Times New Roman"/>
          <w:sz w:val="22"/>
          <w:szCs w:val="22"/>
        </w:rPr>
        <w:t xml:space="preserve"> </w:t>
      </w:r>
      <w:r w:rsidRPr="00293A57">
        <w:rPr>
          <w:rFonts w:ascii="Times New Roman" w:hAnsi="Times New Roman"/>
          <w:b/>
          <w:sz w:val="22"/>
          <w:szCs w:val="22"/>
        </w:rPr>
        <w:t>Regulatory fee payments</w:t>
      </w:r>
      <w:r>
        <w:rPr>
          <w:rStyle w:val="FootnoteReference"/>
          <w:rFonts w:ascii="Times New Roman" w:hAnsi="Times New Roman"/>
          <w:b/>
          <w:sz w:val="22"/>
          <w:szCs w:val="22"/>
        </w:rPr>
        <w:footnoteReference w:id="2"/>
      </w:r>
      <w:r w:rsidRPr="00293A57">
        <w:rPr>
          <w:rFonts w:ascii="Times New Roman" w:hAnsi="Times New Roman"/>
          <w:b/>
          <w:sz w:val="22"/>
          <w:szCs w:val="22"/>
        </w:rPr>
        <w:t xml:space="preserve"> </w:t>
      </w:r>
      <w:r w:rsidR="00F37394">
        <w:rPr>
          <w:rFonts w:ascii="Times New Roman" w:hAnsi="Times New Roman"/>
          <w:b/>
          <w:sz w:val="22"/>
          <w:szCs w:val="22"/>
        </w:rPr>
        <w:t>MUST BE</w:t>
      </w:r>
      <w:r w:rsidR="00F826FB">
        <w:rPr>
          <w:rFonts w:ascii="Times New Roman" w:hAnsi="Times New Roman"/>
          <w:b/>
          <w:sz w:val="22"/>
          <w:szCs w:val="22"/>
        </w:rPr>
        <w:t xml:space="preserve"> </w:t>
      </w:r>
      <w:r w:rsidRPr="00293A57">
        <w:rPr>
          <w:rFonts w:ascii="Times New Roman" w:hAnsi="Times New Roman"/>
          <w:b/>
          <w:sz w:val="22"/>
          <w:szCs w:val="22"/>
        </w:rPr>
        <w:t xml:space="preserve">RECEIVED by the Commission no later than 11:59 PM, Eastern Daylight Time, on September </w:t>
      </w:r>
      <w:r w:rsidR="00964311">
        <w:rPr>
          <w:rFonts w:ascii="Times New Roman" w:hAnsi="Times New Roman"/>
          <w:b/>
          <w:sz w:val="22"/>
          <w:szCs w:val="22"/>
        </w:rPr>
        <w:t>2</w:t>
      </w:r>
      <w:r w:rsidR="00247922">
        <w:rPr>
          <w:rFonts w:ascii="Times New Roman" w:hAnsi="Times New Roman"/>
          <w:b/>
          <w:sz w:val="22"/>
          <w:szCs w:val="22"/>
        </w:rPr>
        <w:t>5</w:t>
      </w:r>
      <w:r w:rsidRPr="00293A57">
        <w:rPr>
          <w:rFonts w:ascii="Times New Roman" w:hAnsi="Times New Roman"/>
          <w:b/>
          <w:sz w:val="22"/>
          <w:szCs w:val="22"/>
        </w:rPr>
        <w:t>, 20</w:t>
      </w:r>
      <w:r w:rsidR="00247922">
        <w:rPr>
          <w:rFonts w:ascii="Times New Roman" w:hAnsi="Times New Roman"/>
          <w:b/>
          <w:sz w:val="22"/>
          <w:szCs w:val="22"/>
        </w:rPr>
        <w:t>20</w:t>
      </w:r>
      <w:r w:rsidRPr="00293A57">
        <w:rPr>
          <w:rFonts w:ascii="Times New Roman" w:hAnsi="Times New Roman"/>
          <w:b/>
          <w:sz w:val="22"/>
          <w:szCs w:val="22"/>
        </w:rPr>
        <w:t>.</w:t>
      </w:r>
      <w:r w:rsidRPr="00293A57">
        <w:rPr>
          <w:rFonts w:ascii="Times New Roman" w:hAnsi="Times New Roman"/>
          <w:sz w:val="22"/>
          <w:szCs w:val="22"/>
        </w:rPr>
        <w:t xml:space="preserve">   </w:t>
      </w:r>
    </w:p>
    <w:p w:rsidR="00DA393B" w:rsidRPr="00293A57" w:rsidP="00DA393B" w14:paraId="777A2252" w14:textId="77777777">
      <w:pPr>
        <w:shd w:val="clear" w:color="auto" w:fill="FFFFFF"/>
        <w:rPr>
          <w:rFonts w:ascii="Times New Roman" w:hAnsi="Times New Roman"/>
          <w:sz w:val="22"/>
          <w:szCs w:val="22"/>
        </w:rPr>
      </w:pPr>
    </w:p>
    <w:p w:rsidR="00DA393B" w:rsidRPr="00293A57" w14:paraId="23839E13" w14:textId="462F1C18">
      <w:pPr>
        <w:tabs>
          <w:tab w:val="left" w:pos="-720"/>
        </w:tabs>
        <w:suppressAutoHyphens/>
        <w:rPr>
          <w:rFonts w:ascii="Times New Roman" w:hAnsi="Times New Roman"/>
          <w:sz w:val="22"/>
          <w:szCs w:val="22"/>
        </w:rPr>
      </w:pPr>
      <w:r w:rsidRPr="00293A57">
        <w:rPr>
          <w:rFonts w:ascii="Times New Roman" w:hAnsi="Times New Roman"/>
          <w:sz w:val="22"/>
          <w:szCs w:val="22"/>
        </w:rPr>
        <w:t xml:space="preserve">This </w:t>
      </w:r>
      <w:r w:rsidRPr="00293A57">
        <w:rPr>
          <w:rFonts w:ascii="Times New Roman" w:hAnsi="Times New Roman"/>
          <w:i/>
          <w:sz w:val="22"/>
          <w:szCs w:val="22"/>
        </w:rPr>
        <w:t>Fact Sheet</w:t>
      </w:r>
      <w:r w:rsidRPr="00293A57">
        <w:rPr>
          <w:rFonts w:ascii="Times New Roman" w:hAnsi="Times New Roman"/>
          <w:sz w:val="22"/>
          <w:szCs w:val="22"/>
        </w:rPr>
        <w:t xml:space="preserve"> applies to providers of international bearer circuits, earth station licensees, geostationary </w:t>
      </w:r>
      <w:r w:rsidR="003A0C5A">
        <w:rPr>
          <w:rFonts w:ascii="Times New Roman" w:hAnsi="Times New Roman"/>
          <w:sz w:val="22"/>
          <w:szCs w:val="22"/>
        </w:rPr>
        <w:t xml:space="preserve">orbit </w:t>
      </w:r>
      <w:r w:rsidRPr="00293A57">
        <w:rPr>
          <w:rFonts w:ascii="Times New Roman" w:hAnsi="Times New Roman"/>
          <w:sz w:val="22"/>
          <w:szCs w:val="22"/>
        </w:rPr>
        <w:t>space station licensees</w:t>
      </w:r>
      <w:r w:rsidR="004E07C9">
        <w:rPr>
          <w:rFonts w:ascii="Times New Roman" w:hAnsi="Times New Roman"/>
          <w:sz w:val="22"/>
          <w:szCs w:val="22"/>
        </w:rPr>
        <w:t>,</w:t>
      </w:r>
      <w:r w:rsidRPr="00293A57">
        <w:rPr>
          <w:rFonts w:ascii="Times New Roman" w:hAnsi="Times New Roman"/>
          <w:sz w:val="22"/>
          <w:szCs w:val="22"/>
        </w:rPr>
        <w:t xml:space="preserve"> </w:t>
      </w:r>
      <w:r w:rsidR="00A73B39">
        <w:rPr>
          <w:rFonts w:ascii="Times New Roman" w:hAnsi="Times New Roman"/>
          <w:sz w:val="22"/>
          <w:szCs w:val="22"/>
        </w:rPr>
        <w:t xml:space="preserve">non-geostationary orbit satellite systems licensees, </w:t>
      </w:r>
      <w:r w:rsidR="00472A0B">
        <w:rPr>
          <w:rFonts w:ascii="Times New Roman" w:hAnsi="Times New Roman"/>
          <w:sz w:val="22"/>
          <w:szCs w:val="22"/>
        </w:rPr>
        <w:t xml:space="preserve">non-U.S. licensed geostationary </w:t>
      </w:r>
      <w:r w:rsidRPr="00293A57" w:rsidR="00472A0B">
        <w:rPr>
          <w:rFonts w:ascii="Times New Roman" w:hAnsi="Times New Roman"/>
          <w:sz w:val="22"/>
          <w:szCs w:val="22"/>
        </w:rPr>
        <w:t xml:space="preserve">orbit </w:t>
      </w:r>
      <w:r w:rsidR="00472A0B">
        <w:rPr>
          <w:rFonts w:ascii="Times New Roman" w:hAnsi="Times New Roman"/>
          <w:sz w:val="22"/>
          <w:szCs w:val="22"/>
        </w:rPr>
        <w:t>space stations granted market access to the United States</w:t>
      </w:r>
      <w:r w:rsidRPr="00293A57">
        <w:rPr>
          <w:rFonts w:ascii="Times New Roman" w:hAnsi="Times New Roman"/>
          <w:sz w:val="22"/>
          <w:szCs w:val="22"/>
        </w:rPr>
        <w:t>,</w:t>
      </w:r>
      <w:r w:rsidR="003A0C5A">
        <w:rPr>
          <w:rFonts w:ascii="Times New Roman" w:hAnsi="Times New Roman"/>
          <w:sz w:val="22"/>
          <w:szCs w:val="22"/>
        </w:rPr>
        <w:t xml:space="preserve"> </w:t>
      </w:r>
      <w:r w:rsidR="00472A0B">
        <w:rPr>
          <w:rFonts w:ascii="Times New Roman" w:hAnsi="Times New Roman"/>
          <w:sz w:val="22"/>
          <w:szCs w:val="22"/>
        </w:rPr>
        <w:t xml:space="preserve">non-U.S. licensed </w:t>
      </w:r>
      <w:r w:rsidR="003A0C5A">
        <w:rPr>
          <w:rFonts w:ascii="Times New Roman" w:hAnsi="Times New Roman"/>
          <w:sz w:val="22"/>
          <w:szCs w:val="22"/>
        </w:rPr>
        <w:t>non-geostationary orbit satellite systems</w:t>
      </w:r>
      <w:r w:rsidRPr="00472A0B" w:rsidR="00472A0B">
        <w:rPr>
          <w:rFonts w:ascii="Times New Roman" w:hAnsi="Times New Roman"/>
          <w:sz w:val="22"/>
          <w:szCs w:val="22"/>
        </w:rPr>
        <w:t xml:space="preserve"> </w:t>
      </w:r>
      <w:r w:rsidR="00472A0B">
        <w:rPr>
          <w:rFonts w:ascii="Times New Roman" w:hAnsi="Times New Roman"/>
          <w:sz w:val="22"/>
          <w:szCs w:val="22"/>
        </w:rPr>
        <w:t>granted market access to the United States</w:t>
      </w:r>
      <w:r w:rsidR="003A0C5A">
        <w:rPr>
          <w:rFonts w:ascii="Times New Roman" w:hAnsi="Times New Roman"/>
          <w:sz w:val="22"/>
          <w:szCs w:val="22"/>
        </w:rPr>
        <w:t>,</w:t>
      </w:r>
      <w:r w:rsidRPr="00293A57">
        <w:rPr>
          <w:rFonts w:ascii="Times New Roman" w:hAnsi="Times New Roman"/>
          <w:sz w:val="22"/>
          <w:szCs w:val="22"/>
        </w:rPr>
        <w:t xml:space="preserve"> and submarine cable licensees.  </w:t>
      </w:r>
    </w:p>
    <w:p w:rsidR="00DA393B" w:rsidRPr="00293A57" w14:paraId="0B54032A" w14:textId="77777777">
      <w:pPr>
        <w:tabs>
          <w:tab w:val="left" w:pos="-720"/>
        </w:tabs>
        <w:suppressAutoHyphens/>
        <w:rPr>
          <w:rFonts w:ascii="Times New Roman" w:hAnsi="Times New Roman"/>
          <w:sz w:val="22"/>
          <w:szCs w:val="22"/>
        </w:rPr>
      </w:pPr>
    </w:p>
    <w:p w:rsidR="00DA393B" w:rsidRPr="00293A57" w14:paraId="310A27F1" w14:textId="18559246">
      <w:pPr>
        <w:tabs>
          <w:tab w:val="left" w:pos="-720"/>
        </w:tabs>
        <w:suppressAutoHyphens/>
        <w:rPr>
          <w:rFonts w:ascii="Times New Roman" w:hAnsi="Times New Roman"/>
          <w:sz w:val="22"/>
          <w:szCs w:val="22"/>
        </w:rPr>
      </w:pPr>
      <w:r w:rsidRPr="00293A57">
        <w:rPr>
          <w:rFonts w:ascii="Times New Roman" w:hAnsi="Times New Roman"/>
          <w:sz w:val="22"/>
          <w:szCs w:val="22"/>
        </w:rPr>
        <w:t xml:space="preserve">Licensees </w:t>
      </w:r>
      <w:r w:rsidR="002F23B7">
        <w:rPr>
          <w:rFonts w:ascii="Times New Roman" w:hAnsi="Times New Roman"/>
          <w:sz w:val="22"/>
          <w:szCs w:val="22"/>
        </w:rPr>
        <w:t xml:space="preserve">and market access </w:t>
      </w:r>
      <w:r w:rsidR="00245CED">
        <w:rPr>
          <w:rFonts w:ascii="Times New Roman" w:hAnsi="Times New Roman"/>
          <w:sz w:val="22"/>
          <w:szCs w:val="22"/>
        </w:rPr>
        <w:t>grantees</w:t>
      </w:r>
      <w:r w:rsidR="002F23B7">
        <w:rPr>
          <w:rFonts w:ascii="Times New Roman" w:hAnsi="Times New Roman"/>
          <w:sz w:val="22"/>
          <w:szCs w:val="22"/>
        </w:rPr>
        <w:t xml:space="preserve"> </w:t>
      </w:r>
      <w:r w:rsidRPr="00293A57">
        <w:rPr>
          <w:rFonts w:ascii="Times New Roman" w:hAnsi="Times New Roman"/>
          <w:spacing w:val="-2"/>
          <w:sz w:val="22"/>
          <w:szCs w:val="22"/>
        </w:rPr>
        <w:t xml:space="preserve">owe regulatory fees for each license </w:t>
      </w:r>
      <w:r w:rsidR="002F23B7">
        <w:rPr>
          <w:rFonts w:ascii="Times New Roman" w:hAnsi="Times New Roman"/>
          <w:spacing w:val="-2"/>
          <w:sz w:val="22"/>
          <w:szCs w:val="22"/>
        </w:rPr>
        <w:t xml:space="preserve">and market access grant </w:t>
      </w:r>
      <w:r w:rsidRPr="00293A57">
        <w:rPr>
          <w:rFonts w:ascii="Times New Roman" w:hAnsi="Times New Roman"/>
          <w:spacing w:val="-2"/>
          <w:sz w:val="22"/>
          <w:szCs w:val="22"/>
        </w:rPr>
        <w:t xml:space="preserve">held as of </w:t>
      </w:r>
      <w:r w:rsidRPr="00293A57">
        <w:rPr>
          <w:rFonts w:ascii="Times New Roman" w:hAnsi="Times New Roman"/>
          <w:bCs/>
          <w:sz w:val="22"/>
          <w:szCs w:val="22"/>
        </w:rPr>
        <w:t>October 1, 201</w:t>
      </w:r>
      <w:r w:rsidR="00247922">
        <w:rPr>
          <w:rFonts w:ascii="Times New Roman" w:hAnsi="Times New Roman"/>
          <w:bCs/>
          <w:sz w:val="22"/>
          <w:szCs w:val="22"/>
        </w:rPr>
        <w:t>9</w:t>
      </w:r>
      <w:r w:rsidRPr="00293A57">
        <w:rPr>
          <w:rFonts w:ascii="Times New Roman" w:hAnsi="Times New Roman"/>
          <w:sz w:val="22"/>
          <w:szCs w:val="22"/>
        </w:rPr>
        <w:t xml:space="preserve">, and payment is due </w:t>
      </w:r>
      <w:r w:rsidRPr="00293A57">
        <w:rPr>
          <w:rFonts w:ascii="Times New Roman" w:hAnsi="Times New Roman"/>
          <w:sz w:val="22"/>
          <w:szCs w:val="22"/>
          <w:u w:val="single"/>
        </w:rPr>
        <w:t xml:space="preserve">even if a license </w:t>
      </w:r>
      <w:r w:rsidR="002F23B7">
        <w:rPr>
          <w:rFonts w:ascii="Times New Roman" w:hAnsi="Times New Roman"/>
          <w:sz w:val="22"/>
          <w:szCs w:val="22"/>
          <w:u w:val="single"/>
        </w:rPr>
        <w:t xml:space="preserve">or market access grant </w:t>
      </w:r>
      <w:r w:rsidRPr="00293A57">
        <w:rPr>
          <w:rFonts w:ascii="Times New Roman" w:hAnsi="Times New Roman"/>
          <w:sz w:val="22"/>
          <w:szCs w:val="22"/>
          <w:u w:val="single"/>
        </w:rPr>
        <w:t>expired after October 1, 201</w:t>
      </w:r>
      <w:r w:rsidR="00247922">
        <w:rPr>
          <w:rFonts w:ascii="Times New Roman" w:hAnsi="Times New Roman"/>
          <w:sz w:val="22"/>
          <w:szCs w:val="22"/>
          <w:u w:val="single"/>
        </w:rPr>
        <w:t>9</w:t>
      </w:r>
      <w:r w:rsidRPr="00293A57">
        <w:rPr>
          <w:rFonts w:ascii="Times New Roman" w:hAnsi="Times New Roman"/>
          <w:sz w:val="22"/>
          <w:szCs w:val="22"/>
        </w:rPr>
        <w:t>.  In instances where a license or authorization is transferred or assigned after October 1, 201</w:t>
      </w:r>
      <w:r w:rsidR="00247922">
        <w:rPr>
          <w:rFonts w:ascii="Times New Roman" w:hAnsi="Times New Roman"/>
          <w:sz w:val="22"/>
          <w:szCs w:val="22"/>
        </w:rPr>
        <w:t>9</w:t>
      </w:r>
      <w:r w:rsidRPr="00293A57">
        <w:rPr>
          <w:rFonts w:ascii="Times New Roman" w:hAnsi="Times New Roman"/>
          <w:sz w:val="22"/>
          <w:szCs w:val="22"/>
        </w:rPr>
        <w:t xml:space="preserve">, the fee must be paid by the party that is the licensee or holder of the authorization on the date that the fee payment is due. </w:t>
      </w:r>
    </w:p>
    <w:p w:rsidR="00DA393B" w:rsidRPr="00293A57" w14:paraId="6DAB1F8A" w14:textId="77777777">
      <w:pPr>
        <w:tabs>
          <w:tab w:val="left" w:pos="-720"/>
        </w:tabs>
        <w:suppressAutoHyphens/>
        <w:rPr>
          <w:rFonts w:ascii="Times New Roman" w:hAnsi="Times New Roman"/>
          <w:bCs/>
          <w:sz w:val="22"/>
          <w:szCs w:val="22"/>
        </w:rPr>
      </w:pPr>
    </w:p>
    <w:p w:rsidR="00DA393B" w:rsidRPr="00293A57" w14:paraId="58E5ECEA"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Cs/>
          <w:sz w:val="22"/>
          <w:szCs w:val="22"/>
        </w:rPr>
        <w:t xml:space="preserve">If </w:t>
      </w:r>
      <w:r w:rsidRPr="00293A57">
        <w:rPr>
          <w:rFonts w:ascii="Times New Roman" w:hAnsi="Times New Roman"/>
          <w:sz w:val="22"/>
          <w:szCs w:val="22"/>
        </w:rPr>
        <w:t xml:space="preserve">an earth station's license limits its operational authority to a </w:t>
      </w:r>
      <w:r w:rsidRPr="00293A57">
        <w:rPr>
          <w:rFonts w:ascii="Times New Roman" w:hAnsi="Times New Roman"/>
          <w:sz w:val="22"/>
          <w:szCs w:val="22"/>
        </w:rPr>
        <w:t>particular satellite</w:t>
      </w:r>
      <w:r w:rsidRPr="00293A57">
        <w:rPr>
          <w:rFonts w:ascii="Times New Roman" w:hAnsi="Times New Roman"/>
          <w:sz w:val="22"/>
          <w:szCs w:val="22"/>
        </w:rPr>
        <w:t xml:space="preserve"> system that is not yet operational, a regulatory fee payment for the earth station is not due until the first satellite in the system becomes operational pursuant to section 25.121(d) of our rules.</w:t>
      </w:r>
    </w:p>
    <w:p w:rsidR="00DA393B" w:rsidRPr="00293A57" w14:paraId="07BEA98C" w14:textId="77777777">
      <w:pPr>
        <w:tabs>
          <w:tab w:val="center" w:pos="4680"/>
        </w:tabs>
        <w:suppressAutoHyphens/>
        <w:outlineLvl w:val="0"/>
        <w:rPr>
          <w:rFonts w:ascii="Times New Roman" w:hAnsi="Times New Roman"/>
          <w:b/>
          <w:smallCaps/>
          <w:sz w:val="22"/>
          <w:szCs w:val="22"/>
        </w:rPr>
      </w:pPr>
    </w:p>
    <w:p w:rsidR="00DA393B" w:rsidRPr="00293A57" w14:paraId="387B1FD9"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Earth Stations</w:t>
      </w:r>
    </w:p>
    <w:p w:rsidR="00DA393B" w:rsidRPr="00293A57" w14:paraId="6681A651"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16D64D24"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r w:rsidRPr="00293A57">
        <w:rPr>
          <w:rFonts w:ascii="Times New Roman" w:hAnsi="Times New Roman"/>
          <w:sz w:val="22"/>
          <w:szCs w:val="22"/>
          <w:u w:val="single"/>
        </w:rPr>
        <w:t>VSAT and Equivalent C-Band Antennas</w:t>
      </w:r>
      <w:r w:rsidRPr="00293A57">
        <w:rPr>
          <w:rFonts w:ascii="Times New Roman" w:hAnsi="Times New Roman"/>
          <w:sz w:val="22"/>
          <w:szCs w:val="22"/>
        </w:rPr>
        <w:t xml:space="preserve">:  These facilities are earth station systems comprising very small aperture terminals making up authorized networks operating in the 12 and 14 GHz bands that provide a variety of communications services to other stations in the </w:t>
      </w:r>
      <w:r w:rsidRPr="00293A57">
        <w:rPr>
          <w:rFonts w:ascii="Times New Roman" w:hAnsi="Times New Roman"/>
          <w:sz w:val="22"/>
          <w:szCs w:val="22"/>
        </w:rPr>
        <w:t>network.</w:t>
      </w:r>
      <w:r w:rsidRPr="00293A57">
        <w:rPr>
          <w:rFonts w:ascii="Times New Roman" w:hAnsi="Times New Roman"/>
          <w:sz w:val="22"/>
          <w:szCs w:val="22"/>
        </w:rPr>
        <w:t xml:space="preserve">  Each system, authorized pursuant to blanket licensing procedures in Part 25 of the Commission’s rules, consists of a </w:t>
      </w:r>
      <w:r w:rsidRPr="00293A57">
        <w:rPr>
          <w:rFonts w:ascii="Times New Roman" w:hAnsi="Times New Roman"/>
          <w:sz w:val="22"/>
          <w:szCs w:val="22"/>
        </w:rPr>
        <w:t xml:space="preserve">network of </w:t>
      </w:r>
      <w:r w:rsidRPr="00293A57">
        <w:rPr>
          <w:rFonts w:ascii="Times New Roman" w:hAnsi="Times New Roman"/>
          <w:sz w:val="22"/>
          <w:szCs w:val="22"/>
        </w:rPr>
        <w:t>technically-identical</w:t>
      </w:r>
      <w:r w:rsidRPr="00293A57">
        <w:rPr>
          <w:rFonts w:ascii="Times New Roman" w:hAnsi="Times New Roman"/>
          <w:sz w:val="22"/>
          <w:szCs w:val="22"/>
        </w:rPr>
        <w:t xml:space="preserve"> small fixed-satellite earth stations which often includes a larger hub station.  Entities holding these types of authorizations will be assessed a regulatory fee per authorization or registration, </w:t>
      </w:r>
      <w:r w:rsidRPr="00293A57">
        <w:rPr>
          <w:rFonts w:ascii="Times New Roman" w:hAnsi="Times New Roman"/>
          <w:sz w:val="22"/>
          <w:szCs w:val="22"/>
          <w:u w:val="single"/>
        </w:rPr>
        <w:t>as well as a fee for each associated Hub Station</w:t>
      </w:r>
      <w:r w:rsidRPr="00293A57">
        <w:rPr>
          <w:rFonts w:ascii="Times New Roman" w:hAnsi="Times New Roman"/>
          <w:sz w:val="22"/>
          <w:szCs w:val="22"/>
        </w:rPr>
        <w:t>.</w:t>
      </w:r>
    </w:p>
    <w:p w:rsidR="00DA393B" w:rsidRPr="00293A57" w14:paraId="365A1E25"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3A433088"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Mobile Satellite Earth Stations</w:t>
      </w:r>
      <w:r w:rsidRPr="00293A57">
        <w:rPr>
          <w:rFonts w:ascii="Times New Roman" w:hAnsi="Times New Roman"/>
          <w:sz w:val="22"/>
          <w:szCs w:val="22"/>
        </w:rPr>
        <w:t xml:space="preserve">:  Mobile satellite service providers operate under blanket licenses for mobile antennas (transceivers) which are smaller than one meter and provide voice or data communications, including position location information, for mobile platforms such as cars, buses or trucks.  </w:t>
      </w:r>
    </w:p>
    <w:p w:rsidR="00DA393B" w:rsidRPr="00293A57" w14:paraId="3EA9A8F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0DC52571"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Earth Station Antennas: Transmit/Receive and Transmit-Only Antennas:</w:t>
      </w:r>
      <w:r w:rsidRPr="00293A57">
        <w:rPr>
          <w:rFonts w:ascii="Times New Roman" w:hAnsi="Times New Roman"/>
          <w:sz w:val="22"/>
          <w:szCs w:val="22"/>
        </w:rPr>
        <w:t xml:space="preserve">  These licensees include private carriers and common carriers that operate fixed-satellite earth station antennas to provide telephone, television, data, and other forms of communication, including antennas used to transmit and receive and transmit-only. Also included in this category are telemetry, tracking and control (TT&amp;C) earth stations and transportable earth stations.  </w:t>
      </w:r>
    </w:p>
    <w:p w:rsidR="00DA393B" w:rsidRPr="00293A57" w14:paraId="5F3A1B9E"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534265B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Earth Station Antennas:  Receive-Only Antennas</w:t>
      </w:r>
      <w:r w:rsidRPr="00293A57">
        <w:rPr>
          <w:rFonts w:ascii="Times New Roman" w:hAnsi="Times New Roman"/>
          <w:sz w:val="22"/>
          <w:szCs w:val="22"/>
        </w:rPr>
        <w:t xml:space="preserve">:  The Commission does not assess regulatory fees for receive-only earth station antennas.  </w:t>
      </w:r>
    </w:p>
    <w:p w:rsidR="00DA393B" w:rsidRPr="00293A57" w14:paraId="35463910"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mallCaps/>
          <w:sz w:val="22"/>
          <w:szCs w:val="22"/>
        </w:rPr>
      </w:pPr>
    </w:p>
    <w:p w:rsidR="00DA393B" w:rsidRPr="00293A57" w14:paraId="6207EB22" w14:textId="19B2C816">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Earth Station licensees </w:t>
      </w:r>
      <w:r w:rsidRPr="00293A57">
        <w:rPr>
          <w:rFonts w:ascii="Times New Roman" w:hAnsi="Times New Roman"/>
          <w:sz w:val="22"/>
          <w:szCs w:val="22"/>
          <w:u w:val="single"/>
        </w:rPr>
        <w:t>will not</w:t>
      </w:r>
      <w:r w:rsidRPr="00293A57">
        <w:rPr>
          <w:rFonts w:ascii="Times New Roman" w:hAnsi="Times New Roman"/>
          <w:sz w:val="22"/>
          <w:szCs w:val="22"/>
        </w:rPr>
        <w:t xml:space="preserve"> receive a pre-completed regulatory fee bill (FCC Form 159-B) in the mail for their Earth Station licenses.  A regulatory fee bill will be created </w:t>
      </w:r>
      <w:r w:rsidR="005328AF">
        <w:rPr>
          <w:rFonts w:ascii="Times New Roman" w:hAnsi="Times New Roman"/>
          <w:sz w:val="22"/>
          <w:szCs w:val="22"/>
        </w:rPr>
        <w:t xml:space="preserve">and placed in Fee Filer for payment.  </w:t>
      </w:r>
      <w:r w:rsidRPr="00293A57">
        <w:rPr>
          <w:rFonts w:ascii="Times New Roman" w:hAnsi="Times New Roman"/>
          <w:bCs/>
          <w:sz w:val="22"/>
          <w:szCs w:val="22"/>
        </w:rPr>
        <w:t xml:space="preserve">Earth Station </w:t>
      </w:r>
      <w:r w:rsidRPr="00293A57">
        <w:rPr>
          <w:rFonts w:ascii="Times New Roman" w:hAnsi="Times New Roman"/>
          <w:sz w:val="22"/>
          <w:szCs w:val="22"/>
        </w:rPr>
        <w:t>licensees are also required to make regulatory fee payments for all other regulatory fees that they owe.</w:t>
      </w:r>
    </w:p>
    <w:p w:rsidR="00DA393B" w:rsidRPr="00293A57" w14:paraId="64D46CC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mallCaps/>
          <w:sz w:val="22"/>
          <w:szCs w:val="22"/>
        </w:rPr>
      </w:pPr>
    </w:p>
    <w:p w:rsidR="00DA393B" w:rsidRPr="00293A57" w14:paraId="445D66E1" w14:textId="31823B19">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 xml:space="preserve">Fee Calculation:  </w:t>
      </w:r>
      <w:r w:rsidRPr="00293A57">
        <w:rPr>
          <w:rFonts w:ascii="Times New Roman" w:hAnsi="Times New Roman"/>
          <w:sz w:val="22"/>
          <w:szCs w:val="22"/>
        </w:rPr>
        <w:t>$</w:t>
      </w:r>
      <w:r w:rsidR="00247922">
        <w:rPr>
          <w:rFonts w:ascii="Times New Roman" w:hAnsi="Times New Roman"/>
          <w:sz w:val="22"/>
          <w:szCs w:val="22"/>
        </w:rPr>
        <w:t>560</w:t>
      </w:r>
      <w:r w:rsidRPr="00293A57">
        <w:rPr>
          <w:rFonts w:ascii="Times New Roman" w:hAnsi="Times New Roman"/>
          <w:sz w:val="22"/>
          <w:szCs w:val="22"/>
        </w:rPr>
        <w:t xml:space="preserve"> per license or authorization, and $</w:t>
      </w:r>
      <w:r w:rsidR="00247922">
        <w:rPr>
          <w:rFonts w:ascii="Times New Roman" w:hAnsi="Times New Roman"/>
          <w:sz w:val="22"/>
          <w:szCs w:val="22"/>
        </w:rPr>
        <w:t>560</w:t>
      </w:r>
      <w:r w:rsidRPr="00293A57">
        <w:rPr>
          <w:rFonts w:ascii="Times New Roman" w:hAnsi="Times New Roman"/>
          <w:sz w:val="22"/>
          <w:szCs w:val="22"/>
        </w:rPr>
        <w:t xml:space="preserve"> for each associated Hub Station.  </w:t>
      </w:r>
    </w:p>
    <w:p w:rsidR="00DA393B" w:rsidRPr="00293A57" w14:paraId="4E40B11C" w14:textId="77777777">
      <w:pPr>
        <w:tabs>
          <w:tab w:val="center" w:pos="4680"/>
        </w:tabs>
        <w:suppressAutoHyphens/>
        <w:outlineLvl w:val="0"/>
        <w:rPr>
          <w:rFonts w:ascii="Times New Roman" w:hAnsi="Times New Roman"/>
          <w:b/>
          <w:smallCaps/>
          <w:sz w:val="22"/>
          <w:szCs w:val="22"/>
        </w:rPr>
      </w:pPr>
    </w:p>
    <w:p w:rsidR="00DA393B" w:rsidRPr="00293A57" w14:paraId="22D7642D" w14:textId="7AB2AB23">
      <w:pPr>
        <w:pStyle w:val="header2"/>
        <w:tabs>
          <w:tab w:val="left" w:pos="-720"/>
          <w:tab w:val="clear" w:pos="1440"/>
          <w:tab w:val="clear" w:pos="4320"/>
          <w:tab w:val="clear" w:pos="8640"/>
        </w:tabs>
        <w:rPr>
          <w:sz w:val="22"/>
          <w:szCs w:val="22"/>
        </w:rPr>
      </w:pPr>
      <w:r w:rsidRPr="00293A57">
        <w:rPr>
          <w:sz w:val="22"/>
          <w:szCs w:val="22"/>
        </w:rPr>
        <w:t>Geostationary Orbit Space Stations</w:t>
      </w:r>
    </w:p>
    <w:p w:rsidR="00DA393B" w:rsidRPr="00293A57" w14:paraId="3C2AE67E" w14:textId="77777777">
      <w:pPr>
        <w:tabs>
          <w:tab w:val="left" w:pos="-720"/>
        </w:tabs>
        <w:suppressAutoHyphens/>
        <w:rPr>
          <w:rFonts w:ascii="Times New Roman" w:hAnsi="Times New Roman"/>
          <w:sz w:val="22"/>
          <w:szCs w:val="22"/>
        </w:rPr>
      </w:pPr>
    </w:p>
    <w:p w:rsidR="00DA393B" w:rsidRPr="00293A57" w14:paraId="54D948F0" w14:textId="62D555AE">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Geostationary orbit space station licensees </w:t>
      </w:r>
      <w:r w:rsidR="002F23B7">
        <w:rPr>
          <w:rFonts w:ascii="Times New Roman" w:hAnsi="Times New Roman"/>
          <w:sz w:val="22"/>
          <w:szCs w:val="22"/>
        </w:rPr>
        <w:t xml:space="preserve">and market access </w:t>
      </w:r>
      <w:r w:rsidR="00245CED">
        <w:rPr>
          <w:rFonts w:ascii="Times New Roman" w:hAnsi="Times New Roman"/>
          <w:sz w:val="22"/>
          <w:szCs w:val="22"/>
        </w:rPr>
        <w:t>grantees</w:t>
      </w:r>
      <w:r w:rsidR="002F23B7">
        <w:rPr>
          <w:rFonts w:ascii="Times New Roman" w:hAnsi="Times New Roman"/>
          <w:sz w:val="22"/>
          <w:szCs w:val="22"/>
        </w:rPr>
        <w:t xml:space="preserve"> </w:t>
      </w:r>
      <w:r w:rsidRPr="00293A57">
        <w:rPr>
          <w:rFonts w:ascii="Times New Roman" w:hAnsi="Times New Roman"/>
          <w:sz w:val="22"/>
          <w:szCs w:val="22"/>
          <w:u w:val="single"/>
        </w:rPr>
        <w:t>will not</w:t>
      </w:r>
      <w:r w:rsidRPr="00293A57">
        <w:rPr>
          <w:rFonts w:ascii="Times New Roman" w:hAnsi="Times New Roman"/>
          <w:sz w:val="22"/>
          <w:szCs w:val="22"/>
        </w:rPr>
        <w:t xml:space="preserve"> receive a pre-printed regulatory fee bill (FCC Form 159-B) from the Commission for their satellite space station authorization(s).  </w:t>
      </w:r>
      <w:r w:rsidRPr="00293A57" w:rsidR="005328AF">
        <w:rPr>
          <w:rFonts w:ascii="Times New Roman" w:hAnsi="Times New Roman"/>
          <w:sz w:val="22"/>
          <w:szCs w:val="22"/>
        </w:rPr>
        <w:t xml:space="preserve">A regulatory fee bill will be created </w:t>
      </w:r>
      <w:r w:rsidR="005328AF">
        <w:rPr>
          <w:rFonts w:ascii="Times New Roman" w:hAnsi="Times New Roman"/>
          <w:sz w:val="22"/>
          <w:szCs w:val="22"/>
        </w:rPr>
        <w:t>and placed in Fee Filer for payment.</w:t>
      </w:r>
      <w:r w:rsidRPr="00293A57">
        <w:rPr>
          <w:rFonts w:ascii="Times New Roman" w:hAnsi="Times New Roman"/>
          <w:bCs/>
          <w:sz w:val="22"/>
          <w:szCs w:val="22"/>
        </w:rPr>
        <w:t xml:space="preserve">  </w:t>
      </w:r>
      <w:r w:rsidRPr="00293A57">
        <w:rPr>
          <w:rFonts w:ascii="Times New Roman" w:hAnsi="Times New Roman"/>
          <w:sz w:val="22"/>
          <w:szCs w:val="22"/>
        </w:rPr>
        <w:t>Geostationary</w:t>
      </w:r>
      <w:r w:rsidRPr="00293A57">
        <w:rPr>
          <w:rFonts w:ascii="Times New Roman" w:hAnsi="Times New Roman"/>
          <w:bCs/>
          <w:sz w:val="22"/>
          <w:szCs w:val="22"/>
        </w:rPr>
        <w:t xml:space="preserve"> space station </w:t>
      </w:r>
      <w:r w:rsidRPr="00293A57">
        <w:rPr>
          <w:rFonts w:ascii="Times New Roman" w:hAnsi="Times New Roman"/>
          <w:sz w:val="22"/>
          <w:szCs w:val="22"/>
        </w:rPr>
        <w:t xml:space="preserve">licensees </w:t>
      </w:r>
      <w:r w:rsidR="00596D38">
        <w:rPr>
          <w:rFonts w:ascii="Times New Roman" w:hAnsi="Times New Roman"/>
          <w:sz w:val="22"/>
          <w:szCs w:val="22"/>
        </w:rPr>
        <w:t xml:space="preserve">and market access </w:t>
      </w:r>
      <w:r w:rsidR="00867BF3">
        <w:rPr>
          <w:rFonts w:ascii="Times New Roman" w:hAnsi="Times New Roman"/>
          <w:sz w:val="22"/>
          <w:szCs w:val="22"/>
        </w:rPr>
        <w:t>grantees</w:t>
      </w:r>
      <w:r w:rsidR="00596D38">
        <w:rPr>
          <w:rFonts w:ascii="Times New Roman" w:hAnsi="Times New Roman"/>
          <w:sz w:val="22"/>
          <w:szCs w:val="22"/>
        </w:rPr>
        <w:t xml:space="preserve"> </w:t>
      </w:r>
      <w:r w:rsidRPr="00293A57">
        <w:rPr>
          <w:rFonts w:ascii="Times New Roman" w:hAnsi="Times New Roman"/>
          <w:sz w:val="22"/>
          <w:szCs w:val="22"/>
        </w:rPr>
        <w:t xml:space="preserve">are also required to make regulatory fee payments for all other </w:t>
      </w:r>
      <w:r w:rsidR="00245CED">
        <w:rPr>
          <w:rFonts w:ascii="Times New Roman" w:hAnsi="Times New Roman"/>
          <w:sz w:val="22"/>
          <w:szCs w:val="22"/>
        </w:rPr>
        <w:t xml:space="preserve">regulatory </w:t>
      </w:r>
      <w:r w:rsidRPr="00293A57">
        <w:rPr>
          <w:rFonts w:ascii="Times New Roman" w:hAnsi="Times New Roman"/>
          <w:sz w:val="22"/>
          <w:szCs w:val="22"/>
        </w:rPr>
        <w:t>fee</w:t>
      </w:r>
      <w:r w:rsidR="00245CED">
        <w:rPr>
          <w:rFonts w:ascii="Times New Roman" w:hAnsi="Times New Roman"/>
          <w:sz w:val="22"/>
          <w:szCs w:val="22"/>
        </w:rPr>
        <w:t>s that they owe</w:t>
      </w:r>
      <w:r w:rsidRPr="00293A57">
        <w:rPr>
          <w:rFonts w:ascii="Times New Roman" w:hAnsi="Times New Roman"/>
          <w:sz w:val="22"/>
          <w:szCs w:val="22"/>
        </w:rPr>
        <w:t>.</w:t>
      </w:r>
    </w:p>
    <w:p w:rsidR="00DA393B" w:rsidRPr="00293A57" w14:paraId="2ECFFEDF" w14:textId="77777777">
      <w:pPr>
        <w:tabs>
          <w:tab w:val="left" w:pos="-720"/>
        </w:tabs>
        <w:suppressAutoHyphens/>
        <w:rPr>
          <w:rFonts w:ascii="Times New Roman" w:hAnsi="Times New Roman"/>
          <w:b/>
          <w:sz w:val="22"/>
          <w:szCs w:val="22"/>
        </w:rPr>
      </w:pPr>
    </w:p>
    <w:p w:rsidR="00DA393B" w:rsidRPr="00293A57" w14:paraId="7C718920" w14:textId="75B93947">
      <w:pPr>
        <w:tabs>
          <w:tab w:val="left" w:pos="-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r w:rsidRPr="00FC7202" w:rsidR="00921EEC">
        <w:rPr>
          <w:rFonts w:ascii="Times New Roman" w:hAnsi="Times New Roman"/>
          <w:sz w:val="22"/>
          <w:szCs w:val="22"/>
        </w:rPr>
        <w:t xml:space="preserve">Entities authorized to operate satellite systems in geostationary orbit under Part 25 that provide communications between satellites and earth stations on a common carrier or private carrier </w:t>
      </w:r>
      <w:r w:rsidRPr="00FC7202" w:rsidR="00921EEC">
        <w:rPr>
          <w:rFonts w:ascii="Times New Roman" w:hAnsi="Times New Roman"/>
          <w:sz w:val="22"/>
          <w:szCs w:val="22"/>
        </w:rPr>
        <w:t>basis.</w:t>
      </w:r>
      <w:r w:rsidRPr="00FC7202" w:rsidR="00921EEC">
        <w:rPr>
          <w:rFonts w:ascii="Times New Roman" w:hAnsi="Times New Roman"/>
          <w:sz w:val="22"/>
          <w:szCs w:val="22"/>
        </w:rPr>
        <w:t xml:space="preserve"> </w:t>
      </w:r>
      <w:r w:rsidRPr="00FC7202" w:rsidR="00921EEC">
        <w:rPr>
          <w:rFonts w:ascii="Times New Roman" w:hAnsi="Times New Roman"/>
          <w:sz w:val="22"/>
          <w:szCs w:val="22"/>
          <w:u w:val="single"/>
        </w:rPr>
        <w:t>U.S. licensed geostationary orbit space stations and, beginning in FY 2020, non-U.S. licensed geostationary orbit space stations granted market access to the United States through a Petition for Declaratory Ruling or through Earth Station licenses are subject to FY 2020 regulatory</w:t>
      </w:r>
      <w:r w:rsidR="007F520B">
        <w:rPr>
          <w:rFonts w:ascii="Times New Roman" w:hAnsi="Times New Roman"/>
          <w:sz w:val="22"/>
          <w:szCs w:val="22"/>
          <w:u w:val="single"/>
        </w:rPr>
        <w:t xml:space="preserve"> fees</w:t>
      </w:r>
      <w:r w:rsidR="00921EEC">
        <w:rPr>
          <w:rFonts w:ascii="Times New Roman" w:hAnsi="Times New Roman"/>
          <w:sz w:val="22"/>
          <w:szCs w:val="22"/>
          <w:u w:val="single"/>
        </w:rPr>
        <w:t>.</w:t>
      </w:r>
      <w:r w:rsidR="00301722">
        <w:rPr>
          <w:rFonts w:ascii="Times New Roman" w:hAnsi="Times New Roman"/>
          <w:sz w:val="22"/>
          <w:szCs w:val="22"/>
        </w:rPr>
        <w:t xml:space="preserve"> </w:t>
      </w:r>
    </w:p>
    <w:p w:rsidR="00DA393B" w:rsidRPr="00293A57" w14:paraId="2AA681D8" w14:textId="77777777">
      <w:pPr>
        <w:tabs>
          <w:tab w:val="left" w:pos="-720"/>
        </w:tabs>
        <w:suppressAutoHyphens/>
        <w:rPr>
          <w:rFonts w:ascii="Times New Roman" w:hAnsi="Times New Roman"/>
          <w:b/>
          <w:smallCaps/>
          <w:sz w:val="22"/>
          <w:szCs w:val="22"/>
        </w:rPr>
      </w:pPr>
    </w:p>
    <w:p w:rsidR="00DA393B" w:rsidRPr="00293A57" w:rsidP="00DA393B" w14:paraId="50D000A0" w14:textId="17E30844">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w:t>
      </w:r>
      <w:r w:rsidR="00526F9F">
        <w:rPr>
          <w:rFonts w:ascii="Times New Roman" w:hAnsi="Times New Roman"/>
          <w:sz w:val="22"/>
          <w:szCs w:val="22"/>
        </w:rPr>
        <w:t>98</w:t>
      </w:r>
      <w:r w:rsidRPr="00293A57">
        <w:rPr>
          <w:rFonts w:ascii="Times New Roman" w:hAnsi="Times New Roman"/>
          <w:sz w:val="22"/>
          <w:szCs w:val="22"/>
        </w:rPr>
        <w:t>,</w:t>
      </w:r>
      <w:r w:rsidR="00526F9F">
        <w:rPr>
          <w:rFonts w:ascii="Times New Roman" w:hAnsi="Times New Roman"/>
          <w:sz w:val="22"/>
          <w:szCs w:val="22"/>
        </w:rPr>
        <w:t>1</w:t>
      </w:r>
      <w:r w:rsidR="00162567">
        <w:rPr>
          <w:rFonts w:ascii="Times New Roman" w:hAnsi="Times New Roman"/>
          <w:sz w:val="22"/>
          <w:szCs w:val="22"/>
        </w:rPr>
        <w:t>25</w:t>
      </w:r>
      <w:r w:rsidRPr="00293A57">
        <w:rPr>
          <w:rFonts w:ascii="Times New Roman" w:hAnsi="Times New Roman"/>
          <w:sz w:val="22"/>
          <w:szCs w:val="22"/>
        </w:rPr>
        <w:t xml:space="preserve"> </w:t>
      </w:r>
      <w:r w:rsidRPr="00293A57">
        <w:rPr>
          <w:rFonts w:ascii="Times New Roman" w:hAnsi="Times New Roman"/>
          <w:sz w:val="22"/>
          <w:szCs w:val="22"/>
          <w:u w:val="single"/>
        </w:rPr>
        <w:t>per operational space station</w:t>
      </w:r>
      <w:r w:rsidRPr="00293A57">
        <w:rPr>
          <w:rFonts w:ascii="Times New Roman" w:hAnsi="Times New Roman"/>
          <w:sz w:val="22"/>
          <w:szCs w:val="22"/>
        </w:rPr>
        <w:t xml:space="preserve"> in geostationary orbit in accordance with section 25.121(d)</w:t>
      </w:r>
      <w:r w:rsidR="00245CED">
        <w:rPr>
          <w:rFonts w:ascii="Times New Roman" w:hAnsi="Times New Roman"/>
          <w:sz w:val="22"/>
          <w:szCs w:val="22"/>
        </w:rPr>
        <w:t>(1)</w:t>
      </w:r>
      <w:r w:rsidRPr="00293A57">
        <w:rPr>
          <w:rFonts w:ascii="Times New Roman" w:hAnsi="Times New Roman"/>
          <w:sz w:val="22"/>
          <w:szCs w:val="22"/>
        </w:rPr>
        <w:t xml:space="preserve"> as of October 1, 201</w:t>
      </w:r>
      <w:r w:rsidR="00526F9F">
        <w:rPr>
          <w:rFonts w:ascii="Times New Roman" w:hAnsi="Times New Roman"/>
          <w:sz w:val="22"/>
          <w:szCs w:val="22"/>
        </w:rPr>
        <w:t>9</w:t>
      </w:r>
      <w:r w:rsidRPr="00293A57">
        <w:rPr>
          <w:rFonts w:ascii="Times New Roman" w:hAnsi="Times New Roman"/>
          <w:sz w:val="22"/>
          <w:szCs w:val="22"/>
        </w:rPr>
        <w:t>.  A fee payment is required “upon the commencement of operation of a system's first satellite as reported annually pursuant to sections 25.142(c), 25.143(e), 25.145(g), or upon certification of operation of a single satellite pursuant to section 25.121(d).”  Multiple technically identical geostationary satellites collocated at the same orbital location will be considered one station for the purpose of per-space station regulatory fee calculation.</w:t>
      </w:r>
    </w:p>
    <w:p w:rsidR="00DA393B" w:rsidRPr="00293A57" w:rsidP="00DA393B" w14:paraId="56B4ED10"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p>
    <w:p w:rsidR="00DA393B" w:rsidRPr="00293A57" w:rsidP="00DA393B" w14:paraId="75F7711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r w:rsidRPr="00293A57">
        <w:rPr>
          <w:rFonts w:ascii="Times New Roman" w:hAnsi="Times New Roman"/>
          <w:b/>
          <w:sz w:val="22"/>
          <w:szCs w:val="22"/>
        </w:rPr>
        <w:t>Non-Geostationary Orbit Satellite Systems</w:t>
      </w:r>
    </w:p>
    <w:p w:rsidR="00DA393B" w:rsidRPr="00293A57" w14:paraId="30B9E62E"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723D1B" w14:paraId="66C04B59" w14:textId="411C010B">
      <w:pPr>
        <w:widowControl/>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Non-Geostationary orbit s</w:t>
      </w:r>
      <w:r w:rsidR="005328AF">
        <w:rPr>
          <w:rFonts w:ascii="Times New Roman" w:hAnsi="Times New Roman"/>
          <w:sz w:val="22"/>
          <w:szCs w:val="22"/>
        </w:rPr>
        <w:t>atellite systems</w:t>
      </w:r>
      <w:r w:rsidRPr="00293A57">
        <w:rPr>
          <w:rFonts w:ascii="Times New Roman" w:hAnsi="Times New Roman"/>
          <w:sz w:val="22"/>
          <w:szCs w:val="22"/>
        </w:rPr>
        <w:t xml:space="preserve"> </w:t>
      </w:r>
      <w:r w:rsidR="002F23B7">
        <w:rPr>
          <w:rFonts w:ascii="Times New Roman" w:hAnsi="Times New Roman"/>
          <w:sz w:val="22"/>
          <w:szCs w:val="22"/>
        </w:rPr>
        <w:t xml:space="preserve">and market access </w:t>
      </w:r>
      <w:r w:rsidR="00245CED">
        <w:rPr>
          <w:rFonts w:ascii="Times New Roman" w:hAnsi="Times New Roman"/>
          <w:sz w:val="22"/>
          <w:szCs w:val="22"/>
        </w:rPr>
        <w:t>grante</w:t>
      </w:r>
      <w:r w:rsidR="006F765C">
        <w:rPr>
          <w:rFonts w:ascii="Times New Roman" w:hAnsi="Times New Roman"/>
          <w:sz w:val="22"/>
          <w:szCs w:val="22"/>
        </w:rPr>
        <w:t>e</w:t>
      </w:r>
      <w:r w:rsidR="00245CED">
        <w:rPr>
          <w:rFonts w:ascii="Times New Roman" w:hAnsi="Times New Roman"/>
          <w:sz w:val="22"/>
          <w:szCs w:val="22"/>
        </w:rPr>
        <w:t>s</w:t>
      </w:r>
      <w:r w:rsidR="006F765C">
        <w:rPr>
          <w:rFonts w:ascii="Times New Roman" w:hAnsi="Times New Roman"/>
          <w:sz w:val="22"/>
          <w:szCs w:val="22"/>
        </w:rPr>
        <w:t xml:space="preserve"> </w:t>
      </w:r>
      <w:r w:rsidRPr="00293A57">
        <w:rPr>
          <w:rFonts w:ascii="Times New Roman" w:hAnsi="Times New Roman"/>
          <w:sz w:val="22"/>
          <w:szCs w:val="22"/>
          <w:u w:val="single"/>
        </w:rPr>
        <w:t>will not</w:t>
      </w:r>
      <w:r w:rsidRPr="00293A57">
        <w:rPr>
          <w:rFonts w:ascii="Times New Roman" w:hAnsi="Times New Roman"/>
          <w:sz w:val="22"/>
          <w:szCs w:val="22"/>
        </w:rPr>
        <w:t xml:space="preserve"> receive a pre-printed regulatory fee bill (FCC Form 159-B) from the Commission for their satellite </w:t>
      </w:r>
      <w:r w:rsidR="005328AF">
        <w:rPr>
          <w:rFonts w:ascii="Times New Roman" w:hAnsi="Times New Roman"/>
          <w:sz w:val="22"/>
          <w:szCs w:val="22"/>
        </w:rPr>
        <w:t>systems</w:t>
      </w:r>
      <w:r w:rsidRPr="00293A57">
        <w:rPr>
          <w:rFonts w:ascii="Times New Roman" w:hAnsi="Times New Roman"/>
          <w:sz w:val="22"/>
          <w:szCs w:val="22"/>
        </w:rPr>
        <w:t xml:space="preserve"> authorization(s).  </w:t>
      </w:r>
      <w:r w:rsidRPr="00293A57" w:rsidR="005328AF">
        <w:rPr>
          <w:rFonts w:ascii="Times New Roman" w:hAnsi="Times New Roman"/>
          <w:sz w:val="22"/>
          <w:szCs w:val="22"/>
        </w:rPr>
        <w:t xml:space="preserve">A regulatory fee bill will be created </w:t>
      </w:r>
      <w:r w:rsidR="005328AF">
        <w:rPr>
          <w:rFonts w:ascii="Times New Roman" w:hAnsi="Times New Roman"/>
          <w:sz w:val="22"/>
          <w:szCs w:val="22"/>
        </w:rPr>
        <w:t>and placed in Fee Filer for payment.</w:t>
      </w:r>
      <w:r w:rsidRPr="00293A57">
        <w:rPr>
          <w:rFonts w:ascii="Times New Roman" w:hAnsi="Times New Roman"/>
          <w:bCs/>
          <w:sz w:val="22"/>
          <w:szCs w:val="22"/>
        </w:rPr>
        <w:t xml:space="preserve">  </w:t>
      </w:r>
      <w:r w:rsidRPr="00293A57">
        <w:rPr>
          <w:rFonts w:ascii="Times New Roman" w:hAnsi="Times New Roman"/>
          <w:sz w:val="22"/>
          <w:szCs w:val="22"/>
        </w:rPr>
        <w:t>Non-</w:t>
      </w:r>
      <w:r w:rsidRPr="00293A57">
        <w:rPr>
          <w:rFonts w:ascii="Times New Roman" w:hAnsi="Times New Roman"/>
          <w:sz w:val="22"/>
          <w:szCs w:val="22"/>
        </w:rPr>
        <w:t xml:space="preserve">Geostationary </w:t>
      </w:r>
      <w:r w:rsidR="005328AF">
        <w:rPr>
          <w:rFonts w:ascii="Times New Roman" w:hAnsi="Times New Roman"/>
          <w:sz w:val="22"/>
          <w:szCs w:val="22"/>
        </w:rPr>
        <w:t>satellite systems</w:t>
      </w:r>
      <w:r w:rsidRPr="00293A57">
        <w:rPr>
          <w:rFonts w:ascii="Times New Roman" w:hAnsi="Times New Roman"/>
          <w:sz w:val="22"/>
          <w:szCs w:val="22"/>
        </w:rPr>
        <w:t xml:space="preserve"> </w:t>
      </w:r>
      <w:r w:rsidR="00596D38">
        <w:rPr>
          <w:rFonts w:ascii="Times New Roman" w:hAnsi="Times New Roman"/>
          <w:sz w:val="22"/>
          <w:szCs w:val="22"/>
        </w:rPr>
        <w:t xml:space="preserve">and market access </w:t>
      </w:r>
      <w:r w:rsidR="00245CED">
        <w:rPr>
          <w:rFonts w:ascii="Times New Roman" w:hAnsi="Times New Roman"/>
          <w:sz w:val="22"/>
          <w:szCs w:val="22"/>
        </w:rPr>
        <w:t>grantees</w:t>
      </w:r>
      <w:r w:rsidR="00596D38">
        <w:rPr>
          <w:rFonts w:ascii="Times New Roman" w:hAnsi="Times New Roman"/>
          <w:sz w:val="22"/>
          <w:szCs w:val="22"/>
        </w:rPr>
        <w:t xml:space="preserve"> </w:t>
      </w:r>
      <w:r w:rsidRPr="00293A57">
        <w:rPr>
          <w:rFonts w:ascii="Times New Roman" w:hAnsi="Times New Roman"/>
          <w:sz w:val="22"/>
          <w:szCs w:val="22"/>
        </w:rPr>
        <w:t>are also required to make regulatory fee payments for all other regulatory fees that they owe.</w:t>
      </w:r>
    </w:p>
    <w:p w:rsidR="00DA393B" w:rsidRPr="00293A57" w14:paraId="7A1790F6" w14:textId="77777777">
      <w:pPr>
        <w:tabs>
          <w:tab w:val="left" w:pos="-720"/>
        </w:tabs>
        <w:suppressAutoHyphens/>
        <w:rPr>
          <w:rFonts w:ascii="Times New Roman" w:hAnsi="Times New Roman"/>
          <w:sz w:val="22"/>
          <w:szCs w:val="22"/>
        </w:rPr>
      </w:pPr>
    </w:p>
    <w:p w:rsidR="00DA393B" w:rsidRPr="00293A57" w14:paraId="75212254" w14:textId="6FC73B44">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r w:rsidRPr="00FC7202" w:rsidR="00921EEC">
        <w:rPr>
          <w:rFonts w:ascii="Times New Roman" w:hAnsi="Times New Roman"/>
          <w:sz w:val="22"/>
          <w:szCs w:val="22"/>
        </w:rPr>
        <w:t xml:space="preserve">Entities authorized to operate satellite systems in non-geostationary orbit under Part 25 that provide communications between satellites and earth stations on a common carrier or private carrier </w:t>
      </w:r>
      <w:r w:rsidRPr="00FC7202" w:rsidR="00921EEC">
        <w:rPr>
          <w:rFonts w:ascii="Times New Roman" w:hAnsi="Times New Roman"/>
          <w:sz w:val="22"/>
          <w:szCs w:val="22"/>
        </w:rPr>
        <w:t>basis.</w:t>
      </w:r>
      <w:r w:rsidRPr="00FC7202" w:rsidR="00921EEC">
        <w:rPr>
          <w:rFonts w:ascii="Times New Roman" w:hAnsi="Times New Roman"/>
          <w:sz w:val="22"/>
          <w:szCs w:val="22"/>
        </w:rPr>
        <w:t xml:space="preserve"> </w:t>
      </w:r>
      <w:r w:rsidRPr="00FC7202" w:rsidR="00921EEC">
        <w:rPr>
          <w:rFonts w:ascii="Times New Roman" w:hAnsi="Times New Roman"/>
          <w:sz w:val="22"/>
          <w:szCs w:val="22"/>
          <w:u w:val="single"/>
        </w:rPr>
        <w:t>U.S. licensed non-geostationary orbit space stations and, beginning in FY 2020, non-U.S. licensed non-geostationary orbit space stations granted market access to the United States through a Petition for Declaratory Ruling or through Earth Station licenses are subject to FY 2020 regulatory</w:t>
      </w:r>
      <w:r w:rsidR="007F520B">
        <w:rPr>
          <w:rFonts w:ascii="Times New Roman" w:hAnsi="Times New Roman"/>
          <w:sz w:val="22"/>
          <w:szCs w:val="22"/>
          <w:u w:val="single"/>
        </w:rPr>
        <w:t xml:space="preserve"> fees</w:t>
      </w:r>
      <w:r w:rsidR="00921EEC">
        <w:rPr>
          <w:rFonts w:ascii="Times New Roman" w:hAnsi="Times New Roman"/>
          <w:sz w:val="22"/>
          <w:szCs w:val="22"/>
          <w:u w:val="single"/>
        </w:rPr>
        <w:t>.</w:t>
      </w:r>
    </w:p>
    <w:p w:rsidR="00DA393B" w:rsidRPr="00293A57" w14:paraId="132EDF30"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0834F2DB" w14:textId="32B09BFA">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288"/>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w:t>
      </w:r>
      <w:r w:rsidR="00526F9F">
        <w:rPr>
          <w:rFonts w:ascii="Times New Roman" w:hAnsi="Times New Roman"/>
          <w:sz w:val="22"/>
          <w:szCs w:val="22"/>
        </w:rPr>
        <w:t>223,500</w:t>
      </w:r>
      <w:r w:rsidRPr="00293A57">
        <w:rPr>
          <w:rFonts w:ascii="Times New Roman" w:hAnsi="Times New Roman"/>
          <w:sz w:val="22"/>
          <w:szCs w:val="22"/>
        </w:rPr>
        <w:t xml:space="preserve"> </w:t>
      </w:r>
      <w:r w:rsidRPr="00293A57">
        <w:rPr>
          <w:rFonts w:ascii="Times New Roman" w:hAnsi="Times New Roman"/>
          <w:sz w:val="22"/>
          <w:szCs w:val="22"/>
          <w:u w:val="single"/>
        </w:rPr>
        <w:t>per operational system</w:t>
      </w:r>
      <w:r w:rsidRPr="00293A57">
        <w:rPr>
          <w:rFonts w:ascii="Times New Roman" w:hAnsi="Times New Roman"/>
          <w:sz w:val="22"/>
          <w:szCs w:val="22"/>
        </w:rPr>
        <w:t xml:space="preserve"> in non-geostationary orbit.</w:t>
      </w:r>
      <w:r>
        <w:rPr>
          <w:rStyle w:val="FootnoteReference"/>
          <w:rFonts w:ascii="Times New Roman" w:hAnsi="Times New Roman"/>
          <w:sz w:val="22"/>
          <w:szCs w:val="22"/>
        </w:rPr>
        <w:footnoteReference w:id="3"/>
      </w:r>
      <w:r w:rsidRPr="00293A57">
        <w:rPr>
          <w:rFonts w:ascii="Times New Roman" w:hAnsi="Times New Roman"/>
          <w:sz w:val="22"/>
          <w:szCs w:val="22"/>
        </w:rPr>
        <w:t xml:space="preserve">  A fee payment is required “upon the commencement of operation of a system's first satellite as reported annually pursuant to sections 25.142(c), 25.143(e), 25.145(g), or upon certification of operation of a single satellite pursuant to section 25.121(d)</w:t>
      </w:r>
      <w:r w:rsidR="00245CED">
        <w:rPr>
          <w:rFonts w:ascii="Times New Roman" w:hAnsi="Times New Roman"/>
          <w:sz w:val="22"/>
          <w:szCs w:val="22"/>
        </w:rPr>
        <w:t>(2)</w:t>
      </w:r>
      <w:r w:rsidRPr="00293A57">
        <w:rPr>
          <w:rFonts w:ascii="Times New Roman" w:hAnsi="Times New Roman"/>
          <w:sz w:val="22"/>
          <w:szCs w:val="22"/>
        </w:rPr>
        <w:t xml:space="preserve">.”  </w:t>
      </w:r>
    </w:p>
    <w:p w:rsidR="00DA393B" w:rsidRPr="00293A57" w14:paraId="72557ACC"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International Bearer Circuits</w:t>
      </w:r>
    </w:p>
    <w:p w:rsidR="00DA393B" w:rsidRPr="00293A57" w14:paraId="5454C9A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53C850D9" w14:textId="022C763F">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p>
    <w:p w:rsidR="00DA393B" w:rsidRPr="00293A57" w14:paraId="46D27E7B"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144B12DF" w14:textId="383BF1CA">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i/>
          <w:iCs/>
          <w:sz w:val="22"/>
          <w:szCs w:val="22"/>
        </w:rPr>
        <w:t>International Terrestrial and Satellite</w:t>
      </w:r>
      <w:r w:rsidRPr="00293A57">
        <w:rPr>
          <w:rFonts w:ascii="Times New Roman" w:hAnsi="Times New Roman"/>
          <w:sz w:val="22"/>
          <w:szCs w:val="22"/>
        </w:rPr>
        <w:t>.  Regulatory fees for International Bearer Circuits are to be paid by facilities-based common carriers that have active (used or leased) international bearer circuits as of December 31, 201</w:t>
      </w:r>
      <w:r w:rsidR="00D33054">
        <w:rPr>
          <w:rFonts w:ascii="Times New Roman" w:hAnsi="Times New Roman"/>
          <w:sz w:val="22"/>
          <w:szCs w:val="22"/>
        </w:rPr>
        <w:t>9</w:t>
      </w:r>
      <w:r w:rsidRPr="00293A57">
        <w:rPr>
          <w:rFonts w:ascii="Times New Roman" w:hAnsi="Times New Roman"/>
          <w:sz w:val="22"/>
          <w:szCs w:val="22"/>
        </w:rPr>
        <w:t xml:space="preserve"> in any terrestrial or satellite transmission facility for the provision of service to an end user or resale carrier, which includes active circuits to themselves or to their affiliates.   In addition, non-common carrier </w:t>
      </w:r>
      <w:r w:rsidR="007B18D9">
        <w:rPr>
          <w:rFonts w:ascii="Times New Roman" w:hAnsi="Times New Roman"/>
          <w:sz w:val="22"/>
          <w:szCs w:val="22"/>
        </w:rPr>
        <w:t xml:space="preserve">terrestrial and </w:t>
      </w:r>
      <w:r w:rsidRPr="00293A57">
        <w:rPr>
          <w:rFonts w:ascii="Times New Roman" w:hAnsi="Times New Roman"/>
          <w:sz w:val="22"/>
          <w:szCs w:val="22"/>
        </w:rPr>
        <w:t>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DA393B" w:rsidRPr="00293A57" w14:paraId="1F1FB4DA"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1E69DFBF" w14:textId="5E7BD046">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w:t>
      </w:r>
      <w:r w:rsidR="00D33054">
        <w:rPr>
          <w:rFonts w:ascii="Times New Roman" w:hAnsi="Times New Roman"/>
          <w:sz w:val="22"/>
          <w:szCs w:val="22"/>
        </w:rPr>
        <w:t>4</w:t>
      </w:r>
      <w:r w:rsidR="00162567">
        <w:rPr>
          <w:rFonts w:ascii="Times New Roman" w:hAnsi="Times New Roman"/>
          <w:sz w:val="22"/>
          <w:szCs w:val="22"/>
        </w:rPr>
        <w:t>1</w:t>
      </w:r>
      <w:r w:rsidRPr="00293A57">
        <w:rPr>
          <w:rFonts w:ascii="Times New Roman" w:hAnsi="Times New Roman"/>
          <w:sz w:val="22"/>
          <w:szCs w:val="22"/>
        </w:rPr>
        <w:t xml:space="preserve"> per active </w:t>
      </w:r>
      <w:r w:rsidR="00964311">
        <w:rPr>
          <w:rFonts w:ascii="Times New Roman" w:hAnsi="Times New Roman"/>
          <w:sz w:val="22"/>
          <w:szCs w:val="22"/>
        </w:rPr>
        <w:t>Gbps</w:t>
      </w:r>
      <w:r w:rsidRPr="00293A57">
        <w:rPr>
          <w:rFonts w:ascii="Times New Roman" w:hAnsi="Times New Roman"/>
          <w:sz w:val="22"/>
          <w:szCs w:val="22"/>
        </w:rPr>
        <w:t>.</w:t>
      </w:r>
    </w:p>
    <w:p w:rsidR="00DA393B" w:rsidRPr="00293A57" w14:paraId="5EB95FFA"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11C1F7A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tbl>
      <w:tblPr>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4770"/>
        <w:gridCol w:w="3420"/>
        <w:gridCol w:w="1620"/>
      </w:tblGrid>
      <w:tr w14:paraId="39679C28" w14:textId="77777777">
        <w:tblPrEx>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c>
          <w:tcPr>
            <w:tcW w:w="4770" w:type="dxa"/>
          </w:tcPr>
          <w:p w:rsidR="00DA393B" w:rsidRPr="00293A57" w:rsidP="00DA393B" w14:paraId="5945DC4A" w14:textId="77777777">
            <w:pPr>
              <w:tabs>
                <w:tab w:val="center" w:pos="2246"/>
              </w:tabs>
              <w:suppressAutoHyphens/>
              <w:spacing w:before="90"/>
              <w:rPr>
                <w:rFonts w:ascii="Times New Roman" w:hAnsi="Times New Roman"/>
                <w:spacing w:val="-3"/>
                <w:sz w:val="22"/>
                <w:szCs w:val="22"/>
              </w:rPr>
            </w:pPr>
            <w:r>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rsidP="00DA393B" w14:paraId="6820E5F0" w14:textId="77777777">
            <w:pPr>
              <w:tabs>
                <w:tab w:val="left" w:pos="-720"/>
              </w:tabs>
              <w:suppressAutoHyphens/>
              <w:spacing w:after="54"/>
              <w:rPr>
                <w:rFonts w:ascii="Times New Roman" w:hAnsi="Times New Roman"/>
                <w:sz w:val="22"/>
                <w:szCs w:val="22"/>
              </w:rPr>
            </w:pPr>
          </w:p>
        </w:tc>
        <w:tc>
          <w:tcPr>
            <w:tcW w:w="3420" w:type="dxa"/>
          </w:tcPr>
          <w:p w:rsidR="00DA393B" w:rsidRPr="00293A57" w:rsidP="00DA393B" w14:paraId="512206F9" w14:textId="77777777">
            <w:pPr>
              <w:tabs>
                <w:tab w:val="center" w:pos="1914"/>
              </w:tabs>
              <w:suppressAutoHyphens/>
              <w:spacing w:before="90" w:after="54"/>
              <w:jc w:val="center"/>
              <w:rPr>
                <w:rFonts w:ascii="Times New Roman" w:hAnsi="Times New Roman"/>
                <w:sz w:val="22"/>
                <w:szCs w:val="22"/>
              </w:rPr>
            </w:pPr>
            <w:r w:rsidRPr="00293A57">
              <w:rPr>
                <w:rFonts w:ascii="Times New Roman" w:hAnsi="Times New Roman"/>
                <w:sz w:val="22"/>
                <w:szCs w:val="22"/>
              </w:rPr>
              <w:t>REGULATORY FEE PAYMENT</w:t>
            </w:r>
          </w:p>
        </w:tc>
        <w:tc>
          <w:tcPr>
            <w:tcW w:w="1620" w:type="dxa"/>
          </w:tcPr>
          <w:p w:rsidR="00DA393B" w:rsidRPr="00293A57" w:rsidP="00DA393B" w14:paraId="21724FAE"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 xml:space="preserve">PAYMENT </w:t>
            </w:r>
            <w:r w:rsidRPr="00293A57">
              <w:rPr>
                <w:rFonts w:ascii="Times New Roman" w:hAnsi="Times New Roman"/>
                <w:sz w:val="22"/>
                <w:szCs w:val="22"/>
              </w:rPr>
              <w:t>TYPE  CODE</w:t>
            </w:r>
          </w:p>
        </w:tc>
      </w:tr>
      <w:tr w14:paraId="7CE515E7" w14:textId="77777777">
        <w:tblPrEx>
          <w:tblW w:w="9810" w:type="dxa"/>
          <w:tblInd w:w="120" w:type="dxa"/>
          <w:tblLayout w:type="fixed"/>
          <w:tblCellMar>
            <w:left w:w="120" w:type="dxa"/>
            <w:right w:w="120" w:type="dxa"/>
          </w:tblCellMar>
          <w:tblLook w:val="0000"/>
        </w:tblPrEx>
        <w:tc>
          <w:tcPr>
            <w:tcW w:w="4770" w:type="dxa"/>
          </w:tcPr>
          <w:p w:rsidR="00DA393B" w:rsidRPr="00293A57" w:rsidP="00DA393B" w14:paraId="56DE6B1E" w14:textId="7777777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International Bearer Circuits:</w:t>
            </w:r>
          </w:p>
          <w:p w:rsidR="00DA393B" w:rsidRPr="00293A57" w:rsidP="002E009B" w14:paraId="2DC04DC5" w14:textId="2F3A9A84">
            <w:pPr>
              <w:tabs>
                <w:tab w:val="left" w:pos="-720"/>
              </w:tabs>
              <w:suppressAutoHyphens/>
              <w:spacing w:before="90"/>
              <w:rPr>
                <w:rFonts w:ascii="Times New Roman" w:hAnsi="Times New Roman"/>
                <w:sz w:val="22"/>
                <w:szCs w:val="22"/>
              </w:rPr>
            </w:pPr>
            <w:r w:rsidRPr="00293A57">
              <w:rPr>
                <w:rFonts w:ascii="Times New Roman" w:hAnsi="Times New Roman"/>
                <w:sz w:val="22"/>
                <w:szCs w:val="22"/>
              </w:rPr>
              <w:t xml:space="preserve">Terrestrial </w:t>
            </w:r>
            <w:r w:rsidRPr="007B18D9">
              <w:rPr>
                <w:rFonts w:ascii="Times New Roman" w:hAnsi="Times New Roman"/>
                <w:sz w:val="22"/>
                <w:szCs w:val="22"/>
                <w:u w:val="single"/>
              </w:rPr>
              <w:t>Common Carrier</w:t>
            </w:r>
            <w:r w:rsidRPr="007B18D9" w:rsidR="007F732B">
              <w:rPr>
                <w:rFonts w:ascii="Times New Roman" w:hAnsi="Times New Roman"/>
                <w:sz w:val="22"/>
                <w:szCs w:val="22"/>
                <w:u w:val="single"/>
              </w:rPr>
              <w:t xml:space="preserve"> and Non-Common Carrier</w:t>
            </w:r>
            <w:r w:rsidRPr="00293A57">
              <w:rPr>
                <w:rFonts w:ascii="Times New Roman" w:hAnsi="Times New Roman"/>
                <w:sz w:val="22"/>
                <w:szCs w:val="22"/>
              </w:rPr>
              <w:t xml:space="preserve">; Satellite </w:t>
            </w:r>
            <w:r w:rsidRPr="007B18D9">
              <w:rPr>
                <w:rFonts w:ascii="Times New Roman" w:hAnsi="Times New Roman"/>
                <w:sz w:val="22"/>
                <w:szCs w:val="22"/>
                <w:u w:val="single"/>
              </w:rPr>
              <w:t>Common Carrier</w:t>
            </w:r>
            <w:r w:rsidRPr="007B18D9" w:rsidR="007B18D9">
              <w:rPr>
                <w:rFonts w:ascii="Times New Roman" w:hAnsi="Times New Roman"/>
                <w:sz w:val="22"/>
                <w:szCs w:val="22"/>
                <w:u w:val="single"/>
              </w:rPr>
              <w:t xml:space="preserve"> and </w:t>
            </w:r>
            <w:r w:rsidRPr="007B18D9">
              <w:rPr>
                <w:rFonts w:ascii="Times New Roman" w:hAnsi="Times New Roman"/>
                <w:sz w:val="22"/>
                <w:szCs w:val="22"/>
                <w:u w:val="single"/>
              </w:rPr>
              <w:t>Non-Common Carrier</w:t>
            </w:r>
            <w:r w:rsidRPr="00293A57">
              <w:rPr>
                <w:rFonts w:ascii="Times New Roman" w:hAnsi="Times New Roman"/>
                <w:sz w:val="22"/>
                <w:szCs w:val="22"/>
              </w:rPr>
              <w:t xml:space="preserve">.  </w:t>
            </w:r>
            <w:r w:rsidR="005C6235">
              <w:rPr>
                <w:rFonts w:ascii="Times New Roman" w:hAnsi="Times New Roman"/>
                <w:sz w:val="22"/>
                <w:szCs w:val="22"/>
              </w:rPr>
              <w:t>Active c</w:t>
            </w:r>
            <w:r w:rsidRPr="00293A57">
              <w:rPr>
                <w:rFonts w:ascii="Times New Roman" w:hAnsi="Times New Roman"/>
                <w:sz w:val="22"/>
                <w:szCs w:val="22"/>
              </w:rPr>
              <w:t>apacity as of December 31, 201</w:t>
            </w:r>
            <w:r w:rsidR="00D33054">
              <w:rPr>
                <w:rFonts w:ascii="Times New Roman" w:hAnsi="Times New Roman"/>
                <w:sz w:val="22"/>
                <w:szCs w:val="22"/>
              </w:rPr>
              <w:t>9</w:t>
            </w:r>
          </w:p>
        </w:tc>
        <w:tc>
          <w:tcPr>
            <w:tcW w:w="3420" w:type="dxa"/>
          </w:tcPr>
          <w:p w:rsidR="00DA393B" w:rsidRPr="00293A57" w:rsidP="002E009B" w14:paraId="4574394F" w14:textId="05171E33">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00D33054">
              <w:rPr>
                <w:rFonts w:ascii="Times New Roman" w:hAnsi="Times New Roman"/>
                <w:sz w:val="22"/>
                <w:szCs w:val="22"/>
              </w:rPr>
              <w:t>4</w:t>
            </w:r>
            <w:r w:rsidR="00162567">
              <w:rPr>
                <w:rFonts w:ascii="Times New Roman" w:hAnsi="Times New Roman"/>
                <w:sz w:val="22"/>
                <w:szCs w:val="22"/>
              </w:rPr>
              <w:t>1</w:t>
            </w:r>
            <w:r w:rsidRPr="00293A57">
              <w:rPr>
                <w:rFonts w:ascii="Times New Roman" w:hAnsi="Times New Roman"/>
                <w:sz w:val="22"/>
                <w:szCs w:val="22"/>
              </w:rPr>
              <w:t xml:space="preserve"> per active </w:t>
            </w:r>
            <w:r>
              <w:rPr>
                <w:rFonts w:ascii="Times New Roman" w:hAnsi="Times New Roman"/>
                <w:sz w:val="22"/>
                <w:szCs w:val="22"/>
              </w:rPr>
              <w:t>Gbps</w:t>
            </w:r>
          </w:p>
        </w:tc>
        <w:tc>
          <w:tcPr>
            <w:tcW w:w="1620" w:type="dxa"/>
          </w:tcPr>
          <w:p w:rsidR="00DA393B" w:rsidRPr="00293A57" w:rsidP="002E009B" w14:paraId="16C77520" w14:textId="4EC0B2EA">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20</w:t>
            </w:r>
            <w:r w:rsidRPr="00293A57">
              <w:rPr>
                <w:rFonts w:ascii="Times New Roman" w:hAnsi="Times New Roman"/>
                <w:sz w:val="22"/>
                <w:szCs w:val="22"/>
              </w:rPr>
              <w:t>76</w:t>
            </w:r>
          </w:p>
        </w:tc>
      </w:tr>
    </w:tbl>
    <w:p w:rsidR="00DA393B" w14:paraId="7B86317B" w14:textId="00CDE1C4">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803E52" w:rsidRPr="00293A57" w14:paraId="755AC5A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DA393B" w14:paraId="6625318B" w14:textId="4D567D8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sz w:val="22"/>
          <w:szCs w:val="22"/>
        </w:rPr>
      </w:pPr>
      <w:r w:rsidRPr="00293A57">
        <w:rPr>
          <w:rFonts w:ascii="Times New Roman" w:hAnsi="Times New Roman"/>
          <w:b/>
          <w:sz w:val="22"/>
          <w:szCs w:val="22"/>
        </w:rPr>
        <w:t>Submarine Cable Systems</w:t>
      </w:r>
    </w:p>
    <w:p w:rsidR="00DA393B" w:rsidRPr="00293A57" w14:paraId="3BEA970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4E01E9" w:rsidP="00DA393B" w14:paraId="4F95975B" w14:textId="77777777">
      <w:pPr>
        <w:widowControl/>
        <w:rPr>
          <w:rFonts w:ascii="Times New Roman" w:hAnsi="Times New Roman"/>
          <w:sz w:val="22"/>
          <w:szCs w:val="22"/>
        </w:rPr>
      </w:pPr>
      <w:r w:rsidRPr="00293A57">
        <w:rPr>
          <w:rFonts w:ascii="Times New Roman" w:hAnsi="Times New Roman"/>
          <w:i/>
          <w:iCs/>
          <w:sz w:val="22"/>
          <w:szCs w:val="22"/>
        </w:rPr>
        <w:t xml:space="preserve">Submarine Cable:  </w:t>
      </w:r>
      <w:r w:rsidRPr="00293A57">
        <w:rPr>
          <w:rFonts w:ascii="Times New Roman" w:hAnsi="Times New Roman"/>
          <w:sz w:val="22"/>
          <w:szCs w:val="22"/>
        </w:rPr>
        <w:t>Regulatory fees for submarine cable systems will be paid, per cable landing license, for all submarine cable systems operating as of December 31, 201</w:t>
      </w:r>
      <w:r w:rsidR="00D33054">
        <w:rPr>
          <w:rFonts w:ascii="Times New Roman" w:hAnsi="Times New Roman"/>
          <w:sz w:val="22"/>
          <w:szCs w:val="22"/>
        </w:rPr>
        <w:t>9</w:t>
      </w:r>
      <w:r w:rsidRPr="00293A57">
        <w:rPr>
          <w:rFonts w:ascii="Times New Roman" w:hAnsi="Times New Roman"/>
          <w:sz w:val="22"/>
          <w:szCs w:val="22"/>
        </w:rPr>
        <w:t>.</w:t>
      </w:r>
      <w:r w:rsidR="00D00B86">
        <w:rPr>
          <w:rFonts w:ascii="Times New Roman" w:hAnsi="Times New Roman"/>
          <w:sz w:val="22"/>
          <w:szCs w:val="22"/>
        </w:rPr>
        <w:t xml:space="preserve">  </w:t>
      </w:r>
      <w:r w:rsidR="00EF5F25">
        <w:rPr>
          <w:rFonts w:ascii="Times New Roman" w:hAnsi="Times New Roman"/>
          <w:sz w:val="22"/>
          <w:szCs w:val="22"/>
        </w:rPr>
        <w:t>C</w:t>
      </w:r>
      <w:r w:rsidR="00D00B86">
        <w:rPr>
          <w:rFonts w:ascii="Times New Roman" w:hAnsi="Times New Roman"/>
          <w:sz w:val="22"/>
          <w:szCs w:val="22"/>
        </w:rPr>
        <w:t xml:space="preserve">apacity </w:t>
      </w:r>
      <w:r w:rsidR="00EF5F25">
        <w:rPr>
          <w:rFonts w:ascii="Times New Roman" w:hAnsi="Times New Roman"/>
          <w:sz w:val="22"/>
          <w:szCs w:val="22"/>
        </w:rPr>
        <w:t>for calculating fees should be based on “lit” capacity.</w:t>
      </w:r>
    </w:p>
    <w:p w:rsidR="00803E52" w:rsidP="00DA393B" w14:paraId="31B1F411" w14:textId="12EAAA57">
      <w:pPr>
        <w:widowControl/>
        <w:rPr>
          <w:rFonts w:ascii="Times New Roman" w:hAnsi="Times New Roman"/>
          <w:sz w:val="22"/>
          <w:szCs w:val="22"/>
        </w:rPr>
      </w:pPr>
      <w:r>
        <w:rPr>
          <w:rFonts w:ascii="Times New Roman" w:hAnsi="Times New Roman"/>
          <w:sz w:val="22"/>
          <w:szCs w:val="22"/>
        </w:rPr>
        <w:t xml:space="preserve"> </w:t>
      </w:r>
      <w:r w:rsidRPr="00293A57" w:rsidR="00DA393B">
        <w:rPr>
          <w:rFonts w:ascii="Times New Roman" w:hAnsi="Times New Roman"/>
          <w:sz w:val="22"/>
          <w:szCs w:val="22"/>
        </w:rPr>
        <w:t xml:space="preserve">    </w:t>
      </w:r>
    </w:p>
    <w:p w:rsidR="004E01E9" w:rsidRPr="00FC7202" w:rsidP="00FC7202" w14:paraId="5DC6A135" w14:textId="61E2CB9F">
      <w:pPr>
        <w:pStyle w:val="ParaNum0"/>
        <w:numPr>
          <w:ilvl w:val="0"/>
          <w:numId w:val="0"/>
        </w:numPr>
        <w:ind w:firstLine="720"/>
        <w:rPr>
          <w:szCs w:val="22"/>
        </w:rPr>
      </w:pPr>
      <w:r w:rsidRPr="001B0415">
        <w:rPr>
          <w:szCs w:val="22"/>
        </w:rPr>
        <w:t xml:space="preserve">To calculate your submarine cable regulatory fees, sum up your submarine cable “lit” capacities by cable system (on a Gbps basis), and determine your regulatory fee amount and payment type code using the table below.  </w:t>
      </w:r>
      <w:r w:rsidRPr="001B0415" w:rsidR="00256761">
        <w:rPr>
          <w:szCs w:val="22"/>
        </w:rPr>
        <w:t xml:space="preserve">Enter this fee amount and payment type code in the Commission’s Fee Filer system.  </w:t>
      </w:r>
      <w:r w:rsidRPr="001B0415">
        <w:rPr>
          <w:szCs w:val="22"/>
        </w:rPr>
        <w:t>This methodology should not distinguish between submarine cable systems operating on a common carrier o</w:t>
      </w:r>
      <w:r w:rsidRPr="001B0415" w:rsidR="00256761">
        <w:rPr>
          <w:szCs w:val="22"/>
        </w:rPr>
        <w:t>r</w:t>
      </w:r>
      <w:r w:rsidRPr="001B0415">
        <w:rPr>
          <w:szCs w:val="22"/>
        </w:rPr>
        <w:t xml:space="preserve"> non-common basis.  </w:t>
      </w:r>
      <w:r w:rsidRPr="001B0415" w:rsidR="00256761">
        <w:rPr>
          <w:szCs w:val="22"/>
        </w:rPr>
        <w:t xml:space="preserve">The licensee is responsible for determining and certifying the accuracy of the amount of lit capacity in its system.  </w:t>
      </w:r>
      <w:r w:rsidRPr="001B0415">
        <w:rPr>
          <w:szCs w:val="22"/>
        </w:rPr>
        <w:t xml:space="preserve">The Commission will only accept a single payment for the full regulatory fee obligation for each international submarine cable license.  Therefore, for submarine cable systems with multiple </w:t>
      </w:r>
      <w:r w:rsidRPr="001B0415" w:rsidR="00256761">
        <w:rPr>
          <w:szCs w:val="22"/>
        </w:rPr>
        <w:t>owners</w:t>
      </w:r>
      <w:r w:rsidRPr="001B0415">
        <w:rPr>
          <w:szCs w:val="22"/>
        </w:rPr>
        <w:t xml:space="preserve">, </w:t>
      </w:r>
      <w:r w:rsidRPr="001B0415" w:rsidR="00256761">
        <w:rPr>
          <w:szCs w:val="22"/>
        </w:rPr>
        <w:t>the owners</w:t>
      </w:r>
      <w:r w:rsidRPr="001B0415">
        <w:rPr>
          <w:szCs w:val="22"/>
        </w:rPr>
        <w:t xml:space="preserve"> need to determine </w:t>
      </w:r>
      <w:r w:rsidRPr="001B0415" w:rsidR="00256761">
        <w:rPr>
          <w:szCs w:val="22"/>
        </w:rPr>
        <w:t>their</w:t>
      </w:r>
      <w:r w:rsidRPr="001B0415">
        <w:rPr>
          <w:szCs w:val="22"/>
        </w:rPr>
        <w:t xml:space="preserve"> respective portions of the fee, and submit a single, full payment of regulatory fees in Fee Filer.  Each licensee of a submarine cable</w:t>
      </w:r>
      <w:r w:rsidRPr="001B0415" w:rsidR="00256761">
        <w:rPr>
          <w:szCs w:val="22"/>
        </w:rPr>
        <w:t xml:space="preserve"> system</w:t>
      </w:r>
      <w:r w:rsidRPr="001B0415">
        <w:rPr>
          <w:szCs w:val="22"/>
        </w:rPr>
        <w:t xml:space="preserve"> is equally responsible for the payment of the regulatory fee.</w:t>
      </w:r>
      <w:r>
        <w:rPr>
          <w:rStyle w:val="FootnoteReference"/>
          <w:szCs w:val="22"/>
        </w:rPr>
        <w:footnoteReference w:id="4"/>
      </w:r>
      <w:r w:rsidRPr="001B0415">
        <w:rPr>
          <w:szCs w:val="22"/>
        </w:rPr>
        <w:t xml:space="preserve">  In the event of a non-payment or underpayment, the Commission will hold </w:t>
      </w:r>
      <w:r w:rsidRPr="001B0415">
        <w:rPr>
          <w:szCs w:val="22"/>
        </w:rPr>
        <w:t>each and every</w:t>
      </w:r>
      <w:r w:rsidRPr="001B0415">
        <w:rPr>
          <w:szCs w:val="22"/>
        </w:rPr>
        <w:t xml:space="preserve"> licensee equally responsible for the regulatory fee obligation.</w:t>
      </w:r>
    </w:p>
    <w:p w:rsidR="004E01E9" w:rsidRPr="00A81A50" w:rsidP="00FC7202" w14:paraId="7BD0D9EF" w14:textId="77777777">
      <w:pPr>
        <w:pStyle w:val="ParaNum0"/>
        <w:numPr>
          <w:ilvl w:val="0"/>
          <w:numId w:val="0"/>
        </w:numPr>
        <w:ind w:firstLine="720"/>
        <w:rPr>
          <w:b/>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6E11B57C" w14:textId="77777777" w:rsidTr="00A81A50">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B54C90" w:rsidRPr="005F6BC2" w:rsidP="00A81A50" w14:paraId="70AA5A2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pacing w:val="-3"/>
                <w:szCs w:val="22"/>
              </w:rPr>
              <w:t>Submarine Cable Systems</w:t>
            </w:r>
          </w:p>
          <w:p w:rsidR="00B54C90" w:rsidRPr="005F6BC2" w:rsidP="00A81A50" w14:paraId="5250743C" w14:textId="031E3B45">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zCs w:val="22"/>
              </w:rPr>
              <w:t>(</w:t>
            </w:r>
            <w:r w:rsidR="00BD2E8E">
              <w:rPr>
                <w:b/>
                <w:szCs w:val="22"/>
              </w:rPr>
              <w:t xml:space="preserve">lit </w:t>
            </w:r>
            <w:r w:rsidRPr="005F6BC2">
              <w:rPr>
                <w:b/>
                <w:szCs w:val="22"/>
              </w:rPr>
              <w:t>capacity as of December 31, 201</w:t>
            </w:r>
            <w:r>
              <w:rPr>
                <w:b/>
                <w:szCs w:val="22"/>
              </w:rPr>
              <w:t>9</w:t>
            </w:r>
            <w:r w:rsidRPr="005F6BC2">
              <w:rPr>
                <w:b/>
                <w:szCs w:val="22"/>
              </w:rPr>
              <w:t>)</w:t>
            </w:r>
          </w:p>
        </w:tc>
        <w:tc>
          <w:tcPr>
            <w:tcW w:w="2291" w:type="dxa"/>
          </w:tcPr>
          <w:p w:rsidR="00B54C90" w:rsidP="00A81A50" w14:paraId="7388105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Pr>
                <w:b/>
                <w:spacing w:val="-3"/>
                <w:szCs w:val="22"/>
              </w:rPr>
              <w:t>Fee Ratio</w:t>
            </w:r>
          </w:p>
          <w:p w:rsidR="00B54C90" w:rsidRPr="005F6BC2" w:rsidP="00A81A50" w14:paraId="45E6CA3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B54C90" w:rsidRPr="005F6BC2" w:rsidP="00A81A50" w14:paraId="41E7A0D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5F6BC2">
              <w:rPr>
                <w:b/>
                <w:spacing w:val="-3"/>
                <w:szCs w:val="22"/>
              </w:rPr>
              <w:t>FY 20</w:t>
            </w:r>
            <w:r>
              <w:rPr>
                <w:b/>
                <w:spacing w:val="-3"/>
                <w:szCs w:val="22"/>
              </w:rPr>
              <w:t>20 Regulatory Fees</w:t>
            </w:r>
          </w:p>
        </w:tc>
      </w:tr>
      <w:tr w14:paraId="492A1EA6" w14:textId="77777777" w:rsidTr="00A81A50">
        <w:tblPrEx>
          <w:tblW w:w="0" w:type="auto"/>
          <w:tblInd w:w="175" w:type="dxa"/>
          <w:tblLook w:val="01E0"/>
        </w:tblPrEx>
        <w:trPr>
          <w:trHeight w:val="576"/>
        </w:trPr>
        <w:tc>
          <w:tcPr>
            <w:tcW w:w="3649" w:type="dxa"/>
            <w:vAlign w:val="center"/>
          </w:tcPr>
          <w:p w:rsidR="00B54C90" w:rsidRPr="005F6BC2" w:rsidP="00A81A50" w14:paraId="386C59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5F6BC2">
              <w:rPr>
                <w:szCs w:val="22"/>
              </w:rPr>
              <w:t xml:space="preserve">Less than </w:t>
            </w:r>
            <w:r>
              <w:rPr>
                <w:szCs w:val="22"/>
              </w:rPr>
              <w:t>5</w:t>
            </w:r>
            <w:r w:rsidRPr="005F6BC2">
              <w:rPr>
                <w:szCs w:val="22"/>
              </w:rPr>
              <w:t>0 Gbps</w:t>
            </w:r>
          </w:p>
        </w:tc>
        <w:tc>
          <w:tcPr>
            <w:tcW w:w="2291" w:type="dxa"/>
          </w:tcPr>
          <w:p w:rsidR="00B54C90" w:rsidP="00A81A50" w14:paraId="2FAE619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B54C90" w:rsidP="00A81A50" w14:paraId="4FE1C46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.0625 Units</w:t>
            </w:r>
          </w:p>
        </w:tc>
        <w:tc>
          <w:tcPr>
            <w:tcW w:w="3235" w:type="dxa"/>
            <w:vAlign w:val="center"/>
          </w:tcPr>
          <w:p w:rsidR="00B54C90" w:rsidRPr="005F6BC2" w:rsidP="00A81A50" w14:paraId="23387D4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$13,450</w:t>
            </w:r>
          </w:p>
        </w:tc>
      </w:tr>
      <w:tr w14:paraId="2D69C390" w14:textId="77777777" w:rsidTr="00A81A50">
        <w:tblPrEx>
          <w:tblW w:w="0" w:type="auto"/>
          <w:tblInd w:w="175" w:type="dxa"/>
          <w:tblLook w:val="01E0"/>
        </w:tblPrEx>
        <w:trPr>
          <w:trHeight w:val="576"/>
        </w:trPr>
        <w:tc>
          <w:tcPr>
            <w:tcW w:w="3649" w:type="dxa"/>
            <w:vAlign w:val="center"/>
          </w:tcPr>
          <w:p w:rsidR="00B54C90" w:rsidRPr="005F6BC2" w:rsidP="00A81A50" w14:paraId="6FE69F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zCs w:val="22"/>
              </w:rPr>
              <w:t>5</w:t>
            </w:r>
            <w:r w:rsidRPr="005F6BC2">
              <w:rPr>
                <w:szCs w:val="22"/>
              </w:rPr>
              <w:t>0 Gbps or greater, but less than 2</w:t>
            </w:r>
            <w:r>
              <w:rPr>
                <w:szCs w:val="22"/>
              </w:rPr>
              <w:t>50</w:t>
            </w:r>
            <w:r w:rsidRPr="005F6BC2">
              <w:rPr>
                <w:szCs w:val="22"/>
              </w:rPr>
              <w:t xml:space="preserve"> Gbps</w:t>
            </w:r>
          </w:p>
        </w:tc>
        <w:tc>
          <w:tcPr>
            <w:tcW w:w="2291" w:type="dxa"/>
          </w:tcPr>
          <w:p w:rsidR="00B54C90" w:rsidP="00A81A50" w14:paraId="7D893DE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B54C90" w:rsidRPr="005F6BC2" w:rsidP="00A81A50" w14:paraId="15181F9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.125 Units</w:t>
            </w:r>
          </w:p>
        </w:tc>
        <w:tc>
          <w:tcPr>
            <w:tcW w:w="3235" w:type="dxa"/>
            <w:vAlign w:val="center"/>
          </w:tcPr>
          <w:p w:rsidR="00B54C90" w:rsidRPr="005F6BC2" w:rsidP="00A81A50" w14:paraId="5980632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5F6BC2">
              <w:rPr>
                <w:bCs/>
                <w:szCs w:val="22"/>
              </w:rPr>
              <w:t>$</w:t>
            </w:r>
            <w:r>
              <w:rPr>
                <w:bCs/>
                <w:szCs w:val="22"/>
              </w:rPr>
              <w:t>26,875</w:t>
            </w:r>
          </w:p>
        </w:tc>
      </w:tr>
      <w:tr w14:paraId="1F157432" w14:textId="77777777" w:rsidTr="00A81A50">
        <w:tblPrEx>
          <w:tblW w:w="0" w:type="auto"/>
          <w:tblInd w:w="175" w:type="dxa"/>
          <w:tblLook w:val="01E0"/>
        </w:tblPrEx>
        <w:trPr>
          <w:trHeight w:val="576"/>
        </w:trPr>
        <w:tc>
          <w:tcPr>
            <w:tcW w:w="3649" w:type="dxa"/>
            <w:vAlign w:val="center"/>
          </w:tcPr>
          <w:p w:rsidR="00B54C90" w:rsidRPr="005F6BC2" w:rsidP="00A81A50" w14:paraId="4D803B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250</w:t>
            </w:r>
            <w:r w:rsidRPr="005F6BC2">
              <w:rPr>
                <w:szCs w:val="22"/>
              </w:rPr>
              <w:t xml:space="preserve"> Gbps or greater, but less than </w:t>
            </w:r>
            <w:r>
              <w:rPr>
                <w:szCs w:val="22"/>
              </w:rPr>
              <w:t>1,50</w:t>
            </w:r>
            <w:r w:rsidRPr="005F6BC2">
              <w:rPr>
                <w:szCs w:val="22"/>
              </w:rPr>
              <w:t>0 Gbps</w:t>
            </w:r>
          </w:p>
        </w:tc>
        <w:tc>
          <w:tcPr>
            <w:tcW w:w="2291" w:type="dxa"/>
          </w:tcPr>
          <w:p w:rsidR="00B54C90" w:rsidP="00A81A50" w14:paraId="4B7F8B22" w14:textId="77777777">
            <w:pPr>
              <w:jc w:val="center"/>
              <w:rPr>
                <w:bCs/>
                <w:szCs w:val="22"/>
              </w:rPr>
            </w:pPr>
          </w:p>
          <w:p w:rsidR="00B54C90" w:rsidRPr="005F6BC2" w:rsidP="00A81A50" w14:paraId="77098545" w14:textId="77777777">
            <w:pPr>
              <w:jc w:val="center"/>
              <w:rPr>
                <w:bCs/>
                <w:szCs w:val="22"/>
              </w:rPr>
            </w:pPr>
            <w:r>
              <w:rPr>
                <w:bCs/>
                <w:szCs w:val="22"/>
              </w:rPr>
              <w:t>.25 Units</w:t>
            </w:r>
          </w:p>
        </w:tc>
        <w:tc>
          <w:tcPr>
            <w:tcW w:w="3235" w:type="dxa"/>
            <w:vAlign w:val="center"/>
          </w:tcPr>
          <w:p w:rsidR="00B54C90" w:rsidRPr="005F6BC2" w:rsidP="00A81A50" w14:paraId="434A93D0" w14:textId="77777777">
            <w:pPr>
              <w:jc w:val="center"/>
              <w:rPr>
                <w:spacing w:val="-3"/>
                <w:szCs w:val="22"/>
              </w:rPr>
            </w:pPr>
            <w:r w:rsidRPr="005F6BC2">
              <w:rPr>
                <w:bCs/>
                <w:szCs w:val="22"/>
              </w:rPr>
              <w:t>$</w:t>
            </w:r>
            <w:r>
              <w:rPr>
                <w:bCs/>
                <w:szCs w:val="22"/>
              </w:rPr>
              <w:t>53,750</w:t>
            </w:r>
          </w:p>
        </w:tc>
      </w:tr>
      <w:tr w14:paraId="1E5A22A2" w14:textId="77777777" w:rsidTr="00A81A50">
        <w:tblPrEx>
          <w:tblW w:w="0" w:type="auto"/>
          <w:tblInd w:w="175" w:type="dxa"/>
          <w:tblLook w:val="01E0"/>
        </w:tblPrEx>
        <w:trPr>
          <w:trHeight w:val="576"/>
        </w:trPr>
        <w:tc>
          <w:tcPr>
            <w:tcW w:w="3649" w:type="dxa"/>
            <w:vAlign w:val="center"/>
          </w:tcPr>
          <w:p w:rsidR="00B54C90" w:rsidRPr="005F6BC2" w:rsidP="00A81A50" w14:paraId="15176F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1,50</w:t>
            </w:r>
            <w:r w:rsidRPr="005F6BC2">
              <w:rPr>
                <w:szCs w:val="22"/>
              </w:rPr>
              <w:t xml:space="preserve">0 Gbps or greater, but less than </w:t>
            </w:r>
            <w:r>
              <w:rPr>
                <w:szCs w:val="22"/>
              </w:rPr>
              <w:t>3</w:t>
            </w:r>
            <w:r w:rsidRPr="005F6BC2">
              <w:rPr>
                <w:szCs w:val="22"/>
              </w:rPr>
              <w:t>,</w:t>
            </w:r>
            <w:r>
              <w:rPr>
                <w:szCs w:val="22"/>
              </w:rPr>
              <w:t>500</w:t>
            </w:r>
            <w:r w:rsidRPr="005F6BC2">
              <w:rPr>
                <w:szCs w:val="22"/>
              </w:rPr>
              <w:t xml:space="preserve"> Gbps</w:t>
            </w:r>
          </w:p>
        </w:tc>
        <w:tc>
          <w:tcPr>
            <w:tcW w:w="2291" w:type="dxa"/>
          </w:tcPr>
          <w:p w:rsidR="00B54C90" w:rsidP="00A81A50" w14:paraId="3F22B960" w14:textId="77777777">
            <w:pPr>
              <w:jc w:val="center"/>
              <w:rPr>
                <w:bCs/>
                <w:szCs w:val="22"/>
              </w:rPr>
            </w:pPr>
          </w:p>
          <w:p w:rsidR="00B54C90" w:rsidRPr="005F6BC2" w:rsidP="00A81A50" w14:paraId="322E66B3" w14:textId="77777777">
            <w:pPr>
              <w:jc w:val="center"/>
              <w:rPr>
                <w:bCs/>
                <w:szCs w:val="22"/>
              </w:rPr>
            </w:pPr>
            <w:r>
              <w:rPr>
                <w:bCs/>
                <w:szCs w:val="22"/>
              </w:rPr>
              <w:t>.5 Units</w:t>
            </w:r>
          </w:p>
        </w:tc>
        <w:tc>
          <w:tcPr>
            <w:tcW w:w="3235" w:type="dxa"/>
            <w:vAlign w:val="center"/>
          </w:tcPr>
          <w:p w:rsidR="00B54C90" w:rsidRPr="005F6BC2" w:rsidP="00A81A50" w14:paraId="3926BE2A" w14:textId="77777777">
            <w:pPr>
              <w:jc w:val="center"/>
              <w:rPr>
                <w:spacing w:val="-3"/>
                <w:szCs w:val="22"/>
              </w:rPr>
            </w:pPr>
            <w:r w:rsidRPr="005F6BC2">
              <w:rPr>
                <w:bCs/>
                <w:szCs w:val="22"/>
              </w:rPr>
              <w:t>$</w:t>
            </w:r>
            <w:r>
              <w:rPr>
                <w:bCs/>
                <w:szCs w:val="22"/>
              </w:rPr>
              <w:t>107,500</w:t>
            </w:r>
          </w:p>
        </w:tc>
      </w:tr>
      <w:tr w14:paraId="60C92704" w14:textId="77777777" w:rsidTr="00A81A50">
        <w:tblPrEx>
          <w:tblW w:w="0" w:type="auto"/>
          <w:tblInd w:w="175" w:type="dxa"/>
          <w:tblLook w:val="01E0"/>
        </w:tblPrEx>
        <w:trPr>
          <w:trHeight w:val="576"/>
        </w:trPr>
        <w:tc>
          <w:tcPr>
            <w:tcW w:w="3649" w:type="dxa"/>
            <w:vAlign w:val="center"/>
          </w:tcPr>
          <w:p w:rsidR="00B54C90" w:rsidRPr="005F6BC2" w:rsidP="00A81A50" w14:paraId="02EF5E5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3</w:t>
            </w:r>
            <w:r w:rsidRPr="005F6BC2">
              <w:rPr>
                <w:szCs w:val="22"/>
              </w:rPr>
              <w:t>,</w:t>
            </w:r>
            <w:r>
              <w:rPr>
                <w:szCs w:val="22"/>
              </w:rPr>
              <w:t>500</w:t>
            </w:r>
            <w:r w:rsidRPr="005F6BC2">
              <w:rPr>
                <w:szCs w:val="22"/>
              </w:rPr>
              <w:t xml:space="preserve"> Gbps or greater, but less than </w:t>
            </w:r>
            <w:r>
              <w:rPr>
                <w:szCs w:val="22"/>
              </w:rPr>
              <w:t>6</w:t>
            </w:r>
            <w:r w:rsidRPr="005F6BC2">
              <w:rPr>
                <w:szCs w:val="22"/>
              </w:rPr>
              <w:t>,</w:t>
            </w:r>
            <w:r>
              <w:rPr>
                <w:szCs w:val="22"/>
              </w:rPr>
              <w:t>50</w:t>
            </w:r>
            <w:r w:rsidRPr="005F6BC2">
              <w:rPr>
                <w:szCs w:val="22"/>
              </w:rPr>
              <w:t>0 Gbps</w:t>
            </w:r>
          </w:p>
        </w:tc>
        <w:tc>
          <w:tcPr>
            <w:tcW w:w="2291" w:type="dxa"/>
          </w:tcPr>
          <w:p w:rsidR="00B54C90" w:rsidP="00A81A50" w14:paraId="34041ADC" w14:textId="77777777">
            <w:pPr>
              <w:jc w:val="center"/>
              <w:rPr>
                <w:bCs/>
                <w:szCs w:val="22"/>
              </w:rPr>
            </w:pPr>
          </w:p>
          <w:p w:rsidR="00B54C90" w:rsidRPr="005F6BC2" w:rsidP="00A81A50" w14:paraId="1C87342E" w14:textId="77777777">
            <w:pPr>
              <w:jc w:val="center"/>
              <w:rPr>
                <w:bCs/>
                <w:szCs w:val="22"/>
              </w:rPr>
            </w:pPr>
            <w:r>
              <w:rPr>
                <w:bCs/>
                <w:szCs w:val="22"/>
              </w:rPr>
              <w:t>1.0 Unit</w:t>
            </w:r>
          </w:p>
        </w:tc>
        <w:tc>
          <w:tcPr>
            <w:tcW w:w="3235" w:type="dxa"/>
            <w:vAlign w:val="center"/>
          </w:tcPr>
          <w:p w:rsidR="00B54C90" w:rsidRPr="005F6BC2" w:rsidP="00A81A50" w14:paraId="09E9936B" w14:textId="77777777">
            <w:pPr>
              <w:jc w:val="center"/>
              <w:rPr>
                <w:spacing w:val="-3"/>
                <w:szCs w:val="22"/>
              </w:rPr>
            </w:pPr>
            <w:r w:rsidRPr="005F6BC2">
              <w:rPr>
                <w:bCs/>
                <w:szCs w:val="22"/>
              </w:rPr>
              <w:t>$</w:t>
            </w:r>
            <w:r>
              <w:rPr>
                <w:bCs/>
                <w:szCs w:val="22"/>
              </w:rPr>
              <w:t>215,000</w:t>
            </w:r>
          </w:p>
        </w:tc>
      </w:tr>
      <w:tr w14:paraId="2897D8D1" w14:textId="77777777" w:rsidTr="00A81A50">
        <w:tblPrEx>
          <w:tblW w:w="0" w:type="auto"/>
          <w:tblInd w:w="175" w:type="dxa"/>
          <w:tblLook w:val="01E0"/>
        </w:tblPrEx>
        <w:trPr>
          <w:trHeight w:val="576"/>
        </w:trPr>
        <w:tc>
          <w:tcPr>
            <w:tcW w:w="3649" w:type="dxa"/>
            <w:vAlign w:val="center"/>
          </w:tcPr>
          <w:p w:rsidR="00B54C90" w:rsidRPr="005F6BC2" w:rsidP="00A81A50" w14:paraId="1FEAB8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Pr>
                <w:szCs w:val="22"/>
              </w:rPr>
              <w:t>6</w:t>
            </w:r>
            <w:r w:rsidRPr="005F6BC2">
              <w:rPr>
                <w:szCs w:val="22"/>
              </w:rPr>
              <w:t>,</w:t>
            </w:r>
            <w:r>
              <w:rPr>
                <w:szCs w:val="22"/>
              </w:rPr>
              <w:t>5</w:t>
            </w:r>
            <w:r w:rsidRPr="005F6BC2">
              <w:rPr>
                <w:szCs w:val="22"/>
              </w:rPr>
              <w:t>00 Gbps or greater</w:t>
            </w:r>
          </w:p>
        </w:tc>
        <w:tc>
          <w:tcPr>
            <w:tcW w:w="2291" w:type="dxa"/>
          </w:tcPr>
          <w:p w:rsidR="00B54C90" w:rsidP="00A81A50" w14:paraId="0ABB4766" w14:textId="77777777">
            <w:pPr>
              <w:jc w:val="center"/>
              <w:rPr>
                <w:bCs/>
                <w:szCs w:val="22"/>
              </w:rPr>
            </w:pPr>
          </w:p>
          <w:p w:rsidR="00B54C90" w:rsidRPr="005F6BC2" w:rsidP="00A81A50" w14:paraId="4DAECE46" w14:textId="77777777">
            <w:pPr>
              <w:jc w:val="center"/>
              <w:rPr>
                <w:bCs/>
                <w:szCs w:val="22"/>
              </w:rPr>
            </w:pPr>
            <w:r w:rsidRPr="0014092A">
              <w:rPr>
                <w:bCs/>
                <w:szCs w:val="22"/>
              </w:rPr>
              <w:t>2.0 Units</w:t>
            </w:r>
          </w:p>
        </w:tc>
        <w:tc>
          <w:tcPr>
            <w:tcW w:w="3235" w:type="dxa"/>
            <w:vAlign w:val="center"/>
          </w:tcPr>
          <w:p w:rsidR="00B54C90" w:rsidRPr="005F6BC2" w:rsidP="00A81A50" w14:paraId="462C3270" w14:textId="77777777">
            <w:pPr>
              <w:jc w:val="center"/>
              <w:rPr>
                <w:szCs w:val="22"/>
              </w:rPr>
            </w:pPr>
            <w:r w:rsidRPr="005F6BC2">
              <w:rPr>
                <w:bCs/>
                <w:szCs w:val="22"/>
              </w:rPr>
              <w:t>$</w:t>
            </w:r>
            <w:r>
              <w:rPr>
                <w:bCs/>
                <w:szCs w:val="22"/>
              </w:rPr>
              <w:t>430,000</w:t>
            </w:r>
          </w:p>
        </w:tc>
      </w:tr>
    </w:tbl>
    <w:p w:rsidR="00803E52" w:rsidRPr="00B54C90" w:rsidP="00B54C90" w14:paraId="73F1D577" w14:textId="2841CAC3">
      <w:pPr>
        <w:pStyle w:val="ParaNum0"/>
        <w:numPr>
          <w:ilvl w:val="0"/>
          <w:numId w:val="0"/>
        </w:numPr>
        <w:rPr>
          <w:highlight w:val="yellow"/>
        </w:rPr>
      </w:pPr>
    </w:p>
    <w:p w:rsidR="00DA393B" w:rsidRPr="00293A57" w:rsidP="00DA393B" w14:paraId="64E991B7" w14:textId="77777777">
      <w:pPr>
        <w:widowControl/>
        <w:rPr>
          <w:rFonts w:ascii="Times New Roman" w:hAnsi="Times New Roman"/>
          <w:sz w:val="22"/>
          <w:szCs w:val="22"/>
        </w:rPr>
      </w:pPr>
    </w:p>
    <w:p w:rsidR="00DA393B" w:rsidRPr="00293A57" w:rsidP="00DA393B" w14:paraId="6F880C58"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International Public Fixed Radio and International (HF) Broadcast Stations</w:t>
      </w:r>
    </w:p>
    <w:p w:rsidR="00DA393B" w:rsidRPr="00293A57" w14:paraId="514E7744"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4A4249BD" w14:textId="0A1A89B9">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Pr>
          <w:rFonts w:ascii="Times New Roman" w:hAnsi="Times New Roman"/>
          <w:sz w:val="22"/>
          <w:szCs w:val="22"/>
        </w:rPr>
        <w:t>T</w:t>
      </w:r>
      <w:r w:rsidRPr="00293A57">
        <w:rPr>
          <w:rFonts w:ascii="Times New Roman" w:hAnsi="Times New Roman"/>
          <w:sz w:val="22"/>
          <w:szCs w:val="22"/>
        </w:rPr>
        <w:t xml:space="preserve">he fee categories of International Public Fixed Radio and International High Frequency (HF) Broadcast Stations were eliminated from regulatory fee assessment on August 18, 2009.  The elimination of these two categories is based on the Commission’s actions in the FY 2009 Regulatory Fees </w:t>
      </w:r>
      <w:r w:rsidRPr="00293A57">
        <w:rPr>
          <w:rFonts w:ascii="Times New Roman" w:hAnsi="Times New Roman"/>
          <w:i/>
          <w:sz w:val="22"/>
          <w:szCs w:val="22"/>
        </w:rPr>
        <w:t>Notice of Proposed Rulemaking and Order</w:t>
      </w:r>
      <w:r w:rsidRPr="00293A57">
        <w:rPr>
          <w:rFonts w:ascii="Times New Roman" w:hAnsi="Times New Roman"/>
          <w:sz w:val="22"/>
          <w:szCs w:val="22"/>
        </w:rPr>
        <w:t xml:space="preserve"> and the FY 2009 Regulatory Fees </w:t>
      </w:r>
      <w:r w:rsidRPr="00293A57">
        <w:rPr>
          <w:rFonts w:ascii="Times New Roman" w:hAnsi="Times New Roman"/>
          <w:i/>
          <w:sz w:val="22"/>
          <w:szCs w:val="22"/>
        </w:rPr>
        <w:t>Report and Order</w:t>
      </w:r>
      <w:r w:rsidRPr="00293A57">
        <w:rPr>
          <w:rFonts w:ascii="Times New Roman" w:hAnsi="Times New Roman"/>
          <w:sz w:val="22"/>
          <w:szCs w:val="22"/>
        </w:rPr>
        <w:t>.</w:t>
      </w:r>
      <w:r>
        <w:rPr>
          <w:rStyle w:val="FootnoteReference"/>
          <w:rFonts w:ascii="Times New Roman" w:hAnsi="Times New Roman"/>
          <w:sz w:val="22"/>
          <w:szCs w:val="22"/>
        </w:rPr>
        <w:footnoteReference w:id="5"/>
      </w:r>
      <w:r w:rsidRPr="00293A57">
        <w:rPr>
          <w:rFonts w:ascii="Times New Roman" w:hAnsi="Times New Roman"/>
          <w:sz w:val="22"/>
          <w:szCs w:val="22"/>
        </w:rPr>
        <w:t xml:space="preserve">  Hence, there is no regulatory fee obligation for licensees holding International Public Fixed Radio and International (HF) Broadcast Station licenses.</w:t>
      </w:r>
    </w:p>
    <w:p w:rsidR="00DA393B" w:rsidRPr="00293A57" w14:paraId="6C13AFEC"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DA393B" w14:paraId="4A50EFE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r w:rsidRPr="00293A57">
        <w:rPr>
          <w:rFonts w:ascii="Times New Roman" w:hAnsi="Times New Roman"/>
          <w:b/>
          <w:sz w:val="22"/>
          <w:szCs w:val="22"/>
        </w:rPr>
        <w:t>Direct Broadcast Satellite (DBS) Regulatory Fee</w:t>
      </w:r>
      <w:r w:rsidRPr="00293A57">
        <w:rPr>
          <w:rFonts w:ascii="Times New Roman" w:hAnsi="Times New Roman"/>
          <w:sz w:val="22"/>
          <w:szCs w:val="22"/>
        </w:rPr>
        <w:t xml:space="preserve"> </w:t>
      </w:r>
    </w:p>
    <w:p w:rsidR="00DA393B" w:rsidRPr="00293A57" w:rsidP="00DA393B" w14:paraId="1E0FBAB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DA393B" w14:paraId="5C7BFEB6" w14:textId="74DAED08">
      <w:pPr>
        <w:shd w:val="clear" w:color="auto" w:fill="FFFFFF"/>
        <w:rPr>
          <w:rFonts w:ascii="Times New Roman" w:hAnsi="Times New Roman"/>
          <w:i/>
          <w:iCs/>
          <w:sz w:val="22"/>
          <w:szCs w:val="22"/>
          <w:u w:val="single"/>
        </w:rPr>
      </w:pPr>
      <w:r>
        <w:rPr>
          <w:rFonts w:ascii="Times New Roman" w:hAnsi="Times New Roman"/>
          <w:sz w:val="22"/>
          <w:szCs w:val="22"/>
        </w:rPr>
        <w:t xml:space="preserve">In FY 2015, </w:t>
      </w:r>
      <w:r w:rsidRPr="00293A57">
        <w:rPr>
          <w:rFonts w:ascii="Times New Roman" w:hAnsi="Times New Roman"/>
          <w:sz w:val="22"/>
          <w:szCs w:val="22"/>
        </w:rPr>
        <w:t xml:space="preserve">The Commission instituted a new DBS fee to be paid on a per subscriber basis.  For additional guidance on how to pay this fee, please see </w:t>
      </w:r>
      <w:r w:rsidRPr="00293A57">
        <w:rPr>
          <w:rFonts w:ascii="Times New Roman" w:hAnsi="Times New Roman"/>
          <w:i/>
          <w:iCs/>
          <w:sz w:val="22"/>
          <w:szCs w:val="22"/>
        </w:rPr>
        <w:t>What You Owe – Cable Television Systems for FY 20</w:t>
      </w:r>
      <w:r w:rsidR="00B54C90">
        <w:rPr>
          <w:rFonts w:ascii="Times New Roman" w:hAnsi="Times New Roman"/>
          <w:i/>
          <w:iCs/>
          <w:sz w:val="22"/>
          <w:szCs w:val="22"/>
        </w:rPr>
        <w:t>20</w:t>
      </w:r>
      <w:r w:rsidRPr="00293A57">
        <w:rPr>
          <w:rFonts w:ascii="Times New Roman" w:hAnsi="Times New Roman"/>
          <w:i/>
          <w:iCs/>
          <w:sz w:val="22"/>
          <w:szCs w:val="22"/>
        </w:rPr>
        <w:t xml:space="preserve"> </w:t>
      </w:r>
      <w:r w:rsidRPr="00293A57">
        <w:rPr>
          <w:rFonts w:ascii="Times New Roman" w:hAnsi="Times New Roman"/>
          <w:sz w:val="22"/>
          <w:szCs w:val="22"/>
        </w:rPr>
        <w:t>Fact Sheet</w:t>
      </w:r>
      <w:r w:rsidRPr="00293A57">
        <w:rPr>
          <w:rFonts w:ascii="Times New Roman" w:hAnsi="Times New Roman"/>
          <w:i/>
          <w:iCs/>
          <w:sz w:val="22"/>
          <w:szCs w:val="22"/>
        </w:rPr>
        <w:t xml:space="preserve">, </w:t>
      </w:r>
      <w:r w:rsidRPr="00293A57">
        <w:rPr>
          <w:rFonts w:ascii="Times New Roman" w:hAnsi="Times New Roman"/>
          <w:sz w:val="22"/>
          <w:szCs w:val="22"/>
        </w:rPr>
        <w:t xml:space="preserve">which can be found on the Commission website at </w:t>
      </w:r>
      <w:hyperlink r:id="rId5" w:history="1">
        <w:r w:rsidRPr="00293A57">
          <w:rPr>
            <w:rStyle w:val="Hyperlink"/>
            <w:rFonts w:ascii="Times New Roman" w:hAnsi="Times New Roman"/>
            <w:sz w:val="22"/>
            <w:szCs w:val="22"/>
          </w:rPr>
          <w:t>http://www.fcc.gov/regfees</w:t>
        </w:r>
      </w:hyperlink>
      <w:r w:rsidRPr="00293A57">
        <w:rPr>
          <w:rFonts w:ascii="Times New Roman" w:hAnsi="Times New Roman"/>
          <w:i/>
          <w:iCs/>
          <w:sz w:val="22"/>
          <w:szCs w:val="22"/>
          <w:u w:val="single"/>
        </w:rPr>
        <w:t>.</w:t>
      </w:r>
    </w:p>
    <w:p w:rsidR="00DA393B" w:rsidRPr="00293A57" w:rsidP="00DA393B" w14:paraId="1BE77758"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sz w:val="22"/>
          <w:szCs w:val="22"/>
        </w:rPr>
      </w:pPr>
      <w:r w:rsidRPr="00293A57">
        <w:rPr>
          <w:rFonts w:ascii="Times New Roman" w:hAnsi="Times New Roman"/>
          <w:sz w:val="22"/>
          <w:szCs w:val="22"/>
        </w:rPr>
        <w:br w:type="page"/>
      </w:r>
      <w:r w:rsidRPr="00293A57">
        <w:rPr>
          <w:rFonts w:ascii="Times New Roman" w:hAnsi="Times New Roman"/>
          <w:b/>
          <w:sz w:val="22"/>
          <w:szCs w:val="22"/>
        </w:rPr>
        <w:t>SUMMARY OF FEES FOR INTERNATIONAL SERVICES</w:t>
      </w:r>
    </w:p>
    <w:p w:rsidR="00DA393B" w:rsidRPr="00293A57" w14:paraId="19DA1BAD"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tbl>
      <w:tblPr>
        <w:tblW w:w="9810" w:type="dxa"/>
        <w:tblInd w:w="120" w:type="dxa"/>
        <w:tblLayout w:type="fixed"/>
        <w:tblCellMar>
          <w:left w:w="120" w:type="dxa"/>
          <w:right w:w="120" w:type="dxa"/>
        </w:tblCellMar>
        <w:tblLook w:val="0000"/>
      </w:tblPr>
      <w:tblGrid>
        <w:gridCol w:w="4590"/>
        <w:gridCol w:w="3600"/>
        <w:gridCol w:w="1620"/>
      </w:tblGrid>
      <w:tr w14:paraId="275A3102" w14:textId="77777777">
        <w:tblPrEx>
          <w:tblW w:w="9810" w:type="dxa"/>
          <w:tblInd w:w="120" w:type="dxa"/>
          <w:tblLayout w:type="fixed"/>
          <w:tblCellMar>
            <w:left w:w="120" w:type="dxa"/>
            <w:right w:w="120" w:type="dxa"/>
          </w:tblCellMar>
          <w:tblLook w:val="0000"/>
        </w:tblPrEx>
        <w:tc>
          <w:tcPr>
            <w:tcW w:w="4590" w:type="dxa"/>
            <w:tcBorders>
              <w:top w:val="double" w:sz="6" w:space="0" w:color="auto"/>
              <w:left w:val="double" w:sz="6" w:space="0" w:color="auto"/>
            </w:tcBorders>
          </w:tcPr>
          <w:p w:rsidR="00DA393B" w:rsidRPr="00293A57" w14:paraId="5F6471DF" w14:textId="77777777">
            <w:pPr>
              <w:tabs>
                <w:tab w:val="center" w:pos="2246"/>
              </w:tabs>
              <w:suppressAutoHyphens/>
              <w:spacing w:before="90"/>
              <w:rPr>
                <w:rFonts w:ascii="Times New Roman" w:hAnsi="Times New Roman"/>
                <w:spacing w:val="-3"/>
                <w:sz w:val="22"/>
                <w:szCs w:val="22"/>
              </w:rPr>
            </w:pPr>
            <w:r>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14:paraId="2B71506E" w14:textId="77777777">
            <w:pPr>
              <w:tabs>
                <w:tab w:val="left" w:pos="-720"/>
              </w:tabs>
              <w:suppressAutoHyphens/>
              <w:spacing w:after="54"/>
              <w:rPr>
                <w:rFonts w:ascii="Times New Roman" w:hAnsi="Times New Roman"/>
                <w:sz w:val="22"/>
                <w:szCs w:val="22"/>
              </w:rPr>
            </w:pPr>
          </w:p>
        </w:tc>
        <w:tc>
          <w:tcPr>
            <w:tcW w:w="3600" w:type="dxa"/>
            <w:tcBorders>
              <w:top w:val="double" w:sz="6" w:space="0" w:color="auto"/>
              <w:left w:val="single" w:sz="6" w:space="0" w:color="auto"/>
            </w:tcBorders>
          </w:tcPr>
          <w:p w:rsidR="00DA393B" w:rsidRPr="00293A57" w14:paraId="35274C53" w14:textId="77777777">
            <w:pPr>
              <w:tabs>
                <w:tab w:val="center" w:pos="1914"/>
              </w:tabs>
              <w:suppressAutoHyphens/>
              <w:spacing w:before="90" w:after="54"/>
              <w:rPr>
                <w:rFonts w:ascii="Times New Roman" w:hAnsi="Times New Roman"/>
                <w:sz w:val="22"/>
                <w:szCs w:val="22"/>
              </w:rPr>
            </w:pPr>
            <w:r w:rsidRPr="00293A57">
              <w:rPr>
                <w:rFonts w:ascii="Times New Roman" w:hAnsi="Times New Roman"/>
                <w:sz w:val="22"/>
                <w:szCs w:val="22"/>
              </w:rPr>
              <w:tab/>
              <w:t>REGULATORY FEE PAYMENT</w:t>
            </w:r>
          </w:p>
        </w:tc>
        <w:tc>
          <w:tcPr>
            <w:tcW w:w="1620" w:type="dxa"/>
            <w:tcBorders>
              <w:top w:val="double" w:sz="6" w:space="0" w:color="auto"/>
              <w:left w:val="single" w:sz="6" w:space="0" w:color="auto"/>
              <w:right w:val="double" w:sz="6" w:space="0" w:color="auto"/>
            </w:tcBorders>
          </w:tcPr>
          <w:p w:rsidR="00DA393B" w:rsidRPr="00293A57" w14:paraId="3FA7E71E"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 xml:space="preserve">PAYMENT </w:t>
            </w:r>
            <w:r w:rsidRPr="00293A57">
              <w:rPr>
                <w:rFonts w:ascii="Times New Roman" w:hAnsi="Times New Roman"/>
                <w:sz w:val="22"/>
                <w:szCs w:val="22"/>
              </w:rPr>
              <w:t>TYPE  CODE</w:t>
            </w:r>
          </w:p>
        </w:tc>
      </w:tr>
      <w:tr w14:paraId="275454C0"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tcBorders>
          </w:tcPr>
          <w:p w:rsidR="00DA393B" w:rsidRPr="00293A57" w14:paraId="4A16DBAA" w14:textId="7777777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Earth Stations</w:t>
            </w:r>
          </w:p>
        </w:tc>
        <w:tc>
          <w:tcPr>
            <w:tcW w:w="3600" w:type="dxa"/>
            <w:tcBorders>
              <w:top w:val="single" w:sz="6" w:space="0" w:color="auto"/>
              <w:left w:val="single" w:sz="6" w:space="0" w:color="auto"/>
            </w:tcBorders>
          </w:tcPr>
          <w:p w:rsidR="00DA393B" w:rsidRPr="00293A57" w:rsidP="004C752D" w14:paraId="69F5DC9A" w14:textId="01FEC0CE">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00B54C90">
              <w:rPr>
                <w:rFonts w:ascii="Times New Roman" w:hAnsi="Times New Roman"/>
                <w:sz w:val="22"/>
                <w:szCs w:val="22"/>
              </w:rPr>
              <w:t>560</w:t>
            </w:r>
            <w:r w:rsidRPr="00293A57">
              <w:rPr>
                <w:rFonts w:ascii="Times New Roman" w:hAnsi="Times New Roman"/>
                <w:sz w:val="22"/>
                <w:szCs w:val="22"/>
              </w:rPr>
              <w:t xml:space="preserve"> per station or Hub Station</w:t>
            </w:r>
          </w:p>
        </w:tc>
        <w:tc>
          <w:tcPr>
            <w:tcW w:w="1620" w:type="dxa"/>
            <w:tcBorders>
              <w:top w:val="single" w:sz="6" w:space="0" w:color="auto"/>
              <w:left w:val="single" w:sz="6" w:space="0" w:color="auto"/>
              <w:right w:val="double" w:sz="6" w:space="0" w:color="auto"/>
            </w:tcBorders>
          </w:tcPr>
          <w:p w:rsidR="00DA393B" w:rsidRPr="00293A57" w:rsidP="004C752D" w14:paraId="181CE39A" w14:textId="0BA12C24">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20</w:t>
            </w:r>
            <w:r w:rsidRPr="00293A57">
              <w:rPr>
                <w:rFonts w:ascii="Times New Roman" w:hAnsi="Times New Roman"/>
                <w:sz w:val="22"/>
                <w:szCs w:val="22"/>
              </w:rPr>
              <w:t>73</w:t>
            </w:r>
          </w:p>
        </w:tc>
      </w:tr>
      <w:tr w14:paraId="44A8B0DA"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tcBorders>
          </w:tcPr>
          <w:p w:rsidR="00DA393B" w:rsidRPr="00293A57" w14:paraId="6944205D" w14:textId="7777777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Geostationary Orbit Space Stations and</w:t>
            </w:r>
          </w:p>
          <w:p w:rsidR="00DA393B" w:rsidRPr="00293A57" w14:paraId="759A8F16" w14:textId="1F474141">
            <w:pPr>
              <w:tabs>
                <w:tab w:val="left" w:pos="-720"/>
              </w:tabs>
              <w:suppressAutoHyphens/>
              <w:spacing w:after="54"/>
              <w:rPr>
                <w:rFonts w:ascii="Times New Roman" w:hAnsi="Times New Roman"/>
                <w:sz w:val="22"/>
                <w:szCs w:val="22"/>
              </w:rPr>
            </w:pPr>
            <w:r w:rsidRPr="00293A57">
              <w:rPr>
                <w:rFonts w:ascii="Times New Roman" w:hAnsi="Times New Roman"/>
                <w:sz w:val="22"/>
                <w:szCs w:val="22"/>
              </w:rPr>
              <w:t>Direct Broadcast Satellite Service Licensees</w:t>
            </w:r>
            <w:r w:rsidR="00B54C90">
              <w:rPr>
                <w:rFonts w:ascii="Times New Roman" w:hAnsi="Times New Roman"/>
                <w:sz w:val="22"/>
                <w:szCs w:val="22"/>
              </w:rPr>
              <w:t>; U.S. licensed, and non-U.S. licensed space stations that have gained access through a Petition for Declaratory Ruling and through Earth Station licenses</w:t>
            </w:r>
          </w:p>
        </w:tc>
        <w:tc>
          <w:tcPr>
            <w:tcW w:w="3600" w:type="dxa"/>
            <w:tcBorders>
              <w:top w:val="single" w:sz="6" w:space="0" w:color="auto"/>
              <w:left w:val="single" w:sz="6" w:space="0" w:color="auto"/>
            </w:tcBorders>
          </w:tcPr>
          <w:p w:rsidR="00DA393B" w:rsidRPr="00293A57" w:rsidP="005459C6" w14:paraId="45703022" w14:textId="1F4349CF">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00B54C90">
              <w:rPr>
                <w:rFonts w:ascii="Times New Roman" w:hAnsi="Times New Roman"/>
                <w:sz w:val="22"/>
                <w:szCs w:val="22"/>
              </w:rPr>
              <w:t>98,125</w:t>
            </w:r>
            <w:r w:rsidRPr="00293A57">
              <w:rPr>
                <w:rFonts w:ascii="Times New Roman" w:hAnsi="Times New Roman"/>
                <w:sz w:val="22"/>
                <w:szCs w:val="22"/>
              </w:rPr>
              <w:t xml:space="preserve"> per operational station</w:t>
            </w:r>
          </w:p>
        </w:tc>
        <w:tc>
          <w:tcPr>
            <w:tcW w:w="1620" w:type="dxa"/>
            <w:tcBorders>
              <w:top w:val="single" w:sz="6" w:space="0" w:color="auto"/>
              <w:left w:val="single" w:sz="6" w:space="0" w:color="auto"/>
              <w:right w:val="double" w:sz="6" w:space="0" w:color="auto"/>
            </w:tcBorders>
          </w:tcPr>
          <w:p w:rsidR="00DA393B" w:rsidRPr="00293A57" w:rsidP="004C752D" w14:paraId="7BF36CFA" w14:textId="427E0EE3">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20</w:t>
            </w:r>
            <w:r w:rsidRPr="00293A57">
              <w:rPr>
                <w:rFonts w:ascii="Times New Roman" w:hAnsi="Times New Roman"/>
                <w:sz w:val="22"/>
                <w:szCs w:val="22"/>
              </w:rPr>
              <w:t>74</w:t>
            </w:r>
          </w:p>
        </w:tc>
      </w:tr>
      <w:tr w14:paraId="48361B60"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tcBorders>
          </w:tcPr>
          <w:p w:rsidR="00DA393B" w:rsidRPr="00293A57" w14:paraId="169562C1" w14:textId="011957D8">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Non-Geostationary Orbit Satellite Systems</w:t>
            </w:r>
            <w:r w:rsidR="00B54C90">
              <w:rPr>
                <w:rFonts w:ascii="Times New Roman" w:hAnsi="Times New Roman"/>
                <w:sz w:val="22"/>
                <w:szCs w:val="22"/>
              </w:rPr>
              <w:t>; U.S. licensed, and non-U.S. licensed space stations that have gained access through a Petition for Declaratory Ruling and through Earth Station licenses</w:t>
            </w:r>
          </w:p>
        </w:tc>
        <w:tc>
          <w:tcPr>
            <w:tcW w:w="3600" w:type="dxa"/>
            <w:tcBorders>
              <w:top w:val="single" w:sz="6" w:space="0" w:color="auto"/>
              <w:left w:val="single" w:sz="6" w:space="0" w:color="auto"/>
            </w:tcBorders>
          </w:tcPr>
          <w:p w:rsidR="00DA393B" w:rsidRPr="00293A57" w:rsidP="005459C6" w14:paraId="7BFA4B7E" w14:textId="2B2DD9E6">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Pr>
                <w:rFonts w:ascii="Times New Roman" w:hAnsi="Times New Roman"/>
                <w:sz w:val="22"/>
                <w:szCs w:val="22"/>
              </w:rPr>
              <w:t xml:space="preserve">223,500 </w:t>
            </w:r>
            <w:r w:rsidRPr="00293A57">
              <w:rPr>
                <w:rFonts w:ascii="Times New Roman" w:hAnsi="Times New Roman"/>
                <w:sz w:val="22"/>
                <w:szCs w:val="22"/>
              </w:rPr>
              <w:t>per operational system</w:t>
            </w:r>
          </w:p>
        </w:tc>
        <w:tc>
          <w:tcPr>
            <w:tcW w:w="1620" w:type="dxa"/>
            <w:tcBorders>
              <w:top w:val="single" w:sz="6" w:space="0" w:color="auto"/>
              <w:left w:val="single" w:sz="6" w:space="0" w:color="auto"/>
              <w:right w:val="double" w:sz="6" w:space="0" w:color="auto"/>
            </w:tcBorders>
          </w:tcPr>
          <w:p w:rsidR="00DA393B" w:rsidRPr="00293A57" w:rsidP="004C752D" w14:paraId="4C2F289E" w14:textId="42493612">
            <w:pPr>
              <w:tabs>
                <w:tab w:val="left" w:pos="-720"/>
              </w:tabs>
              <w:suppressAutoHyphens/>
              <w:spacing w:before="90" w:after="54"/>
              <w:jc w:val="center"/>
              <w:rPr>
                <w:rFonts w:ascii="Times New Roman" w:hAnsi="Times New Roman"/>
                <w:sz w:val="22"/>
                <w:szCs w:val="22"/>
              </w:rPr>
            </w:pPr>
            <w:r>
              <w:rPr>
                <w:rFonts w:ascii="Times New Roman" w:hAnsi="Times New Roman"/>
                <w:sz w:val="22"/>
                <w:szCs w:val="22"/>
              </w:rPr>
              <w:t>20</w:t>
            </w:r>
            <w:r w:rsidRPr="00293A57">
              <w:rPr>
                <w:rFonts w:ascii="Times New Roman" w:hAnsi="Times New Roman"/>
                <w:sz w:val="22"/>
                <w:szCs w:val="22"/>
              </w:rPr>
              <w:t>75</w:t>
            </w:r>
          </w:p>
        </w:tc>
      </w:tr>
      <w:tr w14:paraId="44809447" w14:textId="77777777">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tcPr>
          <w:p w:rsidR="00DA393B" w:rsidRPr="00293A57" w:rsidP="002E009B" w14:paraId="5EC513E1" w14:textId="3F994BF2">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 xml:space="preserve">International Bearer Circuits: Terrestrial </w:t>
            </w:r>
            <w:r w:rsidRPr="007B18D9">
              <w:rPr>
                <w:rFonts w:ascii="Times New Roman" w:hAnsi="Times New Roman"/>
                <w:sz w:val="22"/>
                <w:szCs w:val="22"/>
                <w:u w:val="single"/>
              </w:rPr>
              <w:t>Common Carrier</w:t>
            </w:r>
            <w:r w:rsidRPr="007B18D9" w:rsidR="007F732B">
              <w:rPr>
                <w:rFonts w:ascii="Times New Roman" w:hAnsi="Times New Roman"/>
                <w:sz w:val="22"/>
                <w:szCs w:val="22"/>
                <w:u w:val="single"/>
              </w:rPr>
              <w:t xml:space="preserve"> and Non-Common Carrier</w:t>
            </w:r>
            <w:r w:rsidRPr="007B18D9">
              <w:rPr>
                <w:rFonts w:ascii="Times New Roman" w:hAnsi="Times New Roman"/>
                <w:sz w:val="22"/>
                <w:szCs w:val="22"/>
                <w:u w:val="single"/>
              </w:rPr>
              <w:t xml:space="preserve">; </w:t>
            </w:r>
            <w:r w:rsidRPr="00293A57">
              <w:rPr>
                <w:rFonts w:ascii="Times New Roman" w:hAnsi="Times New Roman"/>
                <w:sz w:val="22"/>
                <w:szCs w:val="22"/>
              </w:rPr>
              <w:t xml:space="preserve">Satellite </w:t>
            </w:r>
            <w:r w:rsidRPr="007B18D9">
              <w:rPr>
                <w:rFonts w:ascii="Times New Roman" w:hAnsi="Times New Roman"/>
                <w:sz w:val="22"/>
                <w:szCs w:val="22"/>
                <w:u w:val="single"/>
              </w:rPr>
              <w:t>Common Carrier</w:t>
            </w:r>
            <w:r w:rsidRPr="007B18D9" w:rsidR="007B18D9">
              <w:rPr>
                <w:rFonts w:ascii="Times New Roman" w:hAnsi="Times New Roman"/>
                <w:sz w:val="22"/>
                <w:szCs w:val="22"/>
                <w:u w:val="single"/>
              </w:rPr>
              <w:t xml:space="preserve"> and</w:t>
            </w:r>
            <w:r w:rsidRPr="007B18D9">
              <w:rPr>
                <w:rFonts w:ascii="Times New Roman" w:hAnsi="Times New Roman"/>
                <w:sz w:val="22"/>
                <w:szCs w:val="22"/>
                <w:u w:val="single"/>
              </w:rPr>
              <w:t xml:space="preserve"> Non-Common Carrier</w:t>
            </w:r>
            <w:r w:rsidRPr="00293A57">
              <w:rPr>
                <w:rFonts w:ascii="Times New Roman" w:hAnsi="Times New Roman"/>
                <w:sz w:val="22"/>
                <w:szCs w:val="22"/>
              </w:rPr>
              <w:t xml:space="preserve"> (</w:t>
            </w:r>
            <w:r w:rsidR="00780469">
              <w:rPr>
                <w:rFonts w:ascii="Times New Roman" w:hAnsi="Times New Roman"/>
                <w:sz w:val="22"/>
                <w:szCs w:val="22"/>
              </w:rPr>
              <w:t xml:space="preserve">active </w:t>
            </w:r>
            <w:r w:rsidRPr="00293A57">
              <w:rPr>
                <w:rFonts w:ascii="Times New Roman" w:hAnsi="Times New Roman"/>
                <w:sz w:val="22"/>
                <w:szCs w:val="22"/>
              </w:rPr>
              <w:t>capacity as of December 31, 201</w:t>
            </w:r>
            <w:r w:rsidR="00780469">
              <w:rPr>
                <w:rFonts w:ascii="Times New Roman" w:hAnsi="Times New Roman"/>
                <w:sz w:val="22"/>
                <w:szCs w:val="22"/>
              </w:rPr>
              <w:t>9</w:t>
            </w:r>
            <w:r w:rsidRPr="00293A57">
              <w:rPr>
                <w:rFonts w:ascii="Times New Roman" w:hAnsi="Times New Roman"/>
                <w:sz w:val="22"/>
                <w:szCs w:val="22"/>
              </w:rPr>
              <w:t>)</w:t>
            </w:r>
          </w:p>
        </w:tc>
        <w:tc>
          <w:tcPr>
            <w:tcW w:w="3600" w:type="dxa"/>
            <w:tcBorders>
              <w:top w:val="single" w:sz="6" w:space="0" w:color="auto"/>
              <w:left w:val="single" w:sz="6" w:space="0" w:color="auto"/>
            </w:tcBorders>
          </w:tcPr>
          <w:p w:rsidR="00DA393B" w:rsidRPr="00293A57" w:rsidP="004C752D" w14:paraId="49988F0E" w14:textId="37C6BE09">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00780469">
              <w:rPr>
                <w:rFonts w:ascii="Times New Roman" w:hAnsi="Times New Roman"/>
                <w:sz w:val="22"/>
                <w:szCs w:val="22"/>
              </w:rPr>
              <w:t>4</w:t>
            </w:r>
            <w:r w:rsidR="00EF5F25">
              <w:rPr>
                <w:rFonts w:ascii="Times New Roman" w:hAnsi="Times New Roman"/>
                <w:sz w:val="22"/>
                <w:szCs w:val="22"/>
              </w:rPr>
              <w:t>1</w:t>
            </w:r>
            <w:r w:rsidRPr="00293A57">
              <w:rPr>
                <w:rFonts w:ascii="Times New Roman" w:hAnsi="Times New Roman"/>
                <w:sz w:val="22"/>
                <w:szCs w:val="22"/>
              </w:rPr>
              <w:t xml:space="preserve"> per active </w:t>
            </w:r>
            <w:r>
              <w:rPr>
                <w:rFonts w:ascii="Times New Roman" w:hAnsi="Times New Roman"/>
                <w:sz w:val="22"/>
                <w:szCs w:val="22"/>
              </w:rPr>
              <w:t>Gbps</w:t>
            </w:r>
          </w:p>
        </w:tc>
        <w:tc>
          <w:tcPr>
            <w:tcW w:w="1620" w:type="dxa"/>
            <w:tcBorders>
              <w:top w:val="single" w:sz="6" w:space="0" w:color="auto"/>
              <w:left w:val="single" w:sz="6" w:space="0" w:color="auto"/>
              <w:right w:val="double" w:sz="6" w:space="0" w:color="auto"/>
            </w:tcBorders>
          </w:tcPr>
          <w:p w:rsidR="00DA393B" w:rsidRPr="00293A57" w:rsidP="004C752D" w14:paraId="7CB4F0A3" w14:textId="5C330560">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20</w:t>
            </w:r>
            <w:r w:rsidRPr="00293A57">
              <w:rPr>
                <w:rFonts w:ascii="Times New Roman" w:hAnsi="Times New Roman"/>
                <w:sz w:val="22"/>
                <w:szCs w:val="22"/>
              </w:rPr>
              <w:t>76</w:t>
            </w:r>
          </w:p>
        </w:tc>
      </w:tr>
      <w:tr w14:paraId="0ECAF6B6" w14:textId="77777777" w:rsidTr="003C0E91">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tcPr>
          <w:p w:rsidR="00BD2E8E" w:rsidRPr="005F6BC2" w:rsidP="00BD2E8E" w14:paraId="0FA0763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pacing w:val="-3"/>
                <w:szCs w:val="22"/>
              </w:rPr>
              <w:t>Submarine Cable Systems</w:t>
            </w:r>
          </w:p>
          <w:p w:rsidR="00BD2E8E" w:rsidRPr="005F6BC2" w:rsidP="00BD2E8E" w14:paraId="17A6D742" w14:textId="19E36B48">
            <w:pPr>
              <w:tabs>
                <w:tab w:val="left" w:pos="-720"/>
              </w:tabs>
              <w:suppressAutoHyphens/>
              <w:spacing w:before="90"/>
              <w:rPr>
                <w:szCs w:val="22"/>
              </w:rPr>
            </w:pPr>
            <w:r w:rsidRPr="005F6BC2">
              <w:rPr>
                <w:b/>
                <w:szCs w:val="22"/>
              </w:rPr>
              <w:t>(</w:t>
            </w:r>
            <w:r>
              <w:rPr>
                <w:b/>
                <w:szCs w:val="22"/>
              </w:rPr>
              <w:t xml:space="preserve">lit </w:t>
            </w:r>
            <w:r w:rsidRPr="005F6BC2">
              <w:rPr>
                <w:b/>
                <w:szCs w:val="22"/>
              </w:rPr>
              <w:t>capacity as of December 31, 201</w:t>
            </w:r>
            <w:r>
              <w:rPr>
                <w:b/>
                <w:szCs w:val="22"/>
              </w:rPr>
              <w:t>9</w:t>
            </w:r>
            <w:r w:rsidRPr="005F6BC2">
              <w:rPr>
                <w:b/>
                <w:szCs w:val="22"/>
              </w:rPr>
              <w:t>)</w:t>
            </w:r>
          </w:p>
        </w:tc>
        <w:tc>
          <w:tcPr>
            <w:tcW w:w="3600" w:type="dxa"/>
            <w:tcBorders>
              <w:top w:val="single" w:sz="6" w:space="0" w:color="auto"/>
              <w:left w:val="single" w:sz="6" w:space="0" w:color="auto"/>
            </w:tcBorders>
            <w:vAlign w:val="center"/>
          </w:tcPr>
          <w:p w:rsidR="00BD2E8E" w:rsidP="00BD2E8E" w14:paraId="769CC10F" w14:textId="77777777">
            <w:pPr>
              <w:tabs>
                <w:tab w:val="left" w:pos="-720"/>
              </w:tabs>
              <w:suppressAutoHyphens/>
              <w:spacing w:before="90" w:after="54"/>
              <w:jc w:val="center"/>
              <w:rPr>
                <w:bCs/>
                <w:szCs w:val="22"/>
              </w:rPr>
            </w:pPr>
          </w:p>
        </w:tc>
        <w:tc>
          <w:tcPr>
            <w:tcW w:w="1620" w:type="dxa"/>
            <w:tcBorders>
              <w:top w:val="single" w:sz="6" w:space="0" w:color="auto"/>
              <w:left w:val="single" w:sz="6" w:space="0" w:color="auto"/>
              <w:right w:val="double" w:sz="6" w:space="0" w:color="auto"/>
            </w:tcBorders>
          </w:tcPr>
          <w:p w:rsidR="00BD2E8E" w:rsidP="00BD2E8E" w14:paraId="76A76497" w14:textId="77777777">
            <w:pPr>
              <w:tabs>
                <w:tab w:val="center" w:pos="683"/>
              </w:tabs>
              <w:suppressAutoHyphens/>
              <w:spacing w:before="90" w:after="54"/>
              <w:jc w:val="center"/>
              <w:rPr>
                <w:rFonts w:ascii="Times New Roman" w:hAnsi="Times New Roman"/>
                <w:sz w:val="22"/>
                <w:szCs w:val="22"/>
              </w:rPr>
            </w:pPr>
          </w:p>
        </w:tc>
      </w:tr>
      <w:tr w14:paraId="12308D3E" w14:textId="77777777" w:rsidTr="00106673">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vAlign w:val="center"/>
          </w:tcPr>
          <w:p w:rsidR="00BD2E8E" w:rsidRPr="00293A57" w:rsidP="00BD2E8E" w14:paraId="13C53366" w14:textId="0609E43B">
            <w:pPr>
              <w:tabs>
                <w:tab w:val="left" w:pos="-720"/>
              </w:tabs>
              <w:suppressAutoHyphens/>
              <w:spacing w:before="90"/>
              <w:rPr>
                <w:rFonts w:ascii="Times New Roman" w:hAnsi="Times New Roman"/>
                <w:sz w:val="22"/>
                <w:szCs w:val="22"/>
              </w:rPr>
            </w:pPr>
            <w:r w:rsidRPr="005F6BC2">
              <w:rPr>
                <w:szCs w:val="22"/>
              </w:rPr>
              <w:t xml:space="preserve">Less than </w:t>
            </w:r>
            <w:r>
              <w:rPr>
                <w:szCs w:val="22"/>
              </w:rPr>
              <w:t>5</w:t>
            </w:r>
            <w:r w:rsidRPr="005F6BC2">
              <w:rPr>
                <w:szCs w:val="22"/>
              </w:rPr>
              <w:t>0 Gbps</w:t>
            </w:r>
          </w:p>
        </w:tc>
        <w:tc>
          <w:tcPr>
            <w:tcW w:w="3600" w:type="dxa"/>
            <w:tcBorders>
              <w:top w:val="single" w:sz="6" w:space="0" w:color="auto"/>
              <w:left w:val="single" w:sz="6" w:space="0" w:color="auto"/>
            </w:tcBorders>
            <w:vAlign w:val="center"/>
          </w:tcPr>
          <w:p w:rsidR="00BD2E8E" w:rsidRPr="00293A57" w:rsidP="00BD2E8E" w14:paraId="0F518E19" w14:textId="6F47D173">
            <w:pPr>
              <w:tabs>
                <w:tab w:val="left" w:pos="-720"/>
              </w:tabs>
              <w:suppressAutoHyphens/>
              <w:spacing w:before="90" w:after="54"/>
              <w:jc w:val="center"/>
              <w:rPr>
                <w:rFonts w:ascii="Times New Roman" w:hAnsi="Times New Roman"/>
                <w:sz w:val="22"/>
                <w:szCs w:val="22"/>
              </w:rPr>
            </w:pPr>
            <w:r>
              <w:rPr>
                <w:bCs/>
                <w:szCs w:val="22"/>
              </w:rPr>
              <w:t>$13,450</w:t>
            </w:r>
          </w:p>
        </w:tc>
        <w:tc>
          <w:tcPr>
            <w:tcW w:w="1620" w:type="dxa"/>
            <w:tcBorders>
              <w:top w:val="single" w:sz="6" w:space="0" w:color="auto"/>
              <w:left w:val="single" w:sz="6" w:space="0" w:color="auto"/>
              <w:right w:val="double" w:sz="6" w:space="0" w:color="auto"/>
            </w:tcBorders>
          </w:tcPr>
          <w:p w:rsidR="00BD2E8E" w:rsidRPr="00293A57" w:rsidP="00BD2E8E" w14:paraId="46C517D8" w14:textId="715B8F0C">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20</w:t>
            </w:r>
            <w:r w:rsidRPr="00293A57">
              <w:rPr>
                <w:rFonts w:ascii="Times New Roman" w:hAnsi="Times New Roman"/>
                <w:sz w:val="22"/>
                <w:szCs w:val="22"/>
              </w:rPr>
              <w:t>86</w:t>
            </w:r>
          </w:p>
        </w:tc>
      </w:tr>
      <w:tr w14:paraId="65BD364E" w14:textId="77777777" w:rsidTr="00106673">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vAlign w:val="center"/>
          </w:tcPr>
          <w:p w:rsidR="00BD2E8E" w:rsidRPr="00293A57" w:rsidP="00BD2E8E" w14:paraId="6BA739D8" w14:textId="4CFB5248">
            <w:pPr>
              <w:tabs>
                <w:tab w:val="left" w:pos="-720"/>
              </w:tabs>
              <w:suppressAutoHyphens/>
              <w:spacing w:before="90"/>
              <w:rPr>
                <w:rFonts w:ascii="Times New Roman" w:hAnsi="Times New Roman"/>
                <w:sz w:val="22"/>
                <w:szCs w:val="22"/>
              </w:rPr>
            </w:pPr>
            <w:r>
              <w:rPr>
                <w:szCs w:val="22"/>
              </w:rPr>
              <w:t>5</w:t>
            </w:r>
            <w:r w:rsidRPr="005F6BC2">
              <w:rPr>
                <w:szCs w:val="22"/>
              </w:rPr>
              <w:t>0 Gbps or greater, but less than 2</w:t>
            </w:r>
            <w:r>
              <w:rPr>
                <w:szCs w:val="22"/>
              </w:rPr>
              <w:t>50</w:t>
            </w:r>
            <w:r w:rsidRPr="005F6BC2">
              <w:rPr>
                <w:szCs w:val="22"/>
              </w:rPr>
              <w:t xml:space="preserve"> Gbps</w:t>
            </w:r>
          </w:p>
        </w:tc>
        <w:tc>
          <w:tcPr>
            <w:tcW w:w="3600" w:type="dxa"/>
            <w:tcBorders>
              <w:top w:val="single" w:sz="6" w:space="0" w:color="auto"/>
              <w:left w:val="single" w:sz="6" w:space="0" w:color="auto"/>
              <w:bottom w:val="single" w:sz="6" w:space="0" w:color="auto"/>
            </w:tcBorders>
            <w:vAlign w:val="center"/>
          </w:tcPr>
          <w:p w:rsidR="00BD2E8E" w:rsidRPr="00293A57" w:rsidP="00BD2E8E" w14:paraId="096307C3" w14:textId="445E056A">
            <w:pPr>
              <w:tabs>
                <w:tab w:val="left" w:pos="-720"/>
              </w:tabs>
              <w:suppressAutoHyphens/>
              <w:spacing w:before="90" w:after="54"/>
              <w:jc w:val="center"/>
              <w:rPr>
                <w:rFonts w:ascii="Times New Roman" w:hAnsi="Times New Roman"/>
                <w:sz w:val="22"/>
                <w:szCs w:val="22"/>
              </w:rPr>
            </w:pPr>
            <w:r w:rsidRPr="005F6BC2">
              <w:rPr>
                <w:bCs/>
                <w:szCs w:val="22"/>
              </w:rPr>
              <w:t>$</w:t>
            </w:r>
            <w:r>
              <w:rPr>
                <w:bCs/>
                <w:szCs w:val="22"/>
              </w:rPr>
              <w:t>26,875</w:t>
            </w:r>
          </w:p>
        </w:tc>
        <w:tc>
          <w:tcPr>
            <w:tcW w:w="1620" w:type="dxa"/>
            <w:tcBorders>
              <w:top w:val="single" w:sz="6" w:space="0" w:color="auto"/>
              <w:left w:val="single" w:sz="6" w:space="0" w:color="auto"/>
              <w:bottom w:val="single" w:sz="6" w:space="0" w:color="auto"/>
              <w:right w:val="double" w:sz="6" w:space="0" w:color="auto"/>
            </w:tcBorders>
          </w:tcPr>
          <w:p w:rsidR="00BD2E8E" w:rsidRPr="00293A57" w:rsidP="00BD2E8E" w14:paraId="372D73B8" w14:textId="42A83E30">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20</w:t>
            </w:r>
            <w:r w:rsidRPr="00293A57">
              <w:rPr>
                <w:rFonts w:ascii="Times New Roman" w:hAnsi="Times New Roman"/>
                <w:sz w:val="22"/>
                <w:szCs w:val="22"/>
              </w:rPr>
              <w:t>87</w:t>
            </w:r>
          </w:p>
        </w:tc>
      </w:tr>
      <w:tr w14:paraId="6CF45B8E" w14:textId="77777777" w:rsidTr="00106673">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vAlign w:val="center"/>
          </w:tcPr>
          <w:p w:rsidR="00BD2E8E" w:rsidRPr="00293A57" w:rsidP="00BD2E8E" w14:paraId="26D92DB9" w14:textId="1DEFF74C">
            <w:pPr>
              <w:tabs>
                <w:tab w:val="left" w:pos="-720"/>
              </w:tabs>
              <w:suppressAutoHyphens/>
              <w:spacing w:before="90"/>
              <w:rPr>
                <w:rFonts w:ascii="Times New Roman" w:hAnsi="Times New Roman"/>
                <w:sz w:val="22"/>
                <w:szCs w:val="22"/>
              </w:rPr>
            </w:pPr>
            <w:r>
              <w:rPr>
                <w:szCs w:val="22"/>
              </w:rPr>
              <w:t>250</w:t>
            </w:r>
            <w:r w:rsidRPr="005F6BC2">
              <w:rPr>
                <w:szCs w:val="22"/>
              </w:rPr>
              <w:t xml:space="preserve"> Gbps or greater, but less than </w:t>
            </w:r>
            <w:r>
              <w:rPr>
                <w:szCs w:val="22"/>
              </w:rPr>
              <w:t>1,50</w:t>
            </w:r>
            <w:r w:rsidRPr="005F6BC2">
              <w:rPr>
                <w:szCs w:val="22"/>
              </w:rPr>
              <w:t>0 Gbps</w:t>
            </w:r>
          </w:p>
        </w:tc>
        <w:tc>
          <w:tcPr>
            <w:tcW w:w="3600" w:type="dxa"/>
            <w:tcBorders>
              <w:top w:val="single" w:sz="6" w:space="0" w:color="auto"/>
              <w:left w:val="single" w:sz="6" w:space="0" w:color="auto"/>
              <w:bottom w:val="single" w:sz="6" w:space="0" w:color="auto"/>
            </w:tcBorders>
            <w:vAlign w:val="center"/>
          </w:tcPr>
          <w:p w:rsidR="00BD2E8E" w:rsidRPr="00293A57" w:rsidP="00BD2E8E" w14:paraId="74BBCE72" w14:textId="0C1D73B0">
            <w:pPr>
              <w:tabs>
                <w:tab w:val="left" w:pos="-720"/>
              </w:tabs>
              <w:suppressAutoHyphens/>
              <w:spacing w:before="90" w:after="54"/>
              <w:jc w:val="center"/>
              <w:rPr>
                <w:rFonts w:ascii="Times New Roman" w:hAnsi="Times New Roman"/>
                <w:sz w:val="22"/>
                <w:szCs w:val="22"/>
              </w:rPr>
            </w:pPr>
            <w:r w:rsidRPr="005F6BC2">
              <w:rPr>
                <w:bCs/>
                <w:szCs w:val="22"/>
              </w:rPr>
              <w:t>$</w:t>
            </w:r>
            <w:r>
              <w:rPr>
                <w:bCs/>
                <w:szCs w:val="22"/>
              </w:rPr>
              <w:t>53,750</w:t>
            </w:r>
          </w:p>
        </w:tc>
        <w:tc>
          <w:tcPr>
            <w:tcW w:w="1620" w:type="dxa"/>
            <w:tcBorders>
              <w:top w:val="single" w:sz="6" w:space="0" w:color="auto"/>
              <w:left w:val="single" w:sz="6" w:space="0" w:color="auto"/>
              <w:bottom w:val="single" w:sz="6" w:space="0" w:color="auto"/>
              <w:right w:val="double" w:sz="6" w:space="0" w:color="auto"/>
            </w:tcBorders>
          </w:tcPr>
          <w:p w:rsidR="00BD2E8E" w:rsidRPr="00293A57" w:rsidP="00BD2E8E" w14:paraId="63EBED1D" w14:textId="75CCB9BE">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20</w:t>
            </w:r>
            <w:r w:rsidRPr="00293A57">
              <w:rPr>
                <w:rFonts w:ascii="Times New Roman" w:hAnsi="Times New Roman"/>
                <w:sz w:val="22"/>
                <w:szCs w:val="22"/>
              </w:rPr>
              <w:t>88</w:t>
            </w:r>
          </w:p>
        </w:tc>
      </w:tr>
      <w:tr w14:paraId="6E5EE36D" w14:textId="77777777" w:rsidTr="00106673">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vAlign w:val="center"/>
          </w:tcPr>
          <w:p w:rsidR="00BD2E8E" w:rsidRPr="00293A57" w:rsidP="00BD2E8E" w14:paraId="7569579C" w14:textId="7B6E571B">
            <w:pPr>
              <w:tabs>
                <w:tab w:val="left" w:pos="-720"/>
              </w:tabs>
              <w:suppressAutoHyphens/>
              <w:spacing w:before="90"/>
              <w:rPr>
                <w:rFonts w:ascii="Times New Roman" w:hAnsi="Times New Roman"/>
                <w:sz w:val="22"/>
                <w:szCs w:val="22"/>
              </w:rPr>
            </w:pPr>
            <w:r>
              <w:rPr>
                <w:szCs w:val="22"/>
              </w:rPr>
              <w:t>1,50</w:t>
            </w:r>
            <w:r w:rsidRPr="005F6BC2">
              <w:rPr>
                <w:szCs w:val="22"/>
              </w:rPr>
              <w:t xml:space="preserve">0 Gbps or greater, but less than </w:t>
            </w:r>
            <w:r>
              <w:rPr>
                <w:szCs w:val="22"/>
              </w:rPr>
              <w:t>3</w:t>
            </w:r>
            <w:r w:rsidRPr="005F6BC2">
              <w:rPr>
                <w:szCs w:val="22"/>
              </w:rPr>
              <w:t>,</w:t>
            </w:r>
            <w:r>
              <w:rPr>
                <w:szCs w:val="22"/>
              </w:rPr>
              <w:t>500</w:t>
            </w:r>
            <w:r w:rsidRPr="005F6BC2">
              <w:rPr>
                <w:szCs w:val="22"/>
              </w:rPr>
              <w:t xml:space="preserve"> Gbps</w:t>
            </w:r>
          </w:p>
        </w:tc>
        <w:tc>
          <w:tcPr>
            <w:tcW w:w="3600" w:type="dxa"/>
            <w:tcBorders>
              <w:top w:val="single" w:sz="6" w:space="0" w:color="auto"/>
              <w:left w:val="single" w:sz="6" w:space="0" w:color="auto"/>
              <w:bottom w:val="single" w:sz="6" w:space="0" w:color="auto"/>
            </w:tcBorders>
            <w:vAlign w:val="center"/>
          </w:tcPr>
          <w:p w:rsidR="00BD2E8E" w:rsidRPr="00293A57" w:rsidP="00BD2E8E" w14:paraId="6552F3C8" w14:textId="52B6CB39">
            <w:pPr>
              <w:tabs>
                <w:tab w:val="left" w:pos="-720"/>
              </w:tabs>
              <w:suppressAutoHyphens/>
              <w:spacing w:before="90" w:after="54"/>
              <w:jc w:val="center"/>
              <w:rPr>
                <w:rFonts w:ascii="Times New Roman" w:hAnsi="Times New Roman"/>
                <w:sz w:val="22"/>
                <w:szCs w:val="22"/>
              </w:rPr>
            </w:pPr>
            <w:r w:rsidRPr="005F6BC2">
              <w:rPr>
                <w:bCs/>
                <w:szCs w:val="22"/>
              </w:rPr>
              <w:t>$</w:t>
            </w:r>
            <w:r>
              <w:rPr>
                <w:bCs/>
                <w:szCs w:val="22"/>
              </w:rPr>
              <w:t>107,500</w:t>
            </w:r>
          </w:p>
        </w:tc>
        <w:tc>
          <w:tcPr>
            <w:tcW w:w="1620" w:type="dxa"/>
            <w:tcBorders>
              <w:top w:val="single" w:sz="6" w:space="0" w:color="auto"/>
              <w:left w:val="single" w:sz="6" w:space="0" w:color="auto"/>
              <w:bottom w:val="single" w:sz="6" w:space="0" w:color="auto"/>
              <w:right w:val="double" w:sz="6" w:space="0" w:color="auto"/>
            </w:tcBorders>
          </w:tcPr>
          <w:p w:rsidR="00BD2E8E" w:rsidRPr="00293A57" w:rsidP="00BD2E8E" w14:paraId="3A5F2017" w14:textId="13F29A76">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20</w:t>
            </w:r>
            <w:r w:rsidRPr="00293A57">
              <w:rPr>
                <w:rFonts w:ascii="Times New Roman" w:hAnsi="Times New Roman"/>
                <w:sz w:val="22"/>
                <w:szCs w:val="22"/>
              </w:rPr>
              <w:t>89</w:t>
            </w:r>
          </w:p>
        </w:tc>
      </w:tr>
      <w:tr w14:paraId="22DF3D3D" w14:textId="77777777" w:rsidTr="00106673">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vAlign w:val="center"/>
          </w:tcPr>
          <w:p w:rsidR="00BD2E8E" w:rsidRPr="00293A57" w:rsidP="00BD2E8E" w14:paraId="4947BAF7" w14:textId="4242A00F">
            <w:pPr>
              <w:tabs>
                <w:tab w:val="left" w:pos="-720"/>
              </w:tabs>
              <w:suppressAutoHyphens/>
              <w:spacing w:before="90"/>
              <w:rPr>
                <w:rFonts w:ascii="Times New Roman" w:hAnsi="Times New Roman"/>
                <w:sz w:val="22"/>
                <w:szCs w:val="22"/>
              </w:rPr>
            </w:pPr>
            <w:r>
              <w:rPr>
                <w:szCs w:val="22"/>
              </w:rPr>
              <w:t>3</w:t>
            </w:r>
            <w:r w:rsidRPr="005F6BC2">
              <w:rPr>
                <w:szCs w:val="22"/>
              </w:rPr>
              <w:t>,</w:t>
            </w:r>
            <w:r>
              <w:rPr>
                <w:szCs w:val="22"/>
              </w:rPr>
              <w:t>500</w:t>
            </w:r>
            <w:r w:rsidRPr="005F6BC2">
              <w:rPr>
                <w:szCs w:val="22"/>
              </w:rPr>
              <w:t xml:space="preserve"> Gbps or greater, but less than </w:t>
            </w:r>
            <w:r>
              <w:rPr>
                <w:szCs w:val="22"/>
              </w:rPr>
              <w:t>6</w:t>
            </w:r>
            <w:r w:rsidRPr="005F6BC2">
              <w:rPr>
                <w:szCs w:val="22"/>
              </w:rPr>
              <w:t>,</w:t>
            </w:r>
            <w:r>
              <w:rPr>
                <w:szCs w:val="22"/>
              </w:rPr>
              <w:t>50</w:t>
            </w:r>
            <w:r w:rsidRPr="005F6BC2">
              <w:rPr>
                <w:szCs w:val="22"/>
              </w:rPr>
              <w:t>0 Gbps</w:t>
            </w:r>
          </w:p>
        </w:tc>
        <w:tc>
          <w:tcPr>
            <w:tcW w:w="3600" w:type="dxa"/>
            <w:tcBorders>
              <w:top w:val="single" w:sz="6" w:space="0" w:color="auto"/>
              <w:left w:val="single" w:sz="6" w:space="0" w:color="auto"/>
              <w:bottom w:val="single" w:sz="6" w:space="0" w:color="auto"/>
            </w:tcBorders>
            <w:vAlign w:val="center"/>
          </w:tcPr>
          <w:p w:rsidR="00BD2E8E" w:rsidRPr="00293A57" w:rsidP="00BD2E8E" w14:paraId="5FDC84FF" w14:textId="7A2917C2">
            <w:pPr>
              <w:tabs>
                <w:tab w:val="left" w:pos="-720"/>
              </w:tabs>
              <w:suppressAutoHyphens/>
              <w:spacing w:before="90" w:after="54"/>
              <w:jc w:val="center"/>
              <w:rPr>
                <w:rFonts w:ascii="Times New Roman" w:hAnsi="Times New Roman"/>
                <w:sz w:val="22"/>
                <w:szCs w:val="22"/>
              </w:rPr>
            </w:pPr>
            <w:r w:rsidRPr="005F6BC2">
              <w:rPr>
                <w:bCs/>
                <w:szCs w:val="22"/>
              </w:rPr>
              <w:t>$</w:t>
            </w:r>
            <w:r>
              <w:rPr>
                <w:bCs/>
                <w:szCs w:val="22"/>
              </w:rPr>
              <w:t>215,000</w:t>
            </w:r>
          </w:p>
        </w:tc>
        <w:tc>
          <w:tcPr>
            <w:tcW w:w="1620" w:type="dxa"/>
            <w:tcBorders>
              <w:top w:val="single" w:sz="6" w:space="0" w:color="auto"/>
              <w:left w:val="single" w:sz="6" w:space="0" w:color="auto"/>
              <w:bottom w:val="single" w:sz="6" w:space="0" w:color="auto"/>
              <w:right w:val="double" w:sz="6" w:space="0" w:color="auto"/>
            </w:tcBorders>
          </w:tcPr>
          <w:p w:rsidR="00BD2E8E" w:rsidRPr="00293A57" w:rsidP="00BD2E8E" w14:paraId="29E720BA" w14:textId="3C0EB65F">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20</w:t>
            </w:r>
            <w:r w:rsidRPr="00293A57">
              <w:rPr>
                <w:rFonts w:ascii="Times New Roman" w:hAnsi="Times New Roman"/>
                <w:sz w:val="22"/>
                <w:szCs w:val="22"/>
              </w:rPr>
              <w:t>90</w:t>
            </w:r>
          </w:p>
        </w:tc>
      </w:tr>
      <w:tr w14:paraId="07386AA0" w14:textId="77777777" w:rsidTr="00106673">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double" w:sz="6" w:space="0" w:color="auto"/>
            </w:tcBorders>
            <w:vAlign w:val="center"/>
          </w:tcPr>
          <w:p w:rsidR="00BD2E8E" w:rsidP="00BD2E8E" w14:paraId="558B2250" w14:textId="11033BC4">
            <w:pPr>
              <w:tabs>
                <w:tab w:val="left" w:pos="-720"/>
              </w:tabs>
              <w:suppressAutoHyphens/>
              <w:spacing w:before="90"/>
              <w:rPr>
                <w:rFonts w:ascii="Times New Roman" w:hAnsi="Times New Roman"/>
                <w:sz w:val="22"/>
                <w:szCs w:val="22"/>
              </w:rPr>
            </w:pPr>
            <w:r>
              <w:rPr>
                <w:szCs w:val="22"/>
              </w:rPr>
              <w:t>6</w:t>
            </w:r>
            <w:r w:rsidRPr="005F6BC2">
              <w:rPr>
                <w:szCs w:val="22"/>
              </w:rPr>
              <w:t>,</w:t>
            </w:r>
            <w:r>
              <w:rPr>
                <w:szCs w:val="22"/>
              </w:rPr>
              <w:t>5</w:t>
            </w:r>
            <w:r w:rsidRPr="005F6BC2">
              <w:rPr>
                <w:szCs w:val="22"/>
              </w:rPr>
              <w:t>00 Gbps or greater</w:t>
            </w:r>
          </w:p>
        </w:tc>
        <w:tc>
          <w:tcPr>
            <w:tcW w:w="3600" w:type="dxa"/>
            <w:tcBorders>
              <w:top w:val="single" w:sz="6" w:space="0" w:color="auto"/>
              <w:left w:val="single" w:sz="6" w:space="0" w:color="auto"/>
              <w:bottom w:val="double" w:sz="6" w:space="0" w:color="auto"/>
            </w:tcBorders>
            <w:vAlign w:val="center"/>
          </w:tcPr>
          <w:p w:rsidR="00BD2E8E" w:rsidRPr="00293A57" w:rsidP="00BD2E8E" w14:paraId="55B032B3" w14:textId="158175D9">
            <w:pPr>
              <w:tabs>
                <w:tab w:val="left" w:pos="-720"/>
              </w:tabs>
              <w:suppressAutoHyphens/>
              <w:spacing w:before="90" w:after="54"/>
              <w:jc w:val="center"/>
              <w:rPr>
                <w:rFonts w:ascii="Times New Roman" w:hAnsi="Times New Roman"/>
                <w:sz w:val="22"/>
                <w:szCs w:val="22"/>
              </w:rPr>
            </w:pPr>
            <w:r w:rsidRPr="005F6BC2">
              <w:rPr>
                <w:bCs/>
                <w:szCs w:val="22"/>
              </w:rPr>
              <w:t>$</w:t>
            </w:r>
            <w:r>
              <w:rPr>
                <w:bCs/>
                <w:szCs w:val="22"/>
              </w:rPr>
              <w:t>430,000</w:t>
            </w:r>
          </w:p>
        </w:tc>
        <w:tc>
          <w:tcPr>
            <w:tcW w:w="1620" w:type="dxa"/>
            <w:tcBorders>
              <w:top w:val="single" w:sz="6" w:space="0" w:color="auto"/>
              <w:left w:val="single" w:sz="6" w:space="0" w:color="auto"/>
              <w:bottom w:val="double" w:sz="6" w:space="0" w:color="auto"/>
              <w:right w:val="double" w:sz="6" w:space="0" w:color="auto"/>
            </w:tcBorders>
          </w:tcPr>
          <w:p w:rsidR="00BD2E8E" w:rsidRPr="00293A57" w:rsidP="00BD2E8E" w14:paraId="6395DC7C" w14:textId="29FBC6C7">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2009</w:t>
            </w:r>
          </w:p>
        </w:tc>
      </w:tr>
    </w:tbl>
    <w:p w:rsidR="00DA393B" w:rsidRPr="00293A57" w14:paraId="693D1371" w14:textId="77777777">
      <w:pPr>
        <w:ind w:right="47"/>
        <w:rPr>
          <w:rFonts w:ascii="Times New Roman" w:hAnsi="Times New Roman"/>
          <w:sz w:val="22"/>
          <w:szCs w:val="22"/>
        </w:rPr>
      </w:pPr>
    </w:p>
    <w:p w:rsidR="00DA393B" w:rsidRPr="00293A57" w14:paraId="671FBE6D" w14:textId="77777777">
      <w:pPr>
        <w:pStyle w:val="FootnoteText"/>
        <w:tabs>
          <w:tab w:val="left" w:pos="-720"/>
        </w:tabs>
        <w:suppressAutoHyphens/>
        <w:ind w:right="47"/>
        <w:rPr>
          <w:rFonts w:ascii="Times New Roman" w:hAnsi="Times New Roman"/>
          <w:sz w:val="22"/>
          <w:szCs w:val="22"/>
        </w:rPr>
      </w:pPr>
      <w:r w:rsidRPr="00293A57">
        <w:rPr>
          <w:rFonts w:ascii="Times New Roman" w:hAnsi="Times New Roman"/>
          <w:sz w:val="22"/>
          <w:szCs w:val="22"/>
        </w:rPr>
        <w:t xml:space="preserve">* Equivalent circuits include the 64 KB circuit equivalent of larger bit stream circuits (e.g., the 64 KB equivalent of a 2.048 MB circuit is 30) and analog circuits such as 3 and 4 </w:t>
      </w:r>
      <w:r w:rsidRPr="00293A57">
        <w:rPr>
          <w:rFonts w:ascii="Times New Roman" w:hAnsi="Times New Roman"/>
          <w:sz w:val="22"/>
          <w:szCs w:val="22"/>
        </w:rPr>
        <w:t>KHz</w:t>
      </w:r>
      <w:r w:rsidRPr="00293A57">
        <w:rPr>
          <w:rFonts w:ascii="Times New Roman" w:hAnsi="Times New Roman"/>
          <w:sz w:val="22"/>
          <w:szCs w:val="22"/>
        </w:rPr>
        <w:t xml:space="preserve"> circuits used for international services.  The number of equivalent 64 KB circuits for analog television channels is given by the following table:</w:t>
      </w:r>
    </w:p>
    <w:p w:rsidR="00DA393B" w:rsidRPr="00293A57" w14:paraId="47D93669" w14:textId="77777777">
      <w:pPr>
        <w:pStyle w:val="FootnoteText"/>
        <w:tabs>
          <w:tab w:val="left" w:pos="-720"/>
        </w:tabs>
        <w:suppressAutoHyphens/>
        <w:ind w:right="47"/>
        <w:rPr>
          <w:rFonts w:ascii="Times New Roman" w:hAnsi="Times New Roman"/>
          <w:sz w:val="22"/>
          <w:szCs w:val="22"/>
        </w:rPr>
      </w:pPr>
    </w:p>
    <w:tbl>
      <w:tblPr>
        <w:tblW w:w="9809" w:type="dxa"/>
        <w:tblInd w:w="120" w:type="dxa"/>
        <w:tblLayout w:type="fixed"/>
        <w:tblCellMar>
          <w:left w:w="120" w:type="dxa"/>
          <w:right w:w="120" w:type="dxa"/>
        </w:tblCellMar>
        <w:tblLook w:val="0000"/>
      </w:tblPr>
      <w:tblGrid>
        <w:gridCol w:w="5044"/>
        <w:gridCol w:w="4765"/>
      </w:tblGrid>
      <w:tr w14:paraId="655AD992" w14:textId="77777777">
        <w:tblPrEx>
          <w:tblW w:w="9809" w:type="dxa"/>
          <w:tblInd w:w="120" w:type="dxa"/>
          <w:tblLayout w:type="fixed"/>
          <w:tblCellMar>
            <w:left w:w="120" w:type="dxa"/>
            <w:right w:w="120" w:type="dxa"/>
          </w:tblCellMar>
          <w:tblLook w:val="0000"/>
        </w:tblPrEx>
        <w:tc>
          <w:tcPr>
            <w:tcW w:w="5044" w:type="dxa"/>
            <w:tcBorders>
              <w:top w:val="double" w:sz="6" w:space="0" w:color="auto"/>
              <w:left w:val="double" w:sz="6" w:space="0" w:color="auto"/>
              <w:bottom w:val="double" w:sz="6" w:space="0" w:color="auto"/>
            </w:tcBorders>
          </w:tcPr>
          <w:p w:rsidR="00DA393B" w:rsidRPr="00293A57" w14:paraId="730939AD" w14:textId="77777777">
            <w:pPr>
              <w:pStyle w:val="FootnoteText"/>
              <w:tabs>
                <w:tab w:val="left" w:pos="-720"/>
              </w:tabs>
              <w:suppressAutoHyphens/>
              <w:spacing w:before="90" w:after="54"/>
              <w:jc w:val="center"/>
              <w:rPr>
                <w:rFonts w:ascii="Times New Roman" w:hAnsi="Times New Roman"/>
                <w:sz w:val="22"/>
                <w:szCs w:val="22"/>
              </w:rPr>
            </w:pPr>
            <w:r>
              <w:rPr>
                <w:rFonts w:ascii="Times New Roman" w:hAnsi="Times New Roman"/>
                <w:sz w:val="22"/>
                <w:szCs w:val="22"/>
              </w:rPr>
              <w:fldChar w:fldCharType="begin"/>
            </w:r>
            <w:r w:rsidRPr="00293A57">
              <w:rPr>
                <w:rFonts w:ascii="Times New Roman" w:hAnsi="Times New Roman"/>
                <w:sz w:val="22"/>
                <w:szCs w:val="22"/>
              </w:rPr>
              <w:instrText xml:space="preserve">PRIVATE </w:instrText>
            </w:r>
            <w:r>
              <w:rPr>
                <w:rFonts w:ascii="Times New Roman" w:hAnsi="Times New Roman"/>
                <w:sz w:val="22"/>
                <w:szCs w:val="22"/>
              </w:rPr>
              <w:fldChar w:fldCharType="end"/>
            </w:r>
            <w:r w:rsidRPr="00293A57">
              <w:rPr>
                <w:rFonts w:ascii="Times New Roman" w:hAnsi="Times New Roman"/>
                <w:sz w:val="22"/>
                <w:szCs w:val="22"/>
              </w:rPr>
              <w:t>ANALOG TELEVISION CHANNEL SIZE (MHz)</w:t>
            </w:r>
          </w:p>
        </w:tc>
        <w:tc>
          <w:tcPr>
            <w:tcW w:w="4765" w:type="dxa"/>
            <w:tcBorders>
              <w:top w:val="double" w:sz="6" w:space="0" w:color="auto"/>
              <w:left w:val="single" w:sz="6" w:space="0" w:color="auto"/>
              <w:bottom w:val="double" w:sz="6" w:space="0" w:color="auto"/>
              <w:right w:val="double" w:sz="6" w:space="0" w:color="auto"/>
            </w:tcBorders>
          </w:tcPr>
          <w:p w:rsidR="00DA393B" w:rsidRPr="00293A57" w14:paraId="43F69264"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NO. OF EQUIVALENT 64 KB CIRCUITS</w:t>
            </w:r>
          </w:p>
        </w:tc>
      </w:tr>
      <w:tr w14:paraId="754AA298" w14:textId="77777777">
        <w:tblPrEx>
          <w:tblW w:w="9809" w:type="dxa"/>
          <w:tblInd w:w="120" w:type="dxa"/>
          <w:tblLayout w:type="fixed"/>
          <w:tblCellMar>
            <w:left w:w="120" w:type="dxa"/>
            <w:right w:w="120" w:type="dxa"/>
          </w:tblCellMar>
          <w:tblLook w:val="0000"/>
        </w:tblPrEx>
        <w:tc>
          <w:tcPr>
            <w:tcW w:w="5044" w:type="dxa"/>
            <w:tcBorders>
              <w:left w:val="double" w:sz="6" w:space="0" w:color="auto"/>
            </w:tcBorders>
          </w:tcPr>
          <w:p w:rsidR="00DA393B" w:rsidRPr="00293A57" w14:paraId="6959AEAC"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36</w:t>
            </w:r>
          </w:p>
        </w:tc>
        <w:tc>
          <w:tcPr>
            <w:tcW w:w="4765" w:type="dxa"/>
            <w:tcBorders>
              <w:left w:val="single" w:sz="6" w:space="0" w:color="auto"/>
              <w:right w:val="double" w:sz="6" w:space="0" w:color="auto"/>
            </w:tcBorders>
          </w:tcPr>
          <w:p w:rsidR="00DA393B" w:rsidRPr="00293A57" w14:paraId="308EE742"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630</w:t>
            </w:r>
          </w:p>
        </w:tc>
      </w:tr>
      <w:tr w14:paraId="530DAEB9" w14:textId="77777777">
        <w:tblPrEx>
          <w:tblW w:w="9809" w:type="dxa"/>
          <w:tblInd w:w="120" w:type="dxa"/>
          <w:tblLayout w:type="fixed"/>
          <w:tblCellMar>
            <w:left w:w="120" w:type="dxa"/>
            <w:right w:w="120" w:type="dxa"/>
          </w:tblCellMar>
          <w:tblLook w:val="0000"/>
        </w:tblPrEx>
        <w:tc>
          <w:tcPr>
            <w:tcW w:w="5044" w:type="dxa"/>
            <w:tcBorders>
              <w:top w:val="single" w:sz="6" w:space="0" w:color="auto"/>
              <w:left w:val="double" w:sz="6" w:space="0" w:color="auto"/>
            </w:tcBorders>
          </w:tcPr>
          <w:p w:rsidR="00DA393B" w:rsidRPr="00293A57" w14:paraId="4B4C9655"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24</w:t>
            </w:r>
          </w:p>
        </w:tc>
        <w:tc>
          <w:tcPr>
            <w:tcW w:w="4765" w:type="dxa"/>
            <w:tcBorders>
              <w:top w:val="single" w:sz="6" w:space="0" w:color="auto"/>
              <w:left w:val="single" w:sz="6" w:space="0" w:color="auto"/>
              <w:right w:val="double" w:sz="6" w:space="0" w:color="auto"/>
            </w:tcBorders>
          </w:tcPr>
          <w:p w:rsidR="00DA393B" w:rsidRPr="00293A57" w14:paraId="5430111F"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288</w:t>
            </w:r>
          </w:p>
        </w:tc>
      </w:tr>
      <w:tr w14:paraId="28C2DF35" w14:textId="77777777">
        <w:tblPrEx>
          <w:tblW w:w="9809" w:type="dxa"/>
          <w:tblInd w:w="120" w:type="dxa"/>
          <w:tblLayout w:type="fixed"/>
          <w:tblCellMar>
            <w:left w:w="120" w:type="dxa"/>
            <w:right w:w="120" w:type="dxa"/>
          </w:tblCellMar>
          <w:tblLook w:val="0000"/>
        </w:tblPrEx>
        <w:tc>
          <w:tcPr>
            <w:tcW w:w="5044" w:type="dxa"/>
            <w:tcBorders>
              <w:top w:val="single" w:sz="6" w:space="0" w:color="auto"/>
              <w:left w:val="double" w:sz="6" w:space="0" w:color="auto"/>
              <w:bottom w:val="double" w:sz="6" w:space="0" w:color="auto"/>
            </w:tcBorders>
          </w:tcPr>
          <w:p w:rsidR="00DA393B" w:rsidRPr="00293A57" w14:paraId="4EF4CE97"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18</w:t>
            </w:r>
          </w:p>
        </w:tc>
        <w:tc>
          <w:tcPr>
            <w:tcW w:w="4765" w:type="dxa"/>
            <w:tcBorders>
              <w:top w:val="single" w:sz="6" w:space="0" w:color="auto"/>
              <w:left w:val="single" w:sz="6" w:space="0" w:color="auto"/>
              <w:bottom w:val="double" w:sz="6" w:space="0" w:color="auto"/>
              <w:right w:val="double" w:sz="6" w:space="0" w:color="auto"/>
            </w:tcBorders>
          </w:tcPr>
          <w:p w:rsidR="00DA393B" w:rsidRPr="00293A57" w14:paraId="20A65977"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240</w:t>
            </w:r>
          </w:p>
        </w:tc>
      </w:tr>
    </w:tbl>
    <w:p w:rsidR="00DA393B" w:rsidRPr="00293A57" w14:paraId="56F9B7D7" w14:textId="77777777">
      <w:pPr>
        <w:pStyle w:val="FootnoteText"/>
        <w:tabs>
          <w:tab w:val="left" w:pos="-720"/>
        </w:tabs>
        <w:suppressAutoHyphens/>
        <w:spacing w:after="0"/>
        <w:ind w:left="-1440" w:right="-1440"/>
        <w:jc w:val="center"/>
        <w:rPr>
          <w:rFonts w:ascii="Times New Roman" w:hAnsi="Times New Roman"/>
          <w:sz w:val="22"/>
          <w:szCs w:val="22"/>
          <w:u w:val="single"/>
        </w:rPr>
      </w:pPr>
    </w:p>
    <w:p w:rsidR="00DA393B" w:rsidRPr="00293A57" w14:paraId="450E86CD"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u w:val="single"/>
        </w:rPr>
        <w:t xml:space="preserve">Actual Speed </w:t>
      </w:r>
      <w:r w:rsidRPr="00293A57">
        <w:rPr>
          <w:rFonts w:ascii="Times New Roman" w:hAnsi="Times New Roman"/>
          <w:sz w:val="22"/>
          <w:szCs w:val="22"/>
        </w:rPr>
        <w:t xml:space="preserve">             </w:t>
      </w:r>
      <w:r w:rsidRPr="00293A57">
        <w:rPr>
          <w:rFonts w:ascii="Times New Roman" w:hAnsi="Times New Roman"/>
          <w:sz w:val="22"/>
          <w:szCs w:val="22"/>
          <w:u w:val="single"/>
        </w:rPr>
        <w:t xml:space="preserve">in 64 </w:t>
      </w:r>
      <w:r w:rsidRPr="00293A57">
        <w:rPr>
          <w:rFonts w:ascii="Times New Roman" w:hAnsi="Times New Roman"/>
          <w:sz w:val="22"/>
          <w:szCs w:val="22"/>
          <w:u w:val="single"/>
        </w:rPr>
        <w:t>Kbps  Units</w:t>
      </w:r>
    </w:p>
    <w:p w:rsidR="00DA393B" w:rsidRPr="00293A57" w14:paraId="59563C30"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T</w:t>
      </w:r>
      <w:r w:rsidRPr="00293A57">
        <w:rPr>
          <w:rFonts w:ascii="Times New Roman" w:hAnsi="Times New Roman"/>
          <w:sz w:val="22"/>
          <w:szCs w:val="22"/>
        </w:rPr>
        <w:noBreakHyphen/>
        <w:t>1                              24</w:t>
      </w:r>
    </w:p>
    <w:p w:rsidR="00DA393B" w:rsidRPr="00293A57" w14:paraId="5C4FF5D9"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E</w:t>
      </w:r>
      <w:r w:rsidRPr="00293A57">
        <w:rPr>
          <w:rFonts w:ascii="Times New Roman" w:hAnsi="Times New Roman"/>
          <w:sz w:val="22"/>
          <w:szCs w:val="22"/>
        </w:rPr>
        <w:noBreakHyphen/>
        <w:t>1                              30</w:t>
      </w:r>
    </w:p>
    <w:p w:rsidR="00DA393B" w:rsidRPr="00293A57" w14:paraId="02975BB4"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DS</w:t>
      </w:r>
      <w:r w:rsidRPr="00293A57">
        <w:rPr>
          <w:rFonts w:ascii="Times New Roman" w:hAnsi="Times New Roman"/>
          <w:sz w:val="22"/>
          <w:szCs w:val="22"/>
        </w:rPr>
        <w:noBreakHyphen/>
        <w:t>3                          630</w:t>
      </w:r>
    </w:p>
    <w:p w:rsidR="00DA393B" w:rsidRPr="00293A57" w14:paraId="03A5C204"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STM                        1,890</w:t>
      </w:r>
    </w:p>
    <w:p w:rsidR="00DA393B" w:rsidRPr="00293A57" w14:paraId="0910BAB9"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5 Gbps                       60,480</w:t>
      </w:r>
    </w:p>
    <w:p w:rsidR="00DA393B" w:rsidRPr="00293A57" w14:paraId="61D7F634"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10 Gbps                    120,960</w:t>
      </w:r>
    </w:p>
    <w:p w:rsidR="0064332E" w:rsidP="0064332E" w14:paraId="3DA24A97" w14:textId="77777777">
      <w:pPr>
        <w:pStyle w:val="ParaNum0"/>
        <w:numPr>
          <w:ilvl w:val="0"/>
          <w:numId w:val="0"/>
        </w:numPr>
        <w:rPr>
          <w:b/>
          <w:szCs w:val="22"/>
        </w:rPr>
      </w:pPr>
    </w:p>
    <w:p w:rsidR="00DA393B" w:rsidRPr="00293A57" w:rsidP="0064332E" w14:paraId="57825810" w14:textId="5A850F21">
      <w:pPr>
        <w:pStyle w:val="ParaNum0"/>
        <w:numPr>
          <w:ilvl w:val="0"/>
          <w:numId w:val="0"/>
        </w:numPr>
        <w:jc w:val="center"/>
        <w:rPr>
          <w:b/>
          <w:szCs w:val="22"/>
        </w:rPr>
      </w:pPr>
      <w:r w:rsidRPr="00293A57">
        <w:rPr>
          <w:b/>
          <w:szCs w:val="22"/>
        </w:rPr>
        <w:t>MANDATORY USE OF FEE FILER</w:t>
      </w:r>
    </w:p>
    <w:p w:rsidR="00C11980" w:rsidRPr="00C11980" w:rsidP="00DA393B" w14:paraId="3E794630" w14:textId="77777777">
      <w:pPr>
        <w:pStyle w:val="ParaNum0"/>
        <w:numPr>
          <w:ilvl w:val="0"/>
          <w:numId w:val="0"/>
        </w:numPr>
        <w:rPr>
          <w:szCs w:val="22"/>
        </w:rPr>
      </w:pPr>
      <w:r w:rsidRPr="003D572A">
        <w:rPr>
          <w:szCs w:val="22"/>
        </w:rPr>
        <w:t xml:space="preserve">The use of the online Fee Filer system for filing regulatory fees has not changed since the process was first initiated in FY 2009:  licensees and </w:t>
      </w:r>
      <w:r w:rsidRPr="003D572A">
        <w:rPr>
          <w:szCs w:val="22"/>
        </w:rPr>
        <w:t>regulatees</w:t>
      </w:r>
      <w:r w:rsidRPr="003D572A">
        <w:rPr>
          <w:szCs w:val="22"/>
        </w:rPr>
        <w:t xml:space="preserve"> must first enter the Commission’s Fee Filer system with a valid FRN and password, and follow the online prompts to review their data and submit an electronic fee payment.</w:t>
      </w:r>
      <w:r w:rsidRPr="003D572A">
        <w:rPr>
          <w:iCs/>
          <w:szCs w:val="22"/>
        </w:rPr>
        <w:t xml:space="preserve">  </w:t>
      </w:r>
      <w:r w:rsidRPr="003D572A">
        <w:rPr>
          <w:szCs w:val="22"/>
        </w:rPr>
        <w:t xml:space="preserve">Use of the online Fee Filer system is mandatory, and </w:t>
      </w:r>
      <w:r w:rsidRPr="003D572A">
        <w:rPr>
          <w:b/>
          <w:szCs w:val="22"/>
        </w:rPr>
        <w:t xml:space="preserve">payments in the form of checks, money orders, and cashier’s checks </w:t>
      </w:r>
      <w:r w:rsidR="00EC44B0">
        <w:rPr>
          <w:b/>
          <w:szCs w:val="22"/>
          <w:u w:val="single"/>
        </w:rPr>
        <w:t xml:space="preserve">will not be </w:t>
      </w:r>
      <w:r w:rsidRPr="003D572A">
        <w:rPr>
          <w:b/>
          <w:szCs w:val="22"/>
          <w:u w:val="single"/>
        </w:rPr>
        <w:t>accepted</w:t>
      </w:r>
      <w:r w:rsidRPr="003D572A">
        <w:rPr>
          <w:szCs w:val="22"/>
        </w:rPr>
        <w:t xml:space="preserve">. </w:t>
      </w:r>
      <w:r>
        <w:rPr>
          <w:rStyle w:val="FootnoteReference"/>
          <w:szCs w:val="22"/>
        </w:rPr>
        <w:footnoteReference w:id="6"/>
      </w:r>
      <w:r w:rsidRPr="003D572A">
        <w:rPr>
          <w:szCs w:val="22"/>
        </w:rPr>
        <w:t xml:space="preserve">  </w:t>
      </w:r>
      <w:r>
        <w:rPr>
          <w:szCs w:val="22"/>
        </w:rPr>
        <w:t>In making a wire transfer, please fax the “</w:t>
      </w:r>
      <w:r w:rsidRPr="009F1F95">
        <w:rPr>
          <w:szCs w:val="22"/>
          <w:u w:val="single"/>
        </w:rPr>
        <w:t>Wire Transfer Instructions”</w:t>
      </w:r>
      <w:r w:rsidRPr="009F1F95">
        <w:rPr>
          <w:szCs w:val="22"/>
        </w:rPr>
        <w:t xml:space="preserve"> from Fee Filer to the Federal Communications Commission at (202) 418-2843 at least one hour before initiating the wire transfer</w:t>
      </w:r>
      <w:r w:rsidRPr="00771831">
        <w:rPr>
          <w:b/>
          <w:szCs w:val="22"/>
        </w:rPr>
        <w:t xml:space="preserve"> (but on the same business day) so as not to delay crediting their account.</w:t>
      </w:r>
      <w:r>
        <w:rPr>
          <w:b/>
          <w:szCs w:val="22"/>
        </w:rPr>
        <w:t xml:space="preserve">  These Wire Transfer Instructions contain valuable information (e.g. FRN, Voucher Number, Payer Name, and the Amount of the Wire) that will help to post the payment more quickly</w:t>
      </w:r>
      <w:r w:rsidR="000F6998">
        <w:rPr>
          <w:b/>
          <w:szCs w:val="22"/>
        </w:rPr>
        <w:t xml:space="preserve"> </w:t>
      </w:r>
      <w:r>
        <w:rPr>
          <w:b/>
          <w:szCs w:val="22"/>
        </w:rPr>
        <w:t xml:space="preserve">and avoid costly delays that could result in penalties and interest for missing the payment due date.  </w:t>
      </w:r>
      <w:r w:rsidRPr="00771831">
        <w:rPr>
          <w:szCs w:val="22"/>
        </w:rPr>
        <w:t>Please note that most wire transfers initiated after 6:00 p.m. (EDT) will be credited the next business day</w:t>
      </w:r>
      <w:r w:rsidR="008C2DC5">
        <w:rPr>
          <w:szCs w:val="22"/>
        </w:rPr>
        <w:t>, and additional time may be needed for international wires</w:t>
      </w:r>
      <w:r w:rsidRPr="00771831">
        <w:rPr>
          <w:szCs w:val="22"/>
        </w:rPr>
        <w:t>.</w:t>
      </w:r>
      <w:r w:rsidR="008C2DC5">
        <w:rPr>
          <w:szCs w:val="22"/>
        </w:rPr>
        <w:t xml:space="preserve">  </w:t>
      </w:r>
      <w:r w:rsidRPr="00771831" w:rsidR="008C2DC5">
        <w:rPr>
          <w:szCs w:val="22"/>
        </w:rPr>
        <w:t xml:space="preserve">Fee payors should discuss arrangements (including bank closing schedules, and </w:t>
      </w:r>
      <w:r w:rsidRPr="00AB7DAB" w:rsidR="008C2DC5">
        <w:rPr>
          <w:szCs w:val="22"/>
          <w:u w:val="single"/>
        </w:rPr>
        <w:t>bank wire transaction fees for which the Commission is not responsible</w:t>
      </w:r>
      <w:r w:rsidRPr="00771831" w:rsidR="008C2DC5">
        <w:rPr>
          <w:szCs w:val="22"/>
        </w:rPr>
        <w:t>) with their bankers</w:t>
      </w:r>
      <w:r w:rsidR="008C2DC5">
        <w:rPr>
          <w:szCs w:val="22"/>
        </w:rPr>
        <w:t>.</w:t>
      </w:r>
    </w:p>
    <w:p w:rsidR="00DA393B" w:rsidRPr="00293A57" w:rsidP="00DA393B" w14:paraId="4D867A40" w14:textId="77777777">
      <w:pPr>
        <w:pStyle w:val="header2"/>
        <w:tabs>
          <w:tab w:val="clear" w:pos="1440"/>
          <w:tab w:val="clear" w:pos="4320"/>
          <w:tab w:val="clear" w:pos="8640"/>
        </w:tabs>
        <w:suppressAutoHyphens w:val="0"/>
        <w:autoSpaceDE w:val="0"/>
        <w:autoSpaceDN w:val="0"/>
        <w:adjustRightInd w:val="0"/>
        <w:rPr>
          <w:sz w:val="22"/>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293A57">
        <w:rPr>
          <w:sz w:val="22"/>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3A57">
        <w:rPr>
          <w:sz w:val="22"/>
          <w:szCs w:val="22"/>
        </w:rPr>
        <w:t>EGULATORY FEE LEVEL</w:t>
      </w:r>
    </w:p>
    <w:p w:rsidR="00DA393B" w:rsidRPr="00293A57" w:rsidP="00DA393B" w14:paraId="3B0CC8C9" w14:textId="77777777">
      <w:pPr>
        <w:pStyle w:val="header2"/>
        <w:tabs>
          <w:tab w:val="clear" w:pos="1440"/>
          <w:tab w:val="clear" w:pos="4320"/>
          <w:tab w:val="clear" w:pos="8640"/>
        </w:tabs>
        <w:suppressAutoHyphens w:val="0"/>
        <w:autoSpaceDE w:val="0"/>
        <w:autoSpaceDN w:val="0"/>
        <w:adjustRightInd w:val="0"/>
        <w:rPr>
          <w:sz w:val="22"/>
          <w:szCs w:val="22"/>
        </w:rPr>
      </w:pPr>
    </w:p>
    <w:p w:rsidR="00DA393B" w:rsidRPr="00293A57" w:rsidP="00DA393B" w14:paraId="747F9132" w14:textId="790A8B67">
      <w:pPr>
        <w:pStyle w:val="ParaNum0"/>
        <w:numPr>
          <w:ilvl w:val="0"/>
          <w:numId w:val="0"/>
        </w:numPr>
        <w:rPr>
          <w:b/>
          <w:szCs w:val="22"/>
        </w:rPr>
      </w:pPr>
      <w:r w:rsidRPr="00293A57">
        <w:t>Regulatees</w:t>
      </w:r>
      <w:r w:rsidRPr="00293A57">
        <w:t xml:space="preserve"> whose total FY 20</w:t>
      </w:r>
      <w:r w:rsidR="0064332E">
        <w:t>20</w:t>
      </w:r>
      <w:r w:rsidRPr="00293A57">
        <w:t xml:space="preserve"> annual regulatory fee liability, including all categories of fees for which payment is due, is $</w:t>
      </w:r>
      <w:r w:rsidR="004C752D">
        <w:t>1,000</w:t>
      </w:r>
      <w:r w:rsidRPr="00293A57">
        <w:t xml:space="preserve"> or less are exempt from payment of FY 20</w:t>
      </w:r>
      <w:r w:rsidR="0064332E">
        <w:t>20</w:t>
      </w:r>
      <w:r w:rsidRPr="00293A57">
        <w:t xml:space="preserve"> regulatory fees.  The </w:t>
      </w:r>
      <w:r w:rsidRPr="00293A57">
        <w:rPr>
          <w:i/>
        </w:rPr>
        <w:t>de minimis</w:t>
      </w:r>
      <w:r w:rsidRPr="00293A57">
        <w:t xml:space="preserve"> threshold applies only to filers of </w:t>
      </w:r>
      <w:r w:rsidRPr="004C752D">
        <w:rPr>
          <w:u w:val="single"/>
        </w:rPr>
        <w:t>annual</w:t>
      </w:r>
      <w:r w:rsidRPr="00293A57">
        <w:t xml:space="preserve"> regulatory fees (not regulatory fees paid through multi-year filings), and it is not a permanent exemption.  Rather, each regulate will need to reevaluate their total fee liability each fiscal year to determine whether they meet the </w:t>
      </w:r>
      <w:r w:rsidRPr="00293A57">
        <w:rPr>
          <w:i/>
        </w:rPr>
        <w:t>de minimis</w:t>
      </w:r>
      <w:r w:rsidRPr="00293A57">
        <w:t xml:space="preserve"> exemption.  </w:t>
      </w:r>
      <w:r w:rsidRPr="00293A57">
        <w:rPr>
          <w:szCs w:val="24"/>
        </w:rPr>
        <w:t>R</w:t>
      </w:r>
      <w:r w:rsidRPr="00293A57">
        <w:rPr>
          <w:spacing w:val="-3"/>
          <w:szCs w:val="24"/>
        </w:rPr>
        <w:t>egulatees</w:t>
      </w:r>
      <w:r w:rsidRPr="00293A57">
        <w:rPr>
          <w:spacing w:val="-3"/>
          <w:szCs w:val="24"/>
        </w:rPr>
        <w:t xml:space="preserve"> are responsible for calculating their own total fee obligation to determine whether they qualify for this </w:t>
      </w:r>
      <w:r w:rsidRPr="00293A57">
        <w:rPr>
          <w:i/>
          <w:spacing w:val="-3"/>
          <w:szCs w:val="24"/>
        </w:rPr>
        <w:t>de minimis</w:t>
      </w:r>
      <w:r w:rsidRPr="00293A57">
        <w:rPr>
          <w:spacing w:val="-3"/>
          <w:szCs w:val="24"/>
        </w:rPr>
        <w:t xml:space="preserve"> exemption.  The Commission reserves the right to request documentation that supports a </w:t>
      </w:r>
      <w:r w:rsidRPr="00293A57">
        <w:rPr>
          <w:i/>
          <w:spacing w:val="-3"/>
          <w:szCs w:val="24"/>
        </w:rPr>
        <w:t>de minimis</w:t>
      </w:r>
      <w:r w:rsidRPr="00293A57">
        <w:rPr>
          <w:spacing w:val="-3"/>
          <w:szCs w:val="24"/>
        </w:rPr>
        <w:t xml:space="preserve"> exemption claim.</w:t>
      </w:r>
    </w:p>
    <w:p w:rsidR="0064332E" w:rsidP="00DA393B" w14:paraId="300AA747" w14:textId="77777777">
      <w:pPr>
        <w:tabs>
          <w:tab w:val="left" w:pos="-720"/>
        </w:tabs>
        <w:suppressAutoHyphens/>
        <w:jc w:val="center"/>
        <w:outlineLvl w:val="0"/>
        <w:rPr>
          <w:rFonts w:ascii="Times New Roman" w:hAnsi="Times New Roman"/>
          <w:b/>
          <w:sz w:val="22"/>
          <w:szCs w:val="22"/>
        </w:rPr>
      </w:pPr>
    </w:p>
    <w:p w:rsidR="00DA393B" w:rsidRPr="00293A57" w:rsidP="00DA393B" w14:paraId="5CF2249F" w14:textId="2492D539">
      <w:pPr>
        <w:tabs>
          <w:tab w:val="left" w:pos="-720"/>
        </w:tabs>
        <w:suppressAutoHyphens/>
        <w:jc w:val="center"/>
        <w:outlineLvl w:val="0"/>
        <w:rPr>
          <w:rFonts w:ascii="Times New Roman" w:hAnsi="Times New Roman"/>
          <w:b/>
          <w:sz w:val="22"/>
          <w:szCs w:val="22"/>
        </w:rPr>
      </w:pPr>
      <w:r w:rsidRPr="00293A57">
        <w:rPr>
          <w:rFonts w:ascii="Times New Roman" w:hAnsi="Times New Roman"/>
          <w:b/>
          <w:sz w:val="22"/>
          <w:szCs w:val="22"/>
        </w:rPr>
        <w:t>LIMITATIONS ON CREDIT CARD TRANSACTIONS</w:t>
      </w:r>
    </w:p>
    <w:p w:rsidR="00DA393B" w:rsidRPr="00293A57" w:rsidP="00DA393B" w14:paraId="5073D289" w14:textId="77777777">
      <w:pPr>
        <w:tabs>
          <w:tab w:val="left" w:pos="-720"/>
        </w:tabs>
        <w:suppressAutoHyphens/>
        <w:jc w:val="center"/>
        <w:outlineLvl w:val="0"/>
        <w:rPr>
          <w:rFonts w:ascii="Times New Roman" w:hAnsi="Times New Roman"/>
          <w:b/>
          <w:sz w:val="22"/>
          <w:szCs w:val="22"/>
        </w:rPr>
      </w:pPr>
    </w:p>
    <w:p w:rsidR="00DA393B" w:rsidRPr="00293A57" w:rsidP="00895253" w14:paraId="0660A565" w14:textId="6ABC9ECE">
      <w:pPr>
        <w:ind w:right="18"/>
        <w:rPr>
          <w:rFonts w:ascii="Times New Roman" w:hAnsi="Times New Roman"/>
          <w:sz w:val="22"/>
          <w:szCs w:val="22"/>
        </w:rPr>
      </w:pPr>
      <w:r w:rsidRPr="00293A57">
        <w:rPr>
          <w:rFonts w:ascii="Times New Roman" w:hAnsi="Times New Roman"/>
          <w:sz w:val="22"/>
        </w:rPr>
        <w:t xml:space="preserve">In accordance with U.S. Treasury Announcement No. A-2014-04 (July 2014), the amount that can be charged on a credit card for transactions with </w:t>
      </w:r>
      <w:r w:rsidR="00C363A5">
        <w:rPr>
          <w:rFonts w:ascii="Times New Roman" w:hAnsi="Times New Roman"/>
          <w:sz w:val="22"/>
        </w:rPr>
        <w:t xml:space="preserve">the </w:t>
      </w:r>
      <w:r w:rsidRPr="00293A57">
        <w:rPr>
          <w:rFonts w:ascii="Times New Roman" w:hAnsi="Times New Roman"/>
          <w:sz w:val="22"/>
        </w:rPr>
        <w:t>federal</w:t>
      </w:r>
      <w:r w:rsidR="00C363A5">
        <w:rPr>
          <w:rFonts w:ascii="Times New Roman" w:hAnsi="Times New Roman"/>
          <w:sz w:val="22"/>
        </w:rPr>
        <w:t xml:space="preserve"> government is</w:t>
      </w:r>
      <w:r w:rsidRPr="00293A57">
        <w:rPr>
          <w:rFonts w:ascii="Times New Roman" w:hAnsi="Times New Roman"/>
          <w:sz w:val="22"/>
        </w:rPr>
        <w:t xml:space="preserve"> $24,999.99.</w:t>
      </w:r>
      <w:r>
        <w:rPr>
          <w:rStyle w:val="FootnoteReference"/>
          <w:rFonts w:ascii="Times New Roman" w:hAnsi="Times New Roman"/>
          <w:sz w:val="22"/>
        </w:rPr>
        <w:footnoteReference w:id="7"/>
      </w:r>
      <w:r w:rsidRPr="00293A57">
        <w:rPr>
          <w:rFonts w:ascii="Times New Roman" w:hAnsi="Times New Roman"/>
          <w:sz w:val="22"/>
        </w:rPr>
        <w:t xml:space="preserve"> Transactions greater than $24,999.99 will be rejected.  This limit applies to single payments or bundled payments of more than </w:t>
      </w:r>
      <w:r w:rsidRPr="00293A57">
        <w:rPr>
          <w:rFonts w:ascii="Times New Roman" w:hAnsi="Times New Roman"/>
          <w:sz w:val="22"/>
        </w:rPr>
        <w:t>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w:t>
      </w:r>
      <w:r w:rsidR="0064332E">
        <w:rPr>
          <w:rFonts w:ascii="Times New Roman" w:hAnsi="Times New Roman"/>
          <w:sz w:val="22"/>
        </w:rPr>
        <w:t>20</w:t>
      </w:r>
      <w:r w:rsidRPr="00293A57">
        <w:rPr>
          <w:rFonts w:ascii="Times New Roman" w:hAnsi="Times New Roman"/>
          <w:sz w:val="22"/>
        </w:rPr>
        <w:t xml:space="preserve"> regulatory fee </w:t>
      </w:r>
      <w:r w:rsidRPr="004130C3">
        <w:rPr>
          <w:rFonts w:ascii="Times New Roman" w:hAnsi="Times New Roman"/>
          <w:sz w:val="22"/>
        </w:rPr>
        <w:t>collection</w:t>
      </w:r>
      <w:r w:rsidRPr="00F826FB">
        <w:rPr>
          <w:rFonts w:ascii="Times New Roman" w:hAnsi="Times New Roman"/>
          <w:sz w:val="22"/>
        </w:rPr>
        <w:t xml:space="preserve"> in Fact Sheets, available at</w:t>
      </w:r>
      <w:r w:rsidRPr="00293A57">
        <w:rPr>
          <w:rFonts w:ascii="Times New Roman" w:hAnsi="Times New Roman"/>
          <w:color w:val="1F497D"/>
          <w:sz w:val="22"/>
        </w:rPr>
        <w:t xml:space="preserve"> </w:t>
      </w:r>
      <w:hyperlink r:id="rId6" w:history="1">
        <w:r w:rsidRPr="00293A57">
          <w:rPr>
            <w:rStyle w:val="Hyperlink"/>
            <w:rFonts w:ascii="Times New Roman" w:hAnsi="Times New Roman"/>
            <w:sz w:val="22"/>
          </w:rPr>
          <w:t>https://www.fcc.gov/regfees</w:t>
        </w:r>
      </w:hyperlink>
      <w:r w:rsidRPr="00293A57">
        <w:rPr>
          <w:rFonts w:ascii="Times New Roman" w:hAnsi="Times New Roman"/>
          <w:color w:val="1F497D"/>
          <w:sz w:val="22"/>
          <w:u w:val="single"/>
        </w:rPr>
        <w:t>.</w:t>
      </w:r>
    </w:p>
    <w:p w:rsidR="00DA393B" w:rsidRPr="00293A57" w:rsidP="002138A4" w14:paraId="44B5BC14" w14:textId="77777777">
      <w:pPr>
        <w:ind w:right="18"/>
        <w:rPr>
          <w:rFonts w:ascii="Times New Roman" w:hAnsi="Times New Roman"/>
          <w:sz w:val="22"/>
          <w:szCs w:val="22"/>
        </w:rPr>
      </w:pPr>
    </w:p>
    <w:p w:rsidR="00DA393B" w:rsidP="002138A4" w14:paraId="0AFD2170" w14:textId="61253B85">
      <w:pPr>
        <w:ind w:right="18"/>
        <w:rPr>
          <w:rFonts w:ascii="Times New Roman" w:hAnsi="Times New Roman"/>
          <w:sz w:val="22"/>
          <w:szCs w:val="22"/>
        </w:rPr>
      </w:pPr>
      <w:r w:rsidRPr="00293A57">
        <w:rPr>
          <w:rFonts w:ascii="Times New Roman" w:hAnsi="Times New Roman"/>
          <w:sz w:val="22"/>
          <w:szCs w:val="22"/>
        </w:rPr>
        <w:t xml:space="preserve">Regulatory fee payments that exceed the U.S. Treasury limit and are rejected by Treasury, causing a payment </w:t>
      </w:r>
      <w:r w:rsidR="00015D2E">
        <w:rPr>
          <w:rFonts w:ascii="Times New Roman" w:hAnsi="Times New Roman"/>
          <w:sz w:val="22"/>
          <w:szCs w:val="22"/>
        </w:rPr>
        <w:t>to miss the</w:t>
      </w:r>
      <w:r w:rsidRPr="00293A57">
        <w:rPr>
          <w:rFonts w:ascii="Times New Roman" w:hAnsi="Times New Roman"/>
          <w:sz w:val="22"/>
          <w:szCs w:val="22"/>
        </w:rPr>
        <w:t xml:space="preserve"> deadline, will be subject to interest, fees, and a 25</w:t>
      </w:r>
      <w:r w:rsidR="001B0415">
        <w:rPr>
          <w:rFonts w:ascii="Times New Roman" w:hAnsi="Times New Roman"/>
          <w:sz w:val="22"/>
          <w:szCs w:val="22"/>
        </w:rPr>
        <w:t xml:space="preserve"> percent</w:t>
      </w:r>
      <w:r w:rsidRPr="00293A57">
        <w:rPr>
          <w:rFonts w:ascii="Times New Roman" w:hAnsi="Times New Roman"/>
          <w:sz w:val="22"/>
          <w:szCs w:val="22"/>
        </w:rPr>
        <w:t xml:space="preserve"> late payment penalty.</w:t>
      </w:r>
    </w:p>
    <w:p w:rsidR="0064332E" w:rsidP="002138A4" w14:paraId="125ED485" w14:textId="5B0BB0F5">
      <w:pPr>
        <w:ind w:right="18"/>
        <w:rPr>
          <w:rFonts w:ascii="Times New Roman" w:hAnsi="Times New Roman"/>
          <w:sz w:val="22"/>
          <w:szCs w:val="22"/>
        </w:rPr>
      </w:pPr>
    </w:p>
    <w:p w:rsidR="0064332E" w:rsidP="002138A4" w14:paraId="6A907B25" w14:textId="43D139F8">
      <w:pPr>
        <w:ind w:right="18"/>
        <w:rPr>
          <w:rFonts w:ascii="Times New Roman" w:hAnsi="Times New Roman"/>
          <w:sz w:val="22"/>
          <w:szCs w:val="22"/>
        </w:rPr>
      </w:pPr>
    </w:p>
    <w:p w:rsidR="0064332E" w:rsidRPr="00783B5B" w:rsidP="0064332E" w14:paraId="4CA9BEC7" w14:textId="6AE610F7">
      <w:pPr>
        <w:ind w:right="18"/>
        <w:jc w:val="center"/>
        <w:rPr>
          <w:rFonts w:ascii="Times New Roman" w:hAnsi="Times New Roman"/>
          <w:sz w:val="22"/>
          <w:szCs w:val="22"/>
        </w:rPr>
      </w:pPr>
      <w:r>
        <w:rPr>
          <w:rFonts w:ascii="Times New Roman" w:hAnsi="Times New Roman"/>
          <w:sz w:val="22"/>
          <w:szCs w:val="22"/>
        </w:rPr>
        <w:t>-FCC-</w:t>
      </w:r>
    </w:p>
    <w:sectPr w:rsidSect="00DA393B">
      <w:footerReference w:type="even" r:id="rId7"/>
      <w:footerReference w:type="default" r:id="rId8"/>
      <w:headerReference w:type="first" r:id="rId9"/>
      <w:type w:val="continuous"/>
      <w:pgSz w:w="12240" w:h="15840" w:code="1"/>
      <w:pgMar w:top="1440" w:right="1152" w:bottom="864" w:left="1440" w:header="720" w:footer="108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93B" w14:paraId="242B68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A393B" w14:paraId="30625A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93B" w14:paraId="5D027AB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3902">
      <w:rPr>
        <w:rStyle w:val="PageNumber"/>
        <w:noProof/>
      </w:rPr>
      <w:t>2</w:t>
    </w:r>
    <w:r>
      <w:rPr>
        <w:rStyle w:val="PageNumber"/>
      </w:rPr>
      <w:fldChar w:fldCharType="end"/>
    </w:r>
  </w:p>
  <w:p w:rsidR="00DA393B" w14:paraId="4329E8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0C9E" w14:paraId="3B912F58" w14:textId="77777777">
      <w:r>
        <w:separator/>
      </w:r>
    </w:p>
  </w:footnote>
  <w:footnote w:type="continuationSeparator" w:id="1">
    <w:p w:rsidR="002D0C9E" w14:paraId="564EE6E1" w14:textId="77777777">
      <w:r>
        <w:continuationSeparator/>
      </w:r>
    </w:p>
  </w:footnote>
  <w:footnote w:id="2">
    <w:p w:rsidR="001844DA" w:rsidP="00F826FB" w14:paraId="75A6596D" w14:textId="3FF085C8">
      <w:pPr>
        <w:pStyle w:val="FootnoteText"/>
        <w:spacing w:after="120"/>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w:t>
      </w:r>
      <w:r>
        <w:t>made</w:t>
      </w:r>
      <w:r>
        <w:t xml:space="preserve"> and the transaction is complete by the due date of FY 20</w:t>
      </w:r>
      <w:r w:rsidR="00247922">
        <w:t>20</w:t>
      </w:r>
      <w:r>
        <w:t xml:space="preserve"> regulatory fees.</w:t>
      </w:r>
    </w:p>
  </w:footnote>
  <w:footnote w:id="3">
    <w:p w:rsidR="00DA393B" w:rsidP="00F826FB" w14:paraId="67043DBC" w14:textId="6C6952BA">
      <w:pPr>
        <w:pStyle w:val="FootnoteText"/>
        <w:tabs>
          <w:tab w:val="left" w:pos="-720"/>
        </w:tabs>
        <w:suppressAutoHyphens/>
        <w:spacing w:after="120"/>
        <w:jc w:val="both"/>
        <w:rPr>
          <w:rFonts w:ascii="Times New Roman" w:hAnsi="Times New Roman"/>
        </w:rPr>
      </w:pPr>
      <w:r>
        <w:rPr>
          <w:rStyle w:val="FootnoteReference"/>
          <w:rFonts w:ascii="Times New Roman" w:hAnsi="Times New Roman"/>
        </w:rPr>
        <w:footnoteRef/>
      </w:r>
      <w:r>
        <w:rPr>
          <w:rFonts w:ascii="Times New Roman" w:hAnsi="Times New Roman"/>
          <w:color w:val="000000"/>
        </w:rPr>
        <w:t xml:space="preserve"> A LEO system consists of one or more satellites operating in a non-geostationary satellite constellation.  Payment is required for any LEO System that has one or more satellites operating pursuant to sections 25.142(c), 25.143(e), 25.145(g), or upon certification of operation of a single satellite pursuant to section 25.121(d) as of October 1, 20</w:t>
      </w:r>
      <w:r w:rsidR="002D6021">
        <w:rPr>
          <w:rFonts w:ascii="Times New Roman" w:hAnsi="Times New Roman"/>
          <w:color w:val="000000"/>
        </w:rPr>
        <w:t>1</w:t>
      </w:r>
      <w:r>
        <w:rPr>
          <w:rFonts w:ascii="Times New Roman" w:hAnsi="Times New Roman"/>
          <w:color w:val="000000"/>
        </w:rPr>
        <w:t>9.</w:t>
      </w:r>
    </w:p>
  </w:footnote>
  <w:footnote w:id="4">
    <w:p w:rsidR="004E01E9" w:rsidRPr="00487FB2" w:rsidP="004E01E9" w14:paraId="08331567" w14:textId="77777777">
      <w:pPr>
        <w:pStyle w:val="FootnoteText"/>
        <w:spacing w:after="120"/>
      </w:pPr>
      <w:r w:rsidRPr="00487FB2">
        <w:rPr>
          <w:rStyle w:val="FootnoteReference"/>
        </w:rPr>
        <w:footnoteRef/>
      </w:r>
      <w:r w:rsidRPr="00487FB2">
        <w:t xml:space="preserve"> </w:t>
      </w:r>
      <w:r w:rsidRPr="00487FB2">
        <w:rPr>
          <w:i/>
        </w:rPr>
        <w:t>See id.</w:t>
      </w:r>
      <w:r w:rsidRPr="00487FB2">
        <w:t xml:space="preserve"> 24 FCC </w:t>
      </w:r>
      <w:r w:rsidRPr="00487FB2">
        <w:t>Rcd</w:t>
      </w:r>
      <w:r w:rsidRPr="00487FB2">
        <w:t xml:space="preserve"> at 4212, 4215, ¶¶ 6, 17</w:t>
      </w:r>
    </w:p>
  </w:footnote>
  <w:footnote w:id="5">
    <w:p w:rsidR="00DA393B" w:rsidP="00F826FB" w14:paraId="17063A35" w14:textId="77777777">
      <w:pPr>
        <w:pStyle w:val="FootnoteText"/>
        <w:spacing w:after="120"/>
      </w:pPr>
      <w:r>
        <w:rPr>
          <w:rStyle w:val="FootnoteReference"/>
        </w:rPr>
        <w:footnoteRef/>
      </w:r>
      <w:r>
        <w:t xml:space="preserve"> </w:t>
      </w:r>
      <w:r w:rsidRPr="00B8193C">
        <w:rPr>
          <w:i/>
        </w:rPr>
        <w:t>See Assessment and Collection of Regu</w:t>
      </w:r>
      <w:r>
        <w:rPr>
          <w:i/>
        </w:rPr>
        <w:t>latory Fees for Fiscal Year 2009</w:t>
      </w:r>
      <w:r>
        <w:t>, MD Docket No. 09</w:t>
      </w:r>
      <w:r w:rsidRPr="00B8193C">
        <w:t xml:space="preserve">-65, </w:t>
      </w:r>
      <w:r>
        <w:t>Notice of Proposed Rulemaking and</w:t>
      </w:r>
      <w:r w:rsidRPr="00B8193C">
        <w:t xml:space="preserve"> </w:t>
      </w:r>
      <w:r>
        <w:t>Order</w:t>
      </w:r>
      <w:r w:rsidRPr="00B8193C">
        <w:t xml:space="preserve">, </w:t>
      </w:r>
      <w:r>
        <w:t xml:space="preserve">24 FCC </w:t>
      </w:r>
      <w:r>
        <w:t>Rcd</w:t>
      </w:r>
      <w:r>
        <w:t xml:space="preserve"> 5966 </w:t>
      </w:r>
      <w:r w:rsidRPr="00B8193C">
        <w:t>(</w:t>
      </w:r>
      <w:r>
        <w:t>2009</w:t>
      </w:r>
      <w:r w:rsidRPr="00B8193C">
        <w:t>) (“</w:t>
      </w:r>
      <w:r w:rsidRPr="00B8193C">
        <w:rPr>
          <w:i/>
        </w:rPr>
        <w:t>FY 200</w:t>
      </w:r>
      <w:r>
        <w:rPr>
          <w:i/>
        </w:rPr>
        <w:t>9</w:t>
      </w:r>
      <w:r w:rsidRPr="00B8193C">
        <w:rPr>
          <w:i/>
        </w:rPr>
        <w:t xml:space="preserve"> </w:t>
      </w:r>
      <w:r>
        <w:rPr>
          <w:i/>
        </w:rPr>
        <w:t>NPRM and Order</w:t>
      </w:r>
      <w:r>
        <w:t>”</w:t>
      </w:r>
      <w:r w:rsidRPr="00B8193C">
        <w:t>)</w:t>
      </w:r>
      <w:r>
        <w:t xml:space="preserve">, and </w:t>
      </w:r>
      <w:r w:rsidRPr="00B8193C">
        <w:rPr>
          <w:i/>
        </w:rPr>
        <w:t>Assessment and Collection of Regu</w:t>
      </w:r>
      <w:r>
        <w:rPr>
          <w:i/>
        </w:rPr>
        <w:t>latory Fees for Fiscal Year 2009</w:t>
      </w:r>
      <w:r>
        <w:t>, MD Docket No. 09</w:t>
      </w:r>
      <w:r w:rsidRPr="00B8193C">
        <w:t xml:space="preserve">-65, </w:t>
      </w:r>
      <w:r>
        <w:t>Report and Order</w:t>
      </w:r>
      <w:r w:rsidRPr="00B8193C">
        <w:t xml:space="preserve">, </w:t>
      </w:r>
      <w:r>
        <w:t xml:space="preserve">74 FR 40089 (August 11, 2009) </w:t>
      </w:r>
      <w:r w:rsidRPr="00B8193C">
        <w:t>(“</w:t>
      </w:r>
      <w:r w:rsidRPr="00B8193C">
        <w:rPr>
          <w:i/>
        </w:rPr>
        <w:t>FY 200</w:t>
      </w:r>
      <w:r>
        <w:rPr>
          <w:i/>
        </w:rPr>
        <w:t>9</w:t>
      </w:r>
      <w:r w:rsidRPr="00B8193C">
        <w:rPr>
          <w:i/>
        </w:rPr>
        <w:t xml:space="preserve"> </w:t>
      </w:r>
      <w:r>
        <w:rPr>
          <w:i/>
        </w:rPr>
        <w:t>Report and Order</w:t>
      </w:r>
      <w:r>
        <w:t>”</w:t>
      </w:r>
      <w:r w:rsidRPr="00B8193C">
        <w:t>)</w:t>
      </w:r>
      <w:r>
        <w:t xml:space="preserve"> </w:t>
      </w:r>
      <w:r w:rsidRPr="00B8193C">
        <w:t>.</w:t>
      </w:r>
    </w:p>
  </w:footnote>
  <w:footnote w:id="6">
    <w:p w:rsidR="00C11980" w:rsidP="00F826FB" w14:paraId="64F3C497" w14:textId="77777777">
      <w:pPr>
        <w:pStyle w:val="FootnoteText"/>
        <w:spacing w:after="12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7">
    <w:p w:rsidR="00DA393B" w:rsidP="00F826FB" w14:paraId="76C9BDAD" w14:textId="77777777">
      <w:pPr>
        <w:pStyle w:val="FootnoteText"/>
        <w:spacing w:after="12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902" w:rsidP="00C93902" w14:paraId="445BE1DF"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C93902" w:rsidRPr="00F22398" w:rsidP="00C93902" w14:paraId="13F4F950" w14:textId="77777777">
    <w:pPr>
      <w:pStyle w:val="Header"/>
      <w:tabs>
        <w:tab w:val="clear" w:pos="4320"/>
        <w:tab w:val="clear" w:pos="8640"/>
      </w:tabs>
      <w:spacing w:before="40"/>
      <w:jc w:val="center"/>
      <w:rPr>
        <w:rFonts w:ascii="Times New Roman" w:hAnsi="Times New Roman"/>
        <w:b/>
        <w:kern w:val="28"/>
        <w:sz w:val="44"/>
        <w:szCs w:val="44"/>
      </w:rPr>
    </w:pPr>
  </w:p>
  <w:p w:rsidR="00C93902" w:rsidP="00C93902" w14:paraId="380D289C"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93902" w:rsidP="00C93902" w14:textId="77777777">
                          <w:pPr>
                            <w:rPr>
                              <w:rFonts w:ascii="Arial" w:hAnsi="Arial"/>
                              <w:b/>
                            </w:rPr>
                          </w:pPr>
                          <w:r>
                            <w:rPr>
                              <w:rFonts w:ascii="Arial" w:hAnsi="Arial"/>
                              <w:b/>
                            </w:rPr>
                            <w:t>Federal Communications Commission</w:t>
                          </w:r>
                        </w:p>
                        <w:p w:rsidR="00C93902" w:rsidP="00C9390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93902" w:rsidP="00C93902"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C93902" w:rsidP="00C93902" w14:paraId="347E9A79" w14:textId="77777777">
                    <w:pPr>
                      <w:rPr>
                        <w:rFonts w:ascii="Arial" w:hAnsi="Arial"/>
                        <w:b/>
                      </w:rPr>
                    </w:pPr>
                    <w:r>
                      <w:rPr>
                        <w:rFonts w:ascii="Arial" w:hAnsi="Arial"/>
                        <w:b/>
                      </w:rPr>
                      <w:t>Federal Communications Commission</w:t>
                    </w:r>
                  </w:p>
                  <w:p w:rsidR="00C93902" w:rsidP="00C93902" w14:paraId="77F8DAE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93902" w:rsidP="00C93902" w14:paraId="20F31D60"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93902" w:rsidP="00C93902" w14:textId="2F162A70">
                          <w:pPr>
                            <w:spacing w:before="40"/>
                            <w:jc w:val="right"/>
                            <w:rPr>
                              <w:rFonts w:ascii="Arial" w:hAnsi="Arial"/>
                              <w:b/>
                              <w:sz w:val="16"/>
                            </w:rPr>
                          </w:pPr>
                          <w:r>
                            <w:rPr>
                              <w:rFonts w:ascii="Arial" w:hAnsi="Arial"/>
                              <w:b/>
                            </w:rPr>
                            <w:t>September</w:t>
                          </w:r>
                          <w:r w:rsidR="00964311">
                            <w:rPr>
                              <w:rFonts w:ascii="Arial" w:hAnsi="Arial"/>
                              <w:b/>
                            </w:rPr>
                            <w:t xml:space="preserve"> </w:t>
                          </w:r>
                          <w:r w:rsidR="00A73B39">
                            <w:rPr>
                              <w:rFonts w:ascii="Arial" w:hAnsi="Arial"/>
                              <w:b/>
                            </w:rPr>
                            <w:t>1</w:t>
                          </w:r>
                          <w:r w:rsidR="005F773E">
                            <w:rPr>
                              <w:rFonts w:ascii="Arial" w:hAnsi="Arial"/>
                              <w:b/>
                            </w:rPr>
                            <w:t>5</w:t>
                          </w:r>
                          <w:r>
                            <w:rPr>
                              <w:rFonts w:ascii="Arial" w:hAnsi="Arial"/>
                              <w:b/>
                            </w:rPr>
                            <w:t>, 20</w:t>
                          </w:r>
                          <w:r w:rsidR="00247922">
                            <w:rPr>
                              <w:rFonts w:ascii="Arial" w:hAnsi="Arial"/>
                              <w:b/>
                            </w:rPr>
                            <w:t>20</w:t>
                          </w:r>
                        </w:p>
                        <w:p w:rsidR="00C93902" w:rsidP="00C93902"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C93902" w:rsidP="00C93902" w14:paraId="77DC0D3A" w14:textId="2F162A70">
                    <w:pPr>
                      <w:spacing w:before="40"/>
                      <w:jc w:val="right"/>
                      <w:rPr>
                        <w:rFonts w:ascii="Arial" w:hAnsi="Arial"/>
                        <w:b/>
                        <w:sz w:val="16"/>
                      </w:rPr>
                    </w:pPr>
                    <w:r>
                      <w:rPr>
                        <w:rFonts w:ascii="Arial" w:hAnsi="Arial"/>
                        <w:b/>
                      </w:rPr>
                      <w:t>September</w:t>
                    </w:r>
                    <w:r w:rsidR="00964311">
                      <w:rPr>
                        <w:rFonts w:ascii="Arial" w:hAnsi="Arial"/>
                        <w:b/>
                      </w:rPr>
                      <w:t xml:space="preserve"> </w:t>
                    </w:r>
                    <w:r w:rsidR="00A73B39">
                      <w:rPr>
                        <w:rFonts w:ascii="Arial" w:hAnsi="Arial"/>
                        <w:b/>
                      </w:rPr>
                      <w:t>1</w:t>
                    </w:r>
                    <w:r w:rsidR="005F773E">
                      <w:rPr>
                        <w:rFonts w:ascii="Arial" w:hAnsi="Arial"/>
                        <w:b/>
                      </w:rPr>
                      <w:t>5</w:t>
                    </w:r>
                    <w:r>
                      <w:rPr>
                        <w:rFonts w:ascii="Arial" w:hAnsi="Arial"/>
                        <w:b/>
                      </w:rPr>
                      <w:t>, 20</w:t>
                    </w:r>
                    <w:r w:rsidR="00247922">
                      <w:rPr>
                        <w:rFonts w:ascii="Arial" w:hAnsi="Arial"/>
                        <w:b/>
                      </w:rPr>
                      <w:t>20</w:t>
                    </w:r>
                  </w:p>
                  <w:p w:rsidR="00C93902" w:rsidP="00C93902" w14:paraId="4FF4590A"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A393B" w14:paraId="6BDBCB80"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30625"/>
    <w:multiLevelType w:val="hybridMultilevel"/>
    <w:tmpl w:val="E6D2882C"/>
    <w:lvl w:ilvl="0">
      <w:start w:val="1"/>
      <w:numFmt w:val="bullet"/>
      <w:lvlText w:val=""/>
      <w:lvlJc w:val="left"/>
      <w:pPr>
        <w:tabs>
          <w:tab w:val="num" w:pos="1410"/>
        </w:tabs>
        <w:ind w:left="1410" w:hanging="360"/>
      </w:pPr>
      <w:rPr>
        <w:rFonts w:ascii="Wingdings" w:hAnsi="Wingdings" w:hint="default"/>
      </w:rPr>
    </w:lvl>
    <w:lvl w:ilvl="1" w:tentative="1">
      <w:start w:val="1"/>
      <w:numFmt w:val="bullet"/>
      <w:lvlText w:val="o"/>
      <w:lvlJc w:val="left"/>
      <w:pPr>
        <w:tabs>
          <w:tab w:val="num" w:pos="2130"/>
        </w:tabs>
        <w:ind w:left="2130" w:hanging="360"/>
      </w:pPr>
      <w:rPr>
        <w:rFonts w:ascii="Courier New" w:hAnsi="Courier New" w:cs="Courier New" w:hint="default"/>
      </w:rPr>
    </w:lvl>
    <w:lvl w:ilvl="2" w:tentative="1">
      <w:start w:val="1"/>
      <w:numFmt w:val="bullet"/>
      <w:lvlText w:val=""/>
      <w:lvlJc w:val="left"/>
      <w:pPr>
        <w:tabs>
          <w:tab w:val="num" w:pos="2850"/>
        </w:tabs>
        <w:ind w:left="2850" w:hanging="360"/>
      </w:pPr>
      <w:rPr>
        <w:rFonts w:ascii="Wingdings" w:hAnsi="Wingdings" w:hint="default"/>
      </w:rPr>
    </w:lvl>
    <w:lvl w:ilvl="3" w:tentative="1">
      <w:start w:val="1"/>
      <w:numFmt w:val="bullet"/>
      <w:lvlText w:val=""/>
      <w:lvlJc w:val="left"/>
      <w:pPr>
        <w:tabs>
          <w:tab w:val="num" w:pos="3570"/>
        </w:tabs>
        <w:ind w:left="3570" w:hanging="360"/>
      </w:pPr>
      <w:rPr>
        <w:rFonts w:ascii="Symbol" w:hAnsi="Symbol" w:hint="default"/>
      </w:rPr>
    </w:lvl>
    <w:lvl w:ilvl="4" w:tentative="1">
      <w:start w:val="1"/>
      <w:numFmt w:val="bullet"/>
      <w:lvlText w:val="o"/>
      <w:lvlJc w:val="left"/>
      <w:pPr>
        <w:tabs>
          <w:tab w:val="num" w:pos="4290"/>
        </w:tabs>
        <w:ind w:left="4290" w:hanging="360"/>
      </w:pPr>
      <w:rPr>
        <w:rFonts w:ascii="Courier New" w:hAnsi="Courier New" w:cs="Courier New" w:hint="default"/>
      </w:rPr>
    </w:lvl>
    <w:lvl w:ilvl="5" w:tentative="1">
      <w:start w:val="1"/>
      <w:numFmt w:val="bullet"/>
      <w:lvlText w:val=""/>
      <w:lvlJc w:val="left"/>
      <w:pPr>
        <w:tabs>
          <w:tab w:val="num" w:pos="5010"/>
        </w:tabs>
        <w:ind w:left="5010" w:hanging="360"/>
      </w:pPr>
      <w:rPr>
        <w:rFonts w:ascii="Wingdings" w:hAnsi="Wingdings" w:hint="default"/>
      </w:rPr>
    </w:lvl>
    <w:lvl w:ilvl="6" w:tentative="1">
      <w:start w:val="1"/>
      <w:numFmt w:val="bullet"/>
      <w:lvlText w:val=""/>
      <w:lvlJc w:val="left"/>
      <w:pPr>
        <w:tabs>
          <w:tab w:val="num" w:pos="5730"/>
        </w:tabs>
        <w:ind w:left="5730" w:hanging="360"/>
      </w:pPr>
      <w:rPr>
        <w:rFonts w:ascii="Symbol" w:hAnsi="Symbol" w:hint="default"/>
      </w:rPr>
    </w:lvl>
    <w:lvl w:ilvl="7" w:tentative="1">
      <w:start w:val="1"/>
      <w:numFmt w:val="bullet"/>
      <w:lvlText w:val="o"/>
      <w:lvlJc w:val="left"/>
      <w:pPr>
        <w:tabs>
          <w:tab w:val="num" w:pos="6450"/>
        </w:tabs>
        <w:ind w:left="6450" w:hanging="360"/>
      </w:pPr>
      <w:rPr>
        <w:rFonts w:ascii="Courier New" w:hAnsi="Courier New" w:cs="Courier New" w:hint="default"/>
      </w:rPr>
    </w:lvl>
    <w:lvl w:ilvl="8" w:tentative="1">
      <w:start w:val="1"/>
      <w:numFmt w:val="bullet"/>
      <w:lvlText w:val=""/>
      <w:lvlJc w:val="left"/>
      <w:pPr>
        <w:tabs>
          <w:tab w:val="num" w:pos="7170"/>
        </w:tabs>
        <w:ind w:left="7170" w:hanging="360"/>
      </w:pPr>
      <w:rPr>
        <w:rFonts w:ascii="Wingdings" w:hAnsi="Wingdings" w:hint="default"/>
      </w:rPr>
    </w:lvl>
  </w:abstractNum>
  <w:abstractNum w:abstractNumId="1">
    <w:nsid w:val="24836603"/>
    <w:multiLevelType w:val="hybridMultilevel"/>
    <w:tmpl w:val="94889E0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7601914"/>
    <w:multiLevelType w:val="hybridMultilevel"/>
    <w:tmpl w:val="A7C0EDD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437116"/>
    <w:multiLevelType w:val="hybridMultilevel"/>
    <w:tmpl w:val="099636F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3">
    <w:nsid w:val="71342224"/>
    <w:multiLevelType w:val="hybridMultilevel"/>
    <w:tmpl w:val="F03E321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CBA414C"/>
    <w:multiLevelType w:val="hybridMultilevel"/>
    <w:tmpl w:val="A4026BF2"/>
    <w:lvl w:ilvl="0">
      <w:start w:val="0"/>
      <w:numFmt w:val="bullet"/>
      <w:lvlText w:val=""/>
      <w:lvlJc w:val="left"/>
      <w:pPr>
        <w:tabs>
          <w:tab w:val="num" w:pos="1080"/>
        </w:tabs>
        <w:ind w:left="1080" w:hanging="72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5"/>
  </w:num>
  <w:num w:numId="13">
    <w:abstractNumId w:val="14"/>
  </w:num>
  <w:num w:numId="14">
    <w:abstractNumId w:val="9"/>
  </w:num>
  <w:num w:numId="15">
    <w:abstractNumId w:val="4"/>
  </w:num>
  <w:num w:numId="16">
    <w:abstractNumId w:val="7"/>
  </w:num>
  <w:num w:numId="17">
    <w:abstractNumId w:val="13"/>
  </w:num>
  <w:num w:numId="18">
    <w:abstractNumId w:val="15"/>
  </w:num>
  <w:num w:numId="19">
    <w:abstractNumId w:val="0"/>
  </w:num>
  <w:num w:numId="20">
    <w:abstractNumId w:val="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56"/>
    <w:rsid w:val="0000138A"/>
    <w:rsid w:val="00015D2E"/>
    <w:rsid w:val="00023B97"/>
    <w:rsid w:val="00030956"/>
    <w:rsid w:val="00035A68"/>
    <w:rsid w:val="000731F4"/>
    <w:rsid w:val="0008782C"/>
    <w:rsid w:val="000F6998"/>
    <w:rsid w:val="0014092A"/>
    <w:rsid w:val="00162567"/>
    <w:rsid w:val="001732C0"/>
    <w:rsid w:val="001844DA"/>
    <w:rsid w:val="00194EBB"/>
    <w:rsid w:val="001B0415"/>
    <w:rsid w:val="001D3ECC"/>
    <w:rsid w:val="002138A4"/>
    <w:rsid w:val="00245CED"/>
    <w:rsid w:val="00247922"/>
    <w:rsid w:val="00256761"/>
    <w:rsid w:val="00287CE9"/>
    <w:rsid w:val="0029383A"/>
    <w:rsid w:val="00293A57"/>
    <w:rsid w:val="002B0275"/>
    <w:rsid w:val="002D0C9E"/>
    <w:rsid w:val="002D2FFF"/>
    <w:rsid w:val="002D42D5"/>
    <w:rsid w:val="002D6021"/>
    <w:rsid w:val="002E009B"/>
    <w:rsid w:val="002F23B7"/>
    <w:rsid w:val="00301722"/>
    <w:rsid w:val="003A0C5A"/>
    <w:rsid w:val="003D572A"/>
    <w:rsid w:val="004130C3"/>
    <w:rsid w:val="00452D27"/>
    <w:rsid w:val="00460E4C"/>
    <w:rsid w:val="00472A0B"/>
    <w:rsid w:val="00487FB2"/>
    <w:rsid w:val="00495AF5"/>
    <w:rsid w:val="004C752D"/>
    <w:rsid w:val="004E01E9"/>
    <w:rsid w:val="004E07C9"/>
    <w:rsid w:val="00526F9F"/>
    <w:rsid w:val="00531101"/>
    <w:rsid w:val="005328AF"/>
    <w:rsid w:val="005459C6"/>
    <w:rsid w:val="00562696"/>
    <w:rsid w:val="00596D38"/>
    <w:rsid w:val="005A3E88"/>
    <w:rsid w:val="005B58A0"/>
    <w:rsid w:val="005C6235"/>
    <w:rsid w:val="005F43BD"/>
    <w:rsid w:val="005F6BC2"/>
    <w:rsid w:val="005F773E"/>
    <w:rsid w:val="0063505F"/>
    <w:rsid w:val="006355AE"/>
    <w:rsid w:val="0064332E"/>
    <w:rsid w:val="00651377"/>
    <w:rsid w:val="006951B2"/>
    <w:rsid w:val="006A6289"/>
    <w:rsid w:val="006B77CC"/>
    <w:rsid w:val="006D6C0A"/>
    <w:rsid w:val="006F765C"/>
    <w:rsid w:val="00723D1B"/>
    <w:rsid w:val="00731AED"/>
    <w:rsid w:val="00753510"/>
    <w:rsid w:val="00771831"/>
    <w:rsid w:val="00780469"/>
    <w:rsid w:val="00783B5B"/>
    <w:rsid w:val="007B18D9"/>
    <w:rsid w:val="007B7640"/>
    <w:rsid w:val="007F520B"/>
    <w:rsid w:val="007F732B"/>
    <w:rsid w:val="00803E52"/>
    <w:rsid w:val="00813D63"/>
    <w:rsid w:val="00822B21"/>
    <w:rsid w:val="008355CA"/>
    <w:rsid w:val="008443DC"/>
    <w:rsid w:val="00867BF3"/>
    <w:rsid w:val="00895253"/>
    <w:rsid w:val="008C2DC5"/>
    <w:rsid w:val="00921EEC"/>
    <w:rsid w:val="0092365F"/>
    <w:rsid w:val="00924FA3"/>
    <w:rsid w:val="00935407"/>
    <w:rsid w:val="00964311"/>
    <w:rsid w:val="009903CC"/>
    <w:rsid w:val="009F1F95"/>
    <w:rsid w:val="00A038D3"/>
    <w:rsid w:val="00A73B39"/>
    <w:rsid w:val="00A81A50"/>
    <w:rsid w:val="00AB7DAB"/>
    <w:rsid w:val="00B54C90"/>
    <w:rsid w:val="00B61AF6"/>
    <w:rsid w:val="00B72566"/>
    <w:rsid w:val="00B8193C"/>
    <w:rsid w:val="00BD2E8E"/>
    <w:rsid w:val="00BD4680"/>
    <w:rsid w:val="00C11980"/>
    <w:rsid w:val="00C258EA"/>
    <w:rsid w:val="00C363A5"/>
    <w:rsid w:val="00C5455B"/>
    <w:rsid w:val="00C70DCC"/>
    <w:rsid w:val="00C936AE"/>
    <w:rsid w:val="00C93902"/>
    <w:rsid w:val="00D00B86"/>
    <w:rsid w:val="00D25BF2"/>
    <w:rsid w:val="00D33054"/>
    <w:rsid w:val="00D428F1"/>
    <w:rsid w:val="00D51DD1"/>
    <w:rsid w:val="00D5415F"/>
    <w:rsid w:val="00D80B1C"/>
    <w:rsid w:val="00DA393B"/>
    <w:rsid w:val="00DD6D7F"/>
    <w:rsid w:val="00DE302C"/>
    <w:rsid w:val="00E0425A"/>
    <w:rsid w:val="00E162F9"/>
    <w:rsid w:val="00EC44B0"/>
    <w:rsid w:val="00EF5F25"/>
    <w:rsid w:val="00F12B45"/>
    <w:rsid w:val="00F22398"/>
    <w:rsid w:val="00F37394"/>
    <w:rsid w:val="00F826FB"/>
    <w:rsid w:val="00F92D06"/>
    <w:rsid w:val="00FC72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F692DA-EC64-4B1F-901C-625E26C2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111"/>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Footnote Text Char,Footnote Text Char Char Char Char Char,Footnote Text Char Char4,Footnote Text Char1,Footnote Text Char1 Char Char Char Char Char,Footnote Text Char1 Char1 Char Char,Footnote Text Char2,Footnote Text Char2 Char Char,f,fn"/>
    <w:basedOn w:val="Normal"/>
    <w:link w:val="FootnoteTextChar3"/>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customStyle="1" w:styleId="ParaNum0">
    <w:name w:val="ParaNum"/>
    <w:basedOn w:val="Normal"/>
    <w:link w:val="ParaNumChar"/>
    <w:pPr>
      <w:numPr>
        <w:numId w:val="22"/>
      </w:numPr>
      <w:tabs>
        <w:tab w:val="clear" w:pos="1080"/>
        <w:tab w:val="num" w:pos="1440"/>
      </w:tabs>
      <w:spacing w:after="120"/>
    </w:pPr>
    <w:rPr>
      <w:rFonts w:ascii="Times New Roman" w:hAnsi="Times New Roman"/>
      <w:snapToGrid w:val="0"/>
      <w:kern w:val="28"/>
      <w:sz w:val="22"/>
    </w:rPr>
  </w:style>
  <w:style w:type="character" w:customStyle="1" w:styleId="FootnoteTextChar3">
    <w:name w:val="Footnote Text Char3"/>
    <w:aliases w:val="Footnote Text Char Char Char Char Char Char,Footnote Text Char Char4 Char,Footnote Text Char1 Char Char Char Char Char Char,Footnote Text Char1 Char1 Char Char Char,Footnote Text Char2 Char,Footnote Text Char2 Char Char Char,fn Char"/>
    <w:link w:val="FootnoteText"/>
    <w:rsid w:val="009C24AD"/>
    <w:rPr>
      <w:rFonts w:ascii="Times Roman" w:hAnsi="Times Roman"/>
      <w:lang w:val="en-US" w:eastAsia="en-US" w:bidi="ar-SA"/>
    </w:rPr>
  </w:style>
  <w:style w:type="character" w:customStyle="1" w:styleId="ParaNumChar">
    <w:name w:val="ParaNum Char"/>
    <w:link w:val="ParaNum0"/>
    <w:locked/>
    <w:rsid w:val="00264C11"/>
    <w:rPr>
      <w:snapToGrid w:val="0"/>
      <w:kern w:val="28"/>
      <w:sz w:val="22"/>
      <w:lang w:val="en-US" w:eastAsia="en-US" w:bidi="ar-SA"/>
    </w:rPr>
  </w:style>
  <w:style w:type="paragraph" w:styleId="BalloonText">
    <w:name w:val="Balloon Text"/>
    <w:basedOn w:val="Normal"/>
    <w:semiHidden/>
    <w:rsid w:val="00164957"/>
    <w:rPr>
      <w:rFonts w:ascii="Tahoma" w:hAnsi="Tahoma" w:cs="Tahoma"/>
      <w:sz w:val="16"/>
      <w:szCs w:val="16"/>
    </w:rPr>
  </w:style>
  <w:style w:type="paragraph" w:styleId="CommentText">
    <w:name w:val="annotation text"/>
    <w:basedOn w:val="Normal"/>
    <w:link w:val="CommentTextChar"/>
    <w:rsid w:val="00793A3E"/>
    <w:pPr>
      <w:widowControl/>
    </w:pPr>
    <w:rPr>
      <w:rFonts w:ascii="Times New Roman" w:hAnsi="Times New Roman"/>
    </w:rPr>
  </w:style>
  <w:style w:type="character" w:styleId="CommentReference">
    <w:name w:val="annotation reference"/>
    <w:rsid w:val="006E791B"/>
    <w:rPr>
      <w:sz w:val="16"/>
      <w:szCs w:val="16"/>
    </w:rPr>
  </w:style>
  <w:style w:type="paragraph" w:styleId="CommentSubject">
    <w:name w:val="annotation subject"/>
    <w:basedOn w:val="CommentText"/>
    <w:next w:val="CommentText"/>
    <w:link w:val="CommentSubjectChar"/>
    <w:rsid w:val="006E791B"/>
    <w:pPr>
      <w:widowControl w:val="0"/>
    </w:pPr>
    <w:rPr>
      <w:rFonts w:ascii="Times Roman" w:hAnsi="Times Roman"/>
      <w:b/>
      <w:bCs/>
      <w:lang w:val="x-none" w:eastAsia="x-none"/>
    </w:rPr>
  </w:style>
  <w:style w:type="character" w:customStyle="1" w:styleId="CommentTextChar">
    <w:name w:val="Comment Text Char"/>
    <w:basedOn w:val="DefaultParagraphFont"/>
    <w:link w:val="CommentText"/>
    <w:rsid w:val="006E791B"/>
  </w:style>
  <w:style w:type="character" w:customStyle="1" w:styleId="CommentSubjectChar">
    <w:name w:val="Comment Subject Char"/>
    <w:link w:val="CommentSubject"/>
    <w:rsid w:val="006E791B"/>
    <w:rPr>
      <w:rFonts w:ascii="Times Roman" w:hAnsi="Times Roman"/>
      <w:b/>
      <w:bCs/>
    </w:rPr>
  </w:style>
  <w:style w:type="paragraph" w:styleId="NormalWeb">
    <w:name w:val="Normal (Web)"/>
    <w:basedOn w:val="Normal"/>
    <w:rsid w:val="00181821"/>
    <w:pPr>
      <w:widowControl/>
      <w:spacing w:before="100" w:beforeAutospacing="1" w:after="100" w:afterAutospacing="1"/>
    </w:pPr>
    <w:rPr>
      <w:rFonts w:ascii="Times New Roman" w:eastAsia="Calibri" w:hAnsi="Times New Roman"/>
      <w:sz w:val="24"/>
      <w:szCs w:val="24"/>
    </w:rPr>
  </w:style>
  <w:style w:type="character" w:customStyle="1" w:styleId="ParaNumChar1">
    <w:name w:val="ParaNum Char1"/>
    <w:locked/>
    <w:rsid w:val="00B54C90"/>
    <w:rPr>
      <w:snapToGrid w:val="0"/>
      <w:kern w:val="28"/>
      <w:sz w:val="22"/>
    </w:rPr>
  </w:style>
  <w:style w:type="paragraph" w:styleId="Revision">
    <w:name w:val="Revision"/>
    <w:hidden/>
    <w:semiHidden/>
    <w:rsid w:val="00472A0B"/>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www.fcc.gov/regfees"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