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2AB51CE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7AA36D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1655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805CAE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145541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A874DF" w:rsidRPr="00A874DF" w:rsidP="00A874DF" w14:paraId="77F2BA9D" w14:textId="77777777">
            <w:pPr>
              <w:rPr>
                <w:bCs/>
                <w:sz w:val="22"/>
                <w:szCs w:val="22"/>
              </w:rPr>
            </w:pPr>
            <w:r w:rsidRPr="00A874DF">
              <w:rPr>
                <w:bCs/>
                <w:sz w:val="22"/>
                <w:szCs w:val="22"/>
              </w:rPr>
              <w:t>Cecilia Sulhoff, (202) 418-0587</w:t>
            </w:r>
          </w:p>
          <w:p w:rsidR="007A44F8" w:rsidP="00A874DF" w14:paraId="35C6E265" w14:textId="26867248">
            <w:pPr>
              <w:rPr>
                <w:bCs/>
                <w:sz w:val="22"/>
                <w:szCs w:val="22"/>
              </w:rPr>
            </w:pPr>
            <w:r w:rsidRPr="00A874DF">
              <w:rPr>
                <w:bCs/>
                <w:sz w:val="22"/>
                <w:szCs w:val="22"/>
              </w:rPr>
              <w:t>cecilia.sulhoff@fcc.gov</w:t>
            </w:r>
          </w:p>
          <w:p w:rsidR="00A874DF" w:rsidRPr="008A3940" w:rsidP="00A874DF" w14:paraId="4E7C31A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9E81D9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C364EC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B038762" w14:textId="0ED6CDA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ED1431">
              <w:rPr>
                <w:b/>
                <w:bCs/>
                <w:sz w:val="26"/>
                <w:szCs w:val="26"/>
              </w:rPr>
              <w:t xml:space="preserve">ADOPTS NEW RULES TO </w:t>
            </w:r>
            <w:r w:rsidR="00BB2E3F">
              <w:rPr>
                <w:b/>
                <w:bCs/>
                <w:sz w:val="26"/>
                <w:szCs w:val="26"/>
              </w:rPr>
              <w:t xml:space="preserve">INCREASE </w:t>
            </w:r>
            <w:r w:rsidR="00ED1431">
              <w:rPr>
                <w:b/>
                <w:bCs/>
                <w:sz w:val="26"/>
                <w:szCs w:val="26"/>
              </w:rPr>
              <w:t>USE OF 4.9 GHZ SPECTRUM BAND</w:t>
            </w:r>
          </w:p>
          <w:p w:rsidR="00CC5E08" w:rsidRPr="008A3940" w:rsidP="00040127" w14:paraId="216D5F52" w14:textId="1F3D8F4E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Greater</w:t>
            </w:r>
            <w:r w:rsidR="00781018">
              <w:rPr>
                <w:b/>
                <w:bCs/>
                <w:i/>
              </w:rPr>
              <w:t xml:space="preserve"> </w:t>
            </w:r>
            <w:r w:rsidR="00F92954">
              <w:rPr>
                <w:b/>
                <w:bCs/>
                <w:i/>
              </w:rPr>
              <w:t>Use Will Promote Avail</w:t>
            </w:r>
            <w:r w:rsidR="00507A06">
              <w:rPr>
                <w:b/>
                <w:bCs/>
                <w:i/>
              </w:rPr>
              <w:t>ability and Affordability of Equipment</w:t>
            </w:r>
            <w:r w:rsidR="0069717B">
              <w:rPr>
                <w:b/>
                <w:bCs/>
                <w:i/>
              </w:rPr>
              <w:t xml:space="preserve"> for Under</w:t>
            </w:r>
            <w:r w:rsidR="00163E80">
              <w:rPr>
                <w:b/>
                <w:bCs/>
                <w:i/>
              </w:rPr>
              <w:t xml:space="preserve">utilized </w:t>
            </w:r>
            <w:r w:rsidR="0069717B">
              <w:rPr>
                <w:b/>
                <w:bCs/>
                <w:i/>
              </w:rPr>
              <w:t>Band</w:t>
            </w:r>
            <w:r w:rsidR="00507A06">
              <w:rPr>
                <w:b/>
                <w:bCs/>
                <w:i/>
              </w:rPr>
              <w:t xml:space="preserve"> </w:t>
            </w:r>
          </w:p>
          <w:p w:rsidR="00F61155" w:rsidRPr="006B0A70" w:rsidP="00BB4E29" w14:paraId="7BEE80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D1431" w:rsidRPr="00881405" w:rsidP="0086146B" w14:paraId="59024635" w14:textId="7D2669CA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>
              <w:rPr>
                <w:sz w:val="22"/>
                <w:szCs w:val="22"/>
              </w:rPr>
              <w:t>September 30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Pr="00881405" w:rsidR="000E049E">
              <w:rPr>
                <w:sz w:val="22"/>
                <w:szCs w:val="22"/>
              </w:rPr>
              <w:t>today</w:t>
            </w:r>
            <w:r w:rsidRPr="00881405" w:rsidR="00040127">
              <w:rPr>
                <w:sz w:val="22"/>
                <w:szCs w:val="22"/>
              </w:rPr>
              <w:t xml:space="preserve"> </w:t>
            </w:r>
            <w:r w:rsidRPr="00881405">
              <w:rPr>
                <w:sz w:val="22"/>
                <w:szCs w:val="22"/>
              </w:rPr>
              <w:t>adopted</w:t>
            </w:r>
            <w:r w:rsidRPr="00881405" w:rsidR="004B56E3">
              <w:rPr>
                <w:sz w:val="22"/>
                <w:szCs w:val="22"/>
              </w:rPr>
              <w:t xml:space="preserve"> rules </w:t>
            </w:r>
            <w:r w:rsidRPr="00881405" w:rsidR="001E0AF9">
              <w:rPr>
                <w:sz w:val="22"/>
                <w:szCs w:val="22"/>
              </w:rPr>
              <w:t>permitting</w:t>
            </w:r>
            <w:r w:rsidRPr="00881405" w:rsidR="004B56E3">
              <w:rPr>
                <w:sz w:val="22"/>
                <w:szCs w:val="22"/>
              </w:rPr>
              <w:t xml:space="preserve"> expanded use of </w:t>
            </w:r>
            <w:r w:rsidRPr="00881405" w:rsidR="001E0AF9">
              <w:rPr>
                <w:rFonts w:eastAsiaTheme="majorEastAsia"/>
                <w:sz w:val="22"/>
                <w:szCs w:val="22"/>
              </w:rPr>
              <w:t>50</w:t>
            </w:r>
            <w:r w:rsidRPr="00881405" w:rsidR="001E0AF9">
              <w:rPr>
                <w:rFonts w:eastAsiaTheme="majorEastAsia"/>
              </w:rPr>
              <w:t xml:space="preserve"> </w:t>
            </w:r>
            <w:r w:rsidRPr="00881405" w:rsidR="001E0AF9">
              <w:rPr>
                <w:rFonts w:eastAsiaTheme="majorEastAsia"/>
                <w:sz w:val="22"/>
                <w:szCs w:val="22"/>
              </w:rPr>
              <w:t xml:space="preserve">megahertz of mid-band spectrum in </w:t>
            </w:r>
            <w:r w:rsidRPr="00BC422C" w:rsidR="00BC422C">
              <w:rPr>
                <w:rFonts w:eastAsiaTheme="majorEastAsia"/>
                <w:sz w:val="22"/>
                <w:szCs w:val="22"/>
              </w:rPr>
              <w:t xml:space="preserve">the 4.9 GHz (4940-4990 MHz) band </w:t>
            </w:r>
            <w:r w:rsidRPr="00881405" w:rsidR="001E0AF9">
              <w:rPr>
                <w:sz w:val="22"/>
                <w:szCs w:val="22"/>
              </w:rPr>
              <w:t>that is currently underused</w:t>
            </w:r>
            <w:r w:rsidRPr="00881405" w:rsidR="004B56E3">
              <w:rPr>
                <w:rFonts w:eastAsiaTheme="majorEastAsia"/>
                <w:sz w:val="22"/>
                <w:szCs w:val="22"/>
              </w:rPr>
              <w:t>.  Under the new rules,</w:t>
            </w:r>
            <w:r w:rsidRPr="00881405" w:rsidR="004B56E3">
              <w:rPr>
                <w:rFonts w:eastAsiaTheme="majorEastAsia"/>
              </w:rPr>
              <w:t xml:space="preserve"> </w:t>
            </w:r>
            <w:r w:rsidRPr="00881405" w:rsidR="004B56E3">
              <w:rPr>
                <w:sz w:val="22"/>
                <w:szCs w:val="22"/>
              </w:rPr>
              <w:t>states are a</w:t>
            </w:r>
            <w:r w:rsidRPr="00881405" w:rsidR="001E0AF9">
              <w:rPr>
                <w:sz w:val="22"/>
                <w:szCs w:val="22"/>
              </w:rPr>
              <w:t>llowed</w:t>
            </w:r>
            <w:r w:rsidRPr="00881405" w:rsidR="004B56E3">
              <w:rPr>
                <w:sz w:val="22"/>
                <w:szCs w:val="22"/>
              </w:rPr>
              <w:t xml:space="preserve"> to</w:t>
            </w:r>
            <w:r w:rsidRPr="00881405" w:rsidR="00567650">
              <w:rPr>
                <w:sz w:val="22"/>
                <w:szCs w:val="22"/>
              </w:rPr>
              <w:t xml:space="preserve"> lease </w:t>
            </w:r>
            <w:r w:rsidRPr="00881405" w:rsidR="001A22F7">
              <w:rPr>
                <w:sz w:val="22"/>
                <w:szCs w:val="22"/>
              </w:rPr>
              <w:t xml:space="preserve">this </w:t>
            </w:r>
            <w:r w:rsidRPr="00881405" w:rsidR="004B56E3">
              <w:rPr>
                <w:sz w:val="22"/>
                <w:szCs w:val="22"/>
              </w:rPr>
              <w:t xml:space="preserve">spectrum to third parties to </w:t>
            </w:r>
            <w:r w:rsidRPr="00881405" w:rsidR="00567650">
              <w:rPr>
                <w:sz w:val="22"/>
                <w:szCs w:val="22"/>
              </w:rPr>
              <w:t xml:space="preserve">boost wireless broadband, improve critical infrastructure monitoring, </w:t>
            </w:r>
            <w:r w:rsidRPr="00881405" w:rsidR="004B56E3">
              <w:rPr>
                <w:sz w:val="22"/>
                <w:szCs w:val="22"/>
              </w:rPr>
              <w:t>and</w:t>
            </w:r>
            <w:r w:rsidRPr="00881405" w:rsidR="00567650">
              <w:rPr>
                <w:sz w:val="22"/>
                <w:szCs w:val="22"/>
              </w:rPr>
              <w:t xml:space="preserve"> facilitate public safety use cases</w:t>
            </w:r>
            <w:r w:rsidRPr="00881405" w:rsidR="00D62F56">
              <w:rPr>
                <w:sz w:val="22"/>
                <w:szCs w:val="22"/>
              </w:rPr>
              <w:t xml:space="preserve">.  This will allow individual states to use the spectrum to best meet their unique needs.  </w:t>
            </w:r>
          </w:p>
          <w:p w:rsidR="00ED1431" w:rsidRPr="00881405" w:rsidP="0086146B" w14:paraId="55283D82" w14:textId="77777777">
            <w:pPr>
              <w:rPr>
                <w:sz w:val="22"/>
                <w:szCs w:val="22"/>
              </w:rPr>
            </w:pPr>
          </w:p>
          <w:p w:rsidR="0086146B" w:rsidRPr="00881405" w:rsidP="004B56E3" w14:paraId="5B6810F3" w14:textId="5A80FAD0">
            <w:pPr>
              <w:rPr>
                <w:b/>
                <w:bCs/>
                <w:sz w:val="22"/>
                <w:szCs w:val="22"/>
              </w:rPr>
            </w:pPr>
            <w:r w:rsidRPr="00881405">
              <w:rPr>
                <w:sz w:val="22"/>
                <w:szCs w:val="22"/>
              </w:rPr>
              <w:t xml:space="preserve">In the 18 years since the FCC designated </w:t>
            </w:r>
            <w:r w:rsidRPr="00881405" w:rsidR="00567650">
              <w:rPr>
                <w:sz w:val="22"/>
                <w:szCs w:val="22"/>
              </w:rPr>
              <w:t>the 4.9 GHz</w:t>
            </w:r>
            <w:r w:rsidRPr="00881405">
              <w:rPr>
                <w:sz w:val="22"/>
                <w:szCs w:val="22"/>
              </w:rPr>
              <w:t xml:space="preserve"> band for public safety use</w:t>
            </w:r>
            <w:r w:rsidRPr="00881405">
              <w:rPr>
                <w:sz w:val="22"/>
                <w:szCs w:val="22"/>
              </w:rPr>
              <w:t xml:space="preserve">, </w:t>
            </w:r>
            <w:r w:rsidRPr="00881405" w:rsidR="001A22F7">
              <w:rPr>
                <w:sz w:val="22"/>
                <w:szCs w:val="22"/>
              </w:rPr>
              <w:t xml:space="preserve">only about </w:t>
            </w:r>
            <w:r w:rsidRPr="00881405">
              <w:rPr>
                <w:sz w:val="22"/>
                <w:szCs w:val="22"/>
              </w:rPr>
              <w:t>3.5% of</w:t>
            </w:r>
            <w:r w:rsidRPr="00881405" w:rsidR="00CB2385">
              <w:rPr>
                <w:sz w:val="22"/>
                <w:szCs w:val="22"/>
              </w:rPr>
              <w:t xml:space="preserve"> all</w:t>
            </w:r>
            <w:r w:rsidRPr="00881405">
              <w:rPr>
                <w:sz w:val="22"/>
                <w:szCs w:val="22"/>
              </w:rPr>
              <w:t xml:space="preserve"> potential licensees have taken advantage of this spectrum</w:t>
            </w:r>
            <w:r w:rsidRPr="00881405" w:rsidR="00CB2385">
              <w:rPr>
                <w:sz w:val="22"/>
                <w:szCs w:val="22"/>
              </w:rPr>
              <w:t xml:space="preserve"> opportunity</w:t>
            </w:r>
            <w:r w:rsidRPr="00881405" w:rsidR="001A22F7">
              <w:rPr>
                <w:sz w:val="22"/>
                <w:szCs w:val="22"/>
              </w:rPr>
              <w:t>, and this spectrum remains largely unused outside major metropolitan areas</w:t>
            </w:r>
            <w:r w:rsidRPr="00881405" w:rsidR="0005784E">
              <w:rPr>
                <w:sz w:val="22"/>
                <w:szCs w:val="22"/>
              </w:rPr>
              <w:t>.</w:t>
            </w:r>
            <w:r w:rsidRPr="00881405">
              <w:rPr>
                <w:sz w:val="22"/>
                <w:szCs w:val="22"/>
              </w:rPr>
              <w:t xml:space="preserve"> </w:t>
            </w:r>
            <w:r w:rsidRPr="00881405">
              <w:rPr>
                <w:sz w:val="22"/>
                <w:szCs w:val="22"/>
              </w:rPr>
              <w:t xml:space="preserve"> </w:t>
            </w:r>
            <w:r w:rsidRPr="00881405" w:rsidR="004B56E3">
              <w:rPr>
                <w:sz w:val="22"/>
                <w:szCs w:val="22"/>
              </w:rPr>
              <w:t xml:space="preserve">The rules adopted today </w:t>
            </w:r>
            <w:r w:rsidRPr="00881405" w:rsidR="006F6A0C">
              <w:rPr>
                <w:sz w:val="22"/>
                <w:szCs w:val="22"/>
              </w:rPr>
              <w:t>establish a new</w:t>
            </w:r>
            <w:r w:rsidRPr="00881405" w:rsidR="00D62607">
              <w:rPr>
                <w:sz w:val="22"/>
                <w:szCs w:val="22"/>
              </w:rPr>
              <w:t xml:space="preserve"> </w:t>
            </w:r>
            <w:r w:rsidRPr="00881405" w:rsidR="006F6A0C">
              <w:rPr>
                <w:sz w:val="22"/>
                <w:szCs w:val="22"/>
              </w:rPr>
              <w:t xml:space="preserve"> framework</w:t>
            </w:r>
            <w:r w:rsidRPr="00881405" w:rsidR="004B56E3">
              <w:rPr>
                <w:sz w:val="22"/>
                <w:szCs w:val="22"/>
              </w:rPr>
              <w:t xml:space="preserve"> that </w:t>
            </w:r>
            <w:r w:rsidRPr="00881405" w:rsidR="008777A7">
              <w:rPr>
                <w:sz w:val="22"/>
                <w:szCs w:val="22"/>
              </w:rPr>
              <w:t xml:space="preserve">will empower </w:t>
            </w:r>
            <w:r w:rsidRPr="00881405" w:rsidR="005440D5">
              <w:rPr>
                <w:sz w:val="22"/>
                <w:szCs w:val="22"/>
              </w:rPr>
              <w:t xml:space="preserve">eligible </w:t>
            </w:r>
            <w:r w:rsidRPr="00881405" w:rsidR="008777A7">
              <w:rPr>
                <w:sz w:val="22"/>
                <w:szCs w:val="22"/>
              </w:rPr>
              <w:t xml:space="preserve">states to put 4.9 GHz </w:t>
            </w:r>
            <w:r w:rsidRPr="00881405" w:rsidR="001A22F7">
              <w:rPr>
                <w:sz w:val="22"/>
                <w:szCs w:val="22"/>
              </w:rPr>
              <w:t xml:space="preserve">band </w:t>
            </w:r>
            <w:r w:rsidRPr="00881405" w:rsidR="008777A7">
              <w:rPr>
                <w:sz w:val="22"/>
                <w:szCs w:val="22"/>
              </w:rPr>
              <w:t>spectrum to its highest and best use</w:t>
            </w:r>
            <w:r w:rsidRPr="00881405" w:rsidR="00F9400C">
              <w:rPr>
                <w:sz w:val="22"/>
                <w:szCs w:val="22"/>
              </w:rPr>
              <w:t xml:space="preserve"> and</w:t>
            </w:r>
            <w:r w:rsidRPr="00881405" w:rsidR="008777A7">
              <w:rPr>
                <w:sz w:val="22"/>
                <w:szCs w:val="22"/>
              </w:rPr>
              <w:t xml:space="preserve"> </w:t>
            </w:r>
            <w:r w:rsidRPr="00881405" w:rsidR="00303B59">
              <w:rPr>
                <w:sz w:val="22"/>
                <w:szCs w:val="22"/>
              </w:rPr>
              <w:t xml:space="preserve">to </w:t>
            </w:r>
            <w:r w:rsidRPr="00881405" w:rsidR="008777A7">
              <w:rPr>
                <w:sz w:val="22"/>
                <w:szCs w:val="22"/>
              </w:rPr>
              <w:t>allow new partnerships with electric utilities, FirstNet, and commercial operators to increase usage of this spectrum</w:t>
            </w:r>
            <w:r w:rsidRPr="00881405" w:rsidR="00640B2D">
              <w:rPr>
                <w:sz w:val="22"/>
                <w:szCs w:val="22"/>
              </w:rPr>
              <w:t>, while protecting existing public safety operations</w:t>
            </w:r>
            <w:r w:rsidRPr="00881405" w:rsidR="00694310">
              <w:rPr>
                <w:sz w:val="22"/>
                <w:szCs w:val="22"/>
              </w:rPr>
              <w:t>.</w:t>
            </w:r>
            <w:r w:rsidRPr="00881405" w:rsidR="00AF408C">
              <w:rPr>
                <w:sz w:val="22"/>
                <w:szCs w:val="22"/>
              </w:rPr>
              <w:t xml:space="preserve">  And by expanding use of the </w:t>
            </w:r>
            <w:r w:rsidRPr="00881405" w:rsidR="00427814">
              <w:rPr>
                <w:sz w:val="22"/>
                <w:szCs w:val="22"/>
              </w:rPr>
              <w:t xml:space="preserve">4.9 GHz </w:t>
            </w:r>
            <w:r w:rsidRPr="00881405" w:rsidR="00AF408C">
              <w:rPr>
                <w:sz w:val="22"/>
                <w:szCs w:val="22"/>
              </w:rPr>
              <w:t xml:space="preserve">band, the rules will facilitate the development of a more robust equipment market </w:t>
            </w:r>
            <w:r w:rsidRPr="00881405" w:rsidR="00427814">
              <w:rPr>
                <w:sz w:val="22"/>
                <w:szCs w:val="22"/>
              </w:rPr>
              <w:t xml:space="preserve">for the band, addressing a problem that </w:t>
            </w:r>
            <w:r w:rsidRPr="00881405" w:rsidR="00A77708">
              <w:rPr>
                <w:sz w:val="22"/>
                <w:szCs w:val="22"/>
              </w:rPr>
              <w:t xml:space="preserve">to date </w:t>
            </w:r>
            <w:r w:rsidRPr="00881405" w:rsidR="00427814">
              <w:rPr>
                <w:sz w:val="22"/>
                <w:szCs w:val="22"/>
              </w:rPr>
              <w:t xml:space="preserve">hampered </w:t>
            </w:r>
            <w:r w:rsidRPr="00881405" w:rsidR="00115B02">
              <w:rPr>
                <w:sz w:val="22"/>
                <w:szCs w:val="22"/>
              </w:rPr>
              <w:t>efforts to</w:t>
            </w:r>
            <w:r w:rsidRPr="00881405" w:rsidR="00EF528E">
              <w:rPr>
                <w:sz w:val="22"/>
                <w:szCs w:val="22"/>
              </w:rPr>
              <w:t xml:space="preserve"> deploy service in the band.</w:t>
            </w:r>
            <w:r w:rsidRPr="00881405" w:rsidR="000E3E98">
              <w:rPr>
                <w:sz w:val="22"/>
                <w:szCs w:val="22"/>
              </w:rPr>
              <w:t xml:space="preserve"> </w:t>
            </w:r>
            <w:r w:rsidRPr="00881405" w:rsidR="00115B02">
              <w:rPr>
                <w:sz w:val="22"/>
                <w:szCs w:val="22"/>
              </w:rPr>
              <w:t xml:space="preserve"> </w:t>
            </w:r>
            <w:r w:rsidRPr="00881405" w:rsidR="00640B2D">
              <w:rPr>
                <w:sz w:val="22"/>
                <w:szCs w:val="22"/>
              </w:rPr>
              <w:t xml:space="preserve"> </w:t>
            </w:r>
          </w:p>
          <w:p w:rsidR="00A04C13" w:rsidRPr="00881405" w:rsidP="002E165B" w14:paraId="3A3508D5" w14:textId="77777777">
            <w:pPr>
              <w:rPr>
                <w:sz w:val="22"/>
                <w:szCs w:val="22"/>
              </w:rPr>
            </w:pPr>
          </w:p>
          <w:p w:rsidR="00040127" w:rsidRPr="00881405" w:rsidP="00D94DD8" w14:paraId="1FA09ACA" w14:textId="17AADFC9">
            <w:pPr>
              <w:rPr>
                <w:sz w:val="22"/>
                <w:szCs w:val="22"/>
              </w:rPr>
            </w:pPr>
            <w:r w:rsidRPr="00881405">
              <w:rPr>
                <w:sz w:val="22"/>
                <w:szCs w:val="22"/>
              </w:rPr>
              <w:t>The</w:t>
            </w:r>
            <w:r w:rsidRPr="00881405" w:rsidR="00D94DD8">
              <w:rPr>
                <w:sz w:val="22"/>
                <w:szCs w:val="22"/>
              </w:rPr>
              <w:t xml:space="preserve"> Report and Order permit</w:t>
            </w:r>
            <w:r w:rsidRPr="00881405">
              <w:rPr>
                <w:sz w:val="22"/>
                <w:szCs w:val="22"/>
              </w:rPr>
              <w:t>s</w:t>
            </w:r>
            <w:r w:rsidRPr="00881405" w:rsidR="00D94DD8">
              <w:rPr>
                <w:sz w:val="22"/>
                <w:szCs w:val="22"/>
              </w:rPr>
              <w:t xml:space="preserve"> one statewide 4.9 GHz band licensee per state to lease some or all of its spectrum rights to third parties</w:t>
            </w:r>
            <w:r w:rsidRPr="00881405" w:rsidR="005440D5">
              <w:rPr>
                <w:sz w:val="22"/>
                <w:szCs w:val="22"/>
              </w:rPr>
              <w:t>—</w:t>
            </w:r>
            <w:r w:rsidRPr="00881405" w:rsidR="00D94DD8">
              <w:rPr>
                <w:sz w:val="22"/>
                <w:szCs w:val="22"/>
              </w:rPr>
              <w:t xml:space="preserve">including </w:t>
            </w:r>
            <w:r w:rsidRPr="00881405" w:rsidR="004B56E3">
              <w:rPr>
                <w:sz w:val="22"/>
                <w:szCs w:val="22"/>
              </w:rPr>
              <w:t>commercial and public safety users</w:t>
            </w:r>
            <w:r w:rsidRPr="00881405" w:rsidR="005440D5">
              <w:rPr>
                <w:sz w:val="22"/>
                <w:szCs w:val="22"/>
              </w:rPr>
              <w:t>—in those states that the FCC has not identified as a diverter of 911 fees</w:t>
            </w:r>
            <w:r w:rsidRPr="00881405" w:rsidR="004B56E3">
              <w:rPr>
                <w:sz w:val="22"/>
                <w:szCs w:val="22"/>
              </w:rPr>
              <w:t>.</w:t>
            </w:r>
            <w:r w:rsidRPr="00881405" w:rsidR="00D94DD8">
              <w:rPr>
                <w:sz w:val="22"/>
                <w:szCs w:val="22"/>
              </w:rPr>
              <w:t xml:space="preserve">  </w:t>
            </w:r>
            <w:r w:rsidRPr="00881405" w:rsidR="004B56E3">
              <w:rPr>
                <w:sz w:val="22"/>
                <w:szCs w:val="22"/>
              </w:rPr>
              <w:t xml:space="preserve">The Report and Order does not limit or modify the rights of any incumbent public safety licensees, </w:t>
            </w:r>
            <w:r w:rsidRPr="00881405" w:rsidR="00E86E0A">
              <w:rPr>
                <w:sz w:val="22"/>
                <w:szCs w:val="22"/>
              </w:rPr>
              <w:t xml:space="preserve">so they will be able to continue to provide existing </w:t>
            </w:r>
            <w:r w:rsidRPr="00881405" w:rsidR="004B56E3">
              <w:rPr>
                <w:sz w:val="22"/>
                <w:szCs w:val="22"/>
              </w:rPr>
              <w:t xml:space="preserve">services.  </w:t>
            </w:r>
            <w:r w:rsidRPr="00881405" w:rsidR="00D94DD8">
              <w:rPr>
                <w:sz w:val="22"/>
                <w:szCs w:val="22"/>
              </w:rPr>
              <w:t xml:space="preserve">These new rules </w:t>
            </w:r>
            <w:r w:rsidRPr="00881405" w:rsidR="00E86E0A">
              <w:rPr>
                <w:sz w:val="22"/>
                <w:szCs w:val="22"/>
              </w:rPr>
              <w:t>also</w:t>
            </w:r>
            <w:r w:rsidRPr="00881405" w:rsidR="00EA0B8F">
              <w:rPr>
                <w:sz w:val="22"/>
                <w:szCs w:val="22"/>
              </w:rPr>
              <w:t xml:space="preserve"> </w:t>
            </w:r>
            <w:r w:rsidRPr="00881405" w:rsidR="00D94DD8">
              <w:rPr>
                <w:sz w:val="22"/>
                <w:szCs w:val="22"/>
              </w:rPr>
              <w:t xml:space="preserve">eliminate the requirement that leased spectrum must be used to support public safety </w:t>
            </w:r>
            <w:r w:rsidRPr="00881405" w:rsidR="00E86E0A">
              <w:rPr>
                <w:sz w:val="22"/>
                <w:szCs w:val="22"/>
              </w:rPr>
              <w:t xml:space="preserve">but </w:t>
            </w:r>
            <w:r w:rsidRPr="00881405" w:rsidR="00D94DD8">
              <w:rPr>
                <w:sz w:val="22"/>
                <w:szCs w:val="22"/>
              </w:rPr>
              <w:t xml:space="preserve">would require lessees to adhere to the informal coordination </w:t>
            </w:r>
            <w:r w:rsidRPr="00881405" w:rsidR="004B56E3">
              <w:rPr>
                <w:sz w:val="22"/>
                <w:szCs w:val="22"/>
              </w:rPr>
              <w:t>requirements</w:t>
            </w:r>
            <w:r w:rsidRPr="00881405" w:rsidR="00CB2385">
              <w:rPr>
                <w:sz w:val="22"/>
                <w:szCs w:val="22"/>
              </w:rPr>
              <w:t xml:space="preserve"> applicable to the band</w:t>
            </w:r>
            <w:r w:rsidRPr="00881405" w:rsidR="00D94DD8">
              <w:rPr>
                <w:sz w:val="22"/>
                <w:szCs w:val="22"/>
              </w:rPr>
              <w:t>.</w:t>
            </w:r>
          </w:p>
          <w:p w:rsidR="00BD19E8" w:rsidRPr="00881405" w:rsidP="002E165B" w14:paraId="6F5EEED4" w14:textId="01E0A38C">
            <w:pPr>
              <w:rPr>
                <w:sz w:val="22"/>
                <w:szCs w:val="22"/>
              </w:rPr>
            </w:pPr>
          </w:p>
          <w:p w:rsidR="001D5AF9" w:rsidRPr="00BC422C" w:rsidP="00D94DD8" w14:paraId="4AD1950D" w14:textId="52426501">
            <w:pPr>
              <w:rPr>
                <w:b/>
                <w:bCs/>
                <w:sz w:val="22"/>
                <w:szCs w:val="22"/>
              </w:rPr>
            </w:pPr>
            <w:r w:rsidRPr="00881405">
              <w:rPr>
                <w:sz w:val="22"/>
                <w:szCs w:val="22"/>
              </w:rPr>
              <w:t xml:space="preserve">The Further Notice of Proposed Rulemaking </w:t>
            </w:r>
            <w:r w:rsidRPr="00881405" w:rsidR="00694310">
              <w:rPr>
                <w:sz w:val="22"/>
                <w:szCs w:val="22"/>
              </w:rPr>
              <w:t>also adopted today proposes a new state-based licensing regime for public safety operations in the band, which would complement the new leasing regime.</w:t>
            </w:r>
            <w:r w:rsidRPr="00881405">
              <w:rPr>
                <w:sz w:val="22"/>
                <w:szCs w:val="22"/>
              </w:rPr>
              <w:t xml:space="preserve"> </w:t>
            </w:r>
            <w:r w:rsidRPr="00881405" w:rsidR="00EE03EE">
              <w:rPr>
                <w:sz w:val="22"/>
                <w:szCs w:val="22"/>
              </w:rPr>
              <w:t xml:space="preserve"> </w:t>
            </w:r>
            <w:r w:rsidRPr="00881405" w:rsidR="00694310">
              <w:rPr>
                <w:sz w:val="22"/>
                <w:szCs w:val="22"/>
              </w:rPr>
              <w:t xml:space="preserve">The Further Notice </w:t>
            </w:r>
            <w:r w:rsidRPr="00881405" w:rsidR="00B05640">
              <w:rPr>
                <w:sz w:val="22"/>
                <w:szCs w:val="22"/>
              </w:rPr>
              <w:t xml:space="preserve">proposes to </w:t>
            </w:r>
            <w:r w:rsidRPr="00881405">
              <w:rPr>
                <w:sz w:val="22"/>
                <w:szCs w:val="22"/>
              </w:rPr>
              <w:t>mak</w:t>
            </w:r>
            <w:r w:rsidRPr="00881405" w:rsidR="00694310">
              <w:rPr>
                <w:sz w:val="22"/>
                <w:szCs w:val="22"/>
              </w:rPr>
              <w:t>e</w:t>
            </w:r>
            <w:r w:rsidRPr="00881405" w:rsidR="00AF669C">
              <w:rPr>
                <w:sz w:val="22"/>
                <w:szCs w:val="22"/>
              </w:rPr>
              <w:t xml:space="preserve"> </w:t>
            </w:r>
            <w:r w:rsidRPr="00881405">
              <w:rPr>
                <w:sz w:val="22"/>
                <w:szCs w:val="22"/>
              </w:rPr>
              <w:t xml:space="preserve">permanent the </w:t>
            </w:r>
            <w:r w:rsidRPr="00881405" w:rsidR="00621952">
              <w:rPr>
                <w:sz w:val="22"/>
                <w:szCs w:val="22"/>
              </w:rPr>
              <w:t xml:space="preserve">current </w:t>
            </w:r>
            <w:r w:rsidRPr="00881405">
              <w:rPr>
                <w:sz w:val="22"/>
                <w:szCs w:val="22"/>
              </w:rPr>
              <w:t xml:space="preserve">freeze on new applications and grandfather all current public safety licensees.  It </w:t>
            </w:r>
            <w:r w:rsidRPr="00881405" w:rsidR="00B05640">
              <w:rPr>
                <w:sz w:val="22"/>
                <w:szCs w:val="22"/>
              </w:rPr>
              <w:t xml:space="preserve">also </w:t>
            </w:r>
            <w:r w:rsidRPr="00881405">
              <w:rPr>
                <w:sz w:val="22"/>
                <w:szCs w:val="22"/>
              </w:rPr>
              <w:t>proposes to allow states without a statewide license to obtain such a license and seek</w:t>
            </w:r>
            <w:r w:rsidRPr="00881405" w:rsidR="004B56E3">
              <w:rPr>
                <w:sz w:val="22"/>
                <w:szCs w:val="22"/>
              </w:rPr>
              <w:t>s</w:t>
            </w:r>
            <w:r w:rsidRPr="00881405">
              <w:rPr>
                <w:sz w:val="22"/>
                <w:szCs w:val="22"/>
              </w:rPr>
              <w:t xml:space="preserve"> comment on the creation of a voluntary state band manager</w:t>
            </w:r>
            <w:r w:rsidRPr="00881405" w:rsidR="00694310">
              <w:rPr>
                <w:sz w:val="22"/>
                <w:szCs w:val="22"/>
              </w:rPr>
              <w:t xml:space="preserve"> to coordinate operations in the band</w:t>
            </w:r>
            <w:r w:rsidRPr="00881405">
              <w:rPr>
                <w:sz w:val="22"/>
                <w:szCs w:val="22"/>
              </w:rPr>
              <w:t>.  Lastly</w:t>
            </w:r>
            <w:r w:rsidRPr="00881405" w:rsidR="00694310">
              <w:rPr>
                <w:sz w:val="22"/>
                <w:szCs w:val="22"/>
              </w:rPr>
              <w:t>,</w:t>
            </w:r>
            <w:r w:rsidRPr="00881405">
              <w:rPr>
                <w:sz w:val="22"/>
                <w:szCs w:val="22"/>
              </w:rPr>
              <w:t xml:space="preserve"> it seeks comment on additional ways to implement and facilitate robust use of the </w:t>
            </w:r>
            <w:r w:rsidRPr="00881405" w:rsidR="00CB2385">
              <w:rPr>
                <w:sz w:val="22"/>
                <w:szCs w:val="22"/>
              </w:rPr>
              <w:t>band</w:t>
            </w:r>
            <w:r w:rsidRPr="00881405">
              <w:rPr>
                <w:sz w:val="22"/>
                <w:szCs w:val="22"/>
              </w:rPr>
              <w:t xml:space="preserve">, including </w:t>
            </w:r>
            <w:r w:rsidRPr="00881405" w:rsidR="005440D5">
              <w:rPr>
                <w:sz w:val="22"/>
                <w:szCs w:val="22"/>
              </w:rPr>
              <w:t xml:space="preserve">steps to address expanded access in states that divert 911 fees, </w:t>
            </w:r>
            <w:r w:rsidRPr="00881405">
              <w:rPr>
                <w:sz w:val="22"/>
                <w:szCs w:val="22"/>
              </w:rPr>
              <w:t>the use of dynamic spectrum sharing</w:t>
            </w:r>
            <w:r w:rsidRPr="00881405" w:rsidR="005440D5">
              <w:rPr>
                <w:sz w:val="22"/>
                <w:szCs w:val="22"/>
              </w:rPr>
              <w:t>,</w:t>
            </w:r>
            <w:r w:rsidRPr="00881405">
              <w:rPr>
                <w:sz w:val="22"/>
                <w:szCs w:val="22"/>
              </w:rPr>
              <w:t xml:space="preserve"> and </w:t>
            </w:r>
            <w:r w:rsidRPr="00881405" w:rsidR="005440D5">
              <w:rPr>
                <w:sz w:val="22"/>
                <w:szCs w:val="22"/>
              </w:rPr>
              <w:t xml:space="preserve">ways to </w:t>
            </w:r>
            <w:r w:rsidRPr="00881405">
              <w:rPr>
                <w:sz w:val="22"/>
                <w:szCs w:val="22"/>
              </w:rPr>
              <w:t>encourag</w:t>
            </w:r>
            <w:r w:rsidRPr="00881405" w:rsidR="005440D5">
              <w:rPr>
                <w:sz w:val="22"/>
                <w:szCs w:val="22"/>
              </w:rPr>
              <w:t>e</w:t>
            </w:r>
            <w:r w:rsidRPr="00881405">
              <w:rPr>
                <w:sz w:val="22"/>
                <w:szCs w:val="22"/>
              </w:rPr>
              <w:t xml:space="preserve"> collaboration across jurisdictions.</w:t>
            </w:r>
            <w:r w:rsidR="00E86E0A">
              <w:rPr>
                <w:sz w:val="22"/>
                <w:szCs w:val="22"/>
              </w:rPr>
              <w:t xml:space="preserve"> </w:t>
            </w:r>
          </w:p>
          <w:p w:rsidR="00D94DD8" w:rsidP="002E165B" w14:paraId="6DB47012" w14:textId="67C52ECC">
            <w:pPr>
              <w:rPr>
                <w:sz w:val="22"/>
                <w:szCs w:val="22"/>
              </w:rPr>
            </w:pPr>
          </w:p>
          <w:p w:rsidR="00117D57" w:rsidRPr="00117D57" w:rsidP="00117D57" w14:paraId="057E0299" w14:textId="01952592">
            <w:pPr>
              <w:rPr>
                <w:sz w:val="22"/>
                <w:szCs w:val="22"/>
              </w:rPr>
            </w:pPr>
            <w:r w:rsidRPr="00117D57">
              <w:rPr>
                <w:sz w:val="22"/>
                <w:szCs w:val="22"/>
              </w:rPr>
              <w:t>Action by the Commission September 30, 2020 by Sixth Report and Order (FCC 20-137).  Chairman Pai, Commissioners O’Rielly and Carr.  Commissioners Rosenworcel and Starks dissenting.  Chairman Pai, Commissioners O’Rielly, Carr, Rosenworcel, and Starks issuing separate statements.</w:t>
            </w:r>
          </w:p>
          <w:p w:rsidR="00117D57" w:rsidRPr="00117D57" w:rsidP="00117D57" w14:paraId="4E36555D" w14:textId="77777777">
            <w:pPr>
              <w:rPr>
                <w:sz w:val="22"/>
                <w:szCs w:val="22"/>
              </w:rPr>
            </w:pPr>
          </w:p>
          <w:p w:rsidR="00117D57" w:rsidP="00117D57" w14:paraId="12A13116" w14:textId="5E05AEF6">
            <w:pPr>
              <w:rPr>
                <w:sz w:val="22"/>
                <w:szCs w:val="22"/>
              </w:rPr>
            </w:pPr>
            <w:r w:rsidRPr="00117D57">
              <w:rPr>
                <w:sz w:val="22"/>
                <w:szCs w:val="22"/>
              </w:rPr>
              <w:t>WT Docket No. 07-100</w:t>
            </w:r>
          </w:p>
          <w:p w:rsidR="00117D57" w:rsidRPr="002E165B" w:rsidP="00117D57" w14:paraId="1B15EB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27FD24BE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5774BE4" w14:textId="02F9A18A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CA72C8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746390C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123574A" w14:textId="263F9C34">
      <w:pPr>
        <w:rPr>
          <w:b/>
          <w:bCs/>
          <w:sz w:val="2"/>
          <w:szCs w:val="2"/>
        </w:rPr>
      </w:pPr>
    </w:p>
    <w:sectPr w:rsidSect="006E6652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11FC"/>
    <w:rsid w:val="00040127"/>
    <w:rsid w:val="0005784E"/>
    <w:rsid w:val="000624EE"/>
    <w:rsid w:val="00065E2D"/>
    <w:rsid w:val="00081232"/>
    <w:rsid w:val="00091E65"/>
    <w:rsid w:val="00096D4A"/>
    <w:rsid w:val="000A38EA"/>
    <w:rsid w:val="000C1E47"/>
    <w:rsid w:val="000C26F3"/>
    <w:rsid w:val="000E049E"/>
    <w:rsid w:val="000E3E98"/>
    <w:rsid w:val="0010799B"/>
    <w:rsid w:val="00115B02"/>
    <w:rsid w:val="00117D57"/>
    <w:rsid w:val="00117DB2"/>
    <w:rsid w:val="00123ED2"/>
    <w:rsid w:val="00125BE0"/>
    <w:rsid w:val="00142C13"/>
    <w:rsid w:val="00152776"/>
    <w:rsid w:val="00153222"/>
    <w:rsid w:val="001577D3"/>
    <w:rsid w:val="00163E80"/>
    <w:rsid w:val="001733A6"/>
    <w:rsid w:val="00174AA4"/>
    <w:rsid w:val="001865A9"/>
    <w:rsid w:val="00187DB2"/>
    <w:rsid w:val="001A22F7"/>
    <w:rsid w:val="001A3D75"/>
    <w:rsid w:val="001B20BB"/>
    <w:rsid w:val="001C4370"/>
    <w:rsid w:val="001D22D1"/>
    <w:rsid w:val="001D3779"/>
    <w:rsid w:val="001D5AF9"/>
    <w:rsid w:val="001E0AF9"/>
    <w:rsid w:val="001E3520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702C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03B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2C86"/>
    <w:rsid w:val="00403FF0"/>
    <w:rsid w:val="0040428A"/>
    <w:rsid w:val="0042046D"/>
    <w:rsid w:val="0042116E"/>
    <w:rsid w:val="00424460"/>
    <w:rsid w:val="00425AEF"/>
    <w:rsid w:val="00426518"/>
    <w:rsid w:val="00427814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B56E3"/>
    <w:rsid w:val="004C0ADA"/>
    <w:rsid w:val="004C433E"/>
    <w:rsid w:val="004C4512"/>
    <w:rsid w:val="004C4F36"/>
    <w:rsid w:val="004D3D85"/>
    <w:rsid w:val="004E2BD8"/>
    <w:rsid w:val="004E496B"/>
    <w:rsid w:val="004F0F1F"/>
    <w:rsid w:val="005022AA"/>
    <w:rsid w:val="00504845"/>
    <w:rsid w:val="0050757F"/>
    <w:rsid w:val="00507A06"/>
    <w:rsid w:val="00516AD2"/>
    <w:rsid w:val="00532EE6"/>
    <w:rsid w:val="005440D5"/>
    <w:rsid w:val="00545DAE"/>
    <w:rsid w:val="00567650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1952"/>
    <w:rsid w:val="00640B2D"/>
    <w:rsid w:val="006415B4"/>
    <w:rsid w:val="00644E3D"/>
    <w:rsid w:val="0065189A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4310"/>
    <w:rsid w:val="0069717B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6652"/>
    <w:rsid w:val="006F1DBD"/>
    <w:rsid w:val="006F6A0C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81018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E26"/>
    <w:rsid w:val="0086146B"/>
    <w:rsid w:val="00865EAA"/>
    <w:rsid w:val="00866F06"/>
    <w:rsid w:val="008728F5"/>
    <w:rsid w:val="008777A7"/>
    <w:rsid w:val="0088140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0829"/>
    <w:rsid w:val="008F1609"/>
    <w:rsid w:val="008F78D8"/>
    <w:rsid w:val="0093373C"/>
    <w:rsid w:val="00961620"/>
    <w:rsid w:val="00963ACC"/>
    <w:rsid w:val="009734B6"/>
    <w:rsid w:val="0098096F"/>
    <w:rsid w:val="00982FDA"/>
    <w:rsid w:val="0098437A"/>
    <w:rsid w:val="00986C92"/>
    <w:rsid w:val="00993C47"/>
    <w:rsid w:val="009972BC"/>
    <w:rsid w:val="009B4B16"/>
    <w:rsid w:val="009E54A1"/>
    <w:rsid w:val="009F4E25"/>
    <w:rsid w:val="009F5B1F"/>
    <w:rsid w:val="00A04C13"/>
    <w:rsid w:val="00A225A9"/>
    <w:rsid w:val="00A3308E"/>
    <w:rsid w:val="00A35DFD"/>
    <w:rsid w:val="00A424EB"/>
    <w:rsid w:val="00A42EF5"/>
    <w:rsid w:val="00A57E91"/>
    <w:rsid w:val="00A702DF"/>
    <w:rsid w:val="00A775A3"/>
    <w:rsid w:val="00A77708"/>
    <w:rsid w:val="00A81700"/>
    <w:rsid w:val="00A81B5B"/>
    <w:rsid w:val="00A82FAD"/>
    <w:rsid w:val="00A874DF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075F"/>
    <w:rsid w:val="00AF0FD6"/>
    <w:rsid w:val="00AF408C"/>
    <w:rsid w:val="00AF669C"/>
    <w:rsid w:val="00B037A2"/>
    <w:rsid w:val="00B05640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913DD"/>
    <w:rsid w:val="00BA6350"/>
    <w:rsid w:val="00BB2E3F"/>
    <w:rsid w:val="00BB4E29"/>
    <w:rsid w:val="00BB74C9"/>
    <w:rsid w:val="00BC3AB6"/>
    <w:rsid w:val="00BC422C"/>
    <w:rsid w:val="00BD19E8"/>
    <w:rsid w:val="00BD4273"/>
    <w:rsid w:val="00C31ED8"/>
    <w:rsid w:val="00C432E4"/>
    <w:rsid w:val="00C70C26"/>
    <w:rsid w:val="00C72001"/>
    <w:rsid w:val="00C772B7"/>
    <w:rsid w:val="00C80347"/>
    <w:rsid w:val="00CB2385"/>
    <w:rsid w:val="00CB24D2"/>
    <w:rsid w:val="00CB7C1A"/>
    <w:rsid w:val="00CC5E08"/>
    <w:rsid w:val="00CE14FD"/>
    <w:rsid w:val="00CF6860"/>
    <w:rsid w:val="00D02AC6"/>
    <w:rsid w:val="00D03F0C"/>
    <w:rsid w:val="00D04312"/>
    <w:rsid w:val="00D12800"/>
    <w:rsid w:val="00D16A7F"/>
    <w:rsid w:val="00D16AD2"/>
    <w:rsid w:val="00D22596"/>
    <w:rsid w:val="00D22691"/>
    <w:rsid w:val="00D24C3D"/>
    <w:rsid w:val="00D46CB1"/>
    <w:rsid w:val="00D62607"/>
    <w:rsid w:val="00D62F56"/>
    <w:rsid w:val="00D7000D"/>
    <w:rsid w:val="00D723F0"/>
    <w:rsid w:val="00D8133F"/>
    <w:rsid w:val="00D861EE"/>
    <w:rsid w:val="00D91392"/>
    <w:rsid w:val="00D94DD8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2616"/>
    <w:rsid w:val="00E349AA"/>
    <w:rsid w:val="00E41390"/>
    <w:rsid w:val="00E41CA0"/>
    <w:rsid w:val="00E4366B"/>
    <w:rsid w:val="00E45365"/>
    <w:rsid w:val="00E50A4A"/>
    <w:rsid w:val="00E606DE"/>
    <w:rsid w:val="00E644FE"/>
    <w:rsid w:val="00E72733"/>
    <w:rsid w:val="00E742FA"/>
    <w:rsid w:val="00E76816"/>
    <w:rsid w:val="00E83DBF"/>
    <w:rsid w:val="00E86E0A"/>
    <w:rsid w:val="00E87C13"/>
    <w:rsid w:val="00E94CD9"/>
    <w:rsid w:val="00EA0B8F"/>
    <w:rsid w:val="00EA1A76"/>
    <w:rsid w:val="00EA290B"/>
    <w:rsid w:val="00ED1431"/>
    <w:rsid w:val="00EE03EE"/>
    <w:rsid w:val="00EE0E90"/>
    <w:rsid w:val="00EF3BCA"/>
    <w:rsid w:val="00EF528E"/>
    <w:rsid w:val="00EF729B"/>
    <w:rsid w:val="00F01B0D"/>
    <w:rsid w:val="00F12369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1E11"/>
    <w:rsid w:val="00F76561"/>
    <w:rsid w:val="00F84736"/>
    <w:rsid w:val="00F92954"/>
    <w:rsid w:val="00F9400C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A8298F3-760E-49D4-8B30-00746B6B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B56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6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