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927D2F" w:rsidRPr="006419F6" w:rsidP="006419F6" w14:paraId="769F2292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6419F6">
        <w:rPr>
          <w:rFonts w:ascii="Times New Roman" w:hAnsi="Times New Roman" w:cs="Times New Roman"/>
          <w:b/>
          <w:bCs/>
        </w:rPr>
        <w:t xml:space="preserve">DISSENTING </w:t>
      </w:r>
      <w:r w:rsidRPr="006419F6" w:rsidR="00574638">
        <w:rPr>
          <w:rFonts w:ascii="Times New Roman" w:hAnsi="Times New Roman" w:cs="Times New Roman"/>
          <w:b/>
          <w:bCs/>
        </w:rPr>
        <w:t xml:space="preserve">STATEMENT OF </w:t>
      </w:r>
    </w:p>
    <w:p w:rsidR="00574638" w:rsidRPr="006419F6" w:rsidP="006419F6" w14:paraId="305FBCDA" w14:textId="212699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419F6">
        <w:rPr>
          <w:rFonts w:ascii="Times New Roman" w:hAnsi="Times New Roman" w:cs="Times New Roman"/>
          <w:b/>
          <w:bCs/>
        </w:rPr>
        <w:t>COMMISSIONER GEOFFREY STARKS</w:t>
      </w:r>
    </w:p>
    <w:p w:rsidR="00927D2F" w:rsidRPr="006419F6" w:rsidP="006419F6" w14:paraId="41617F41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419F6" w:rsidRPr="00BB70A0" w:rsidP="006419F6" w14:paraId="124B39D1" w14:textId="7777777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BB70A0">
        <w:rPr>
          <w:rFonts w:ascii="Times New Roman" w:hAnsi="Times New Roman" w:cs="Times New Roman"/>
        </w:rPr>
        <w:t>Re:</w:t>
      </w:r>
      <w:r w:rsidRPr="00BB70A0">
        <w:rPr>
          <w:rFonts w:ascii="Times New Roman" w:hAnsi="Times New Roman" w:cs="Times New Roman"/>
        </w:rPr>
        <w:tab/>
      </w:r>
      <w:r w:rsidRPr="00BB70A0">
        <w:rPr>
          <w:rFonts w:ascii="Times New Roman" w:hAnsi="Times New Roman" w:cs="Times New Roman"/>
          <w:i/>
          <w:iCs/>
        </w:rPr>
        <w:t>Amendment of Part 90 of the Commission’s Rules</w:t>
      </w:r>
      <w:r w:rsidRPr="00BB70A0">
        <w:rPr>
          <w:rFonts w:ascii="Times New Roman" w:hAnsi="Times New Roman" w:cs="Times New Roman"/>
          <w:iCs/>
        </w:rPr>
        <w:t>,</w:t>
      </w:r>
      <w:r w:rsidRPr="00BB70A0">
        <w:rPr>
          <w:rFonts w:ascii="Times New Roman" w:hAnsi="Times New Roman" w:cs="Times New Roman"/>
          <w:i/>
          <w:iCs/>
        </w:rPr>
        <w:t xml:space="preserve"> </w:t>
      </w:r>
      <w:r w:rsidRPr="00BB70A0">
        <w:rPr>
          <w:rFonts w:ascii="Times New Roman" w:hAnsi="Times New Roman" w:cs="Times New Roman"/>
        </w:rPr>
        <w:t>WP Docket No. 07-100</w:t>
      </w:r>
    </w:p>
    <w:p w:rsidR="006419F6" w:rsidP="006419F6" w14:paraId="209092A3" w14:textId="77777777">
      <w:pPr>
        <w:spacing w:after="0" w:line="240" w:lineRule="auto"/>
        <w:rPr>
          <w:rFonts w:ascii="Arial" w:hAnsi="Arial" w:cs="Arial"/>
        </w:rPr>
      </w:pPr>
    </w:p>
    <w:p w:rsidR="00574638" w:rsidRPr="006419F6" w:rsidP="006419F6" w14:paraId="5E6DBA18" w14:textId="198BBAF9">
      <w:pPr>
        <w:spacing w:after="0" w:line="240" w:lineRule="auto"/>
        <w:rPr>
          <w:rFonts w:ascii="Times New Roman" w:hAnsi="Times New Roman" w:cs="Times New Roman"/>
        </w:rPr>
      </w:pPr>
      <w:r w:rsidRPr="006419F6">
        <w:rPr>
          <w:rFonts w:ascii="Arial" w:hAnsi="Arial" w:cs="Arial"/>
        </w:rPr>
        <w:tab/>
      </w:r>
      <w:r w:rsidRPr="006419F6" w:rsidR="00765915">
        <w:rPr>
          <w:rFonts w:ascii="Times New Roman" w:hAnsi="Times New Roman" w:cs="Times New Roman"/>
        </w:rPr>
        <w:t xml:space="preserve">Our public safety organizations </w:t>
      </w:r>
      <w:r w:rsidRPr="006419F6" w:rsidR="007074A4">
        <w:rPr>
          <w:rFonts w:ascii="Times New Roman" w:hAnsi="Times New Roman" w:cs="Times New Roman"/>
        </w:rPr>
        <w:t>face</w:t>
      </w:r>
      <w:r w:rsidRPr="006419F6" w:rsidR="00765915">
        <w:rPr>
          <w:rFonts w:ascii="Times New Roman" w:hAnsi="Times New Roman" w:cs="Times New Roman"/>
        </w:rPr>
        <w:t xml:space="preserve"> some</w:t>
      </w:r>
      <w:r w:rsidRPr="006419F6" w:rsidR="00927D2F">
        <w:rPr>
          <w:rFonts w:ascii="Times New Roman" w:hAnsi="Times New Roman" w:cs="Times New Roman"/>
        </w:rPr>
        <w:t xml:space="preserve"> of</w:t>
      </w:r>
      <w:r w:rsidRPr="006419F6" w:rsidR="00765915">
        <w:rPr>
          <w:rFonts w:ascii="Times New Roman" w:hAnsi="Times New Roman" w:cs="Times New Roman"/>
        </w:rPr>
        <w:t xml:space="preserve"> the most difficult circumstances in living memory.  Millions of Americans have </w:t>
      </w:r>
      <w:r w:rsidRPr="006419F6" w:rsidR="00BD79DB">
        <w:rPr>
          <w:rFonts w:ascii="Times New Roman" w:hAnsi="Times New Roman" w:cs="Times New Roman"/>
        </w:rPr>
        <w:t>taken to</w:t>
      </w:r>
      <w:r w:rsidRPr="006419F6" w:rsidR="00765915">
        <w:rPr>
          <w:rFonts w:ascii="Times New Roman" w:hAnsi="Times New Roman" w:cs="Times New Roman"/>
        </w:rPr>
        <w:t xml:space="preserve"> the streets to protest for justice.  </w:t>
      </w:r>
      <w:r w:rsidRPr="006419F6" w:rsidR="00927D2F">
        <w:rPr>
          <w:rFonts w:ascii="Times New Roman" w:hAnsi="Times New Roman" w:cs="Times New Roman"/>
        </w:rPr>
        <w:t>Throughout California and the Pacific Northwest, c</w:t>
      </w:r>
      <w:r w:rsidRPr="006419F6" w:rsidR="00765915">
        <w:rPr>
          <w:rFonts w:ascii="Times New Roman" w:hAnsi="Times New Roman" w:cs="Times New Roman"/>
        </w:rPr>
        <w:t>rews are battling devastating wildfires</w:t>
      </w:r>
      <w:r w:rsidRPr="006419F6" w:rsidR="00927D2F">
        <w:rPr>
          <w:rFonts w:ascii="Times New Roman" w:hAnsi="Times New Roman" w:cs="Times New Roman"/>
        </w:rPr>
        <w:t xml:space="preserve">. </w:t>
      </w:r>
      <w:r w:rsidRPr="006419F6" w:rsidR="00765915">
        <w:rPr>
          <w:rFonts w:ascii="Times New Roman" w:hAnsi="Times New Roman" w:cs="Times New Roman"/>
        </w:rPr>
        <w:t xml:space="preserve"> </w:t>
      </w:r>
      <w:r w:rsidRPr="006419F6" w:rsidR="00667F5B">
        <w:rPr>
          <w:rFonts w:ascii="Times New Roman" w:hAnsi="Times New Roman" w:cs="Times New Roman"/>
        </w:rPr>
        <w:t xml:space="preserve">The tropical storms and hurricanes this season have ravaged certain regions of the United States.  </w:t>
      </w:r>
      <w:r w:rsidRPr="006419F6" w:rsidR="00765915">
        <w:rPr>
          <w:rFonts w:ascii="Times New Roman" w:hAnsi="Times New Roman" w:cs="Times New Roman"/>
        </w:rPr>
        <w:t xml:space="preserve">And the COVID-19 pandemic has </w:t>
      </w:r>
      <w:r w:rsidRPr="006419F6" w:rsidR="00465C1D">
        <w:rPr>
          <w:rFonts w:ascii="Times New Roman" w:hAnsi="Times New Roman" w:cs="Times New Roman"/>
        </w:rPr>
        <w:t>claimed</w:t>
      </w:r>
      <w:r w:rsidRPr="006419F6" w:rsidR="00765915">
        <w:rPr>
          <w:rFonts w:ascii="Times New Roman" w:hAnsi="Times New Roman" w:cs="Times New Roman"/>
        </w:rPr>
        <w:t xml:space="preserve"> more than 200,000 lives so far this year, </w:t>
      </w:r>
      <w:r w:rsidRPr="006419F6" w:rsidR="00465C1D">
        <w:rPr>
          <w:rFonts w:ascii="Times New Roman" w:hAnsi="Times New Roman" w:cs="Times New Roman"/>
        </w:rPr>
        <w:t xml:space="preserve">with </w:t>
      </w:r>
      <w:r w:rsidRPr="006419F6" w:rsidR="0048135F">
        <w:rPr>
          <w:rFonts w:ascii="Times New Roman" w:hAnsi="Times New Roman" w:cs="Times New Roman"/>
        </w:rPr>
        <w:t xml:space="preserve">3 months </w:t>
      </w:r>
      <w:r w:rsidRPr="006419F6" w:rsidR="00465C1D">
        <w:rPr>
          <w:rFonts w:ascii="Times New Roman" w:hAnsi="Times New Roman" w:cs="Times New Roman"/>
        </w:rPr>
        <w:t xml:space="preserve">still </w:t>
      </w:r>
      <w:r w:rsidRPr="006419F6" w:rsidR="0048135F">
        <w:rPr>
          <w:rFonts w:ascii="Times New Roman" w:hAnsi="Times New Roman" w:cs="Times New Roman"/>
        </w:rPr>
        <w:t>to go</w:t>
      </w:r>
      <w:r w:rsidRPr="006419F6" w:rsidR="00765915">
        <w:rPr>
          <w:rFonts w:ascii="Times New Roman" w:hAnsi="Times New Roman" w:cs="Times New Roman"/>
        </w:rPr>
        <w:t>.</w:t>
      </w:r>
    </w:p>
    <w:p w:rsidR="006419F6" w:rsidP="006419F6" w14:paraId="3A428556" w14:textId="77777777">
      <w:pPr>
        <w:spacing w:after="0" w:line="240" w:lineRule="auto"/>
        <w:rPr>
          <w:rFonts w:ascii="Times New Roman" w:hAnsi="Times New Roman" w:cs="Times New Roman"/>
        </w:rPr>
      </w:pPr>
    </w:p>
    <w:p w:rsidR="008D5188" w:rsidP="006419F6" w14:paraId="4CA5C7B3" w14:textId="25021859">
      <w:pPr>
        <w:spacing w:after="0" w:line="240" w:lineRule="auto"/>
        <w:rPr>
          <w:rFonts w:ascii="Times New Roman" w:hAnsi="Times New Roman" w:cs="Times New Roman"/>
        </w:rPr>
      </w:pPr>
      <w:r w:rsidRPr="006419F6">
        <w:rPr>
          <w:rFonts w:ascii="Times New Roman" w:hAnsi="Times New Roman" w:cs="Times New Roman"/>
        </w:rPr>
        <w:tab/>
        <w:t xml:space="preserve">That’s the context for today’s decision.  </w:t>
      </w:r>
      <w:r w:rsidRPr="006419F6" w:rsidR="00935491">
        <w:rPr>
          <w:rFonts w:ascii="Times New Roman" w:hAnsi="Times New Roman" w:cs="Times New Roman"/>
        </w:rPr>
        <w:t>A</w:t>
      </w:r>
      <w:r w:rsidRPr="006419F6">
        <w:rPr>
          <w:rFonts w:ascii="Times New Roman" w:hAnsi="Times New Roman" w:cs="Times New Roman"/>
        </w:rPr>
        <w:t xml:space="preserve">t a time when our public safety organizations are stretched to the limit and their </w:t>
      </w:r>
      <w:r w:rsidRPr="006419F6" w:rsidR="00935491">
        <w:rPr>
          <w:rFonts w:ascii="Times New Roman" w:hAnsi="Times New Roman" w:cs="Times New Roman"/>
        </w:rPr>
        <w:t xml:space="preserve">communications </w:t>
      </w:r>
      <w:r w:rsidRPr="006419F6">
        <w:rPr>
          <w:rFonts w:ascii="Times New Roman" w:hAnsi="Times New Roman" w:cs="Times New Roman"/>
        </w:rPr>
        <w:t xml:space="preserve">needs are </w:t>
      </w:r>
      <w:r w:rsidRPr="006419F6" w:rsidR="00F576D2">
        <w:rPr>
          <w:rFonts w:ascii="Times New Roman" w:hAnsi="Times New Roman" w:cs="Times New Roman"/>
        </w:rPr>
        <w:t>increasing</w:t>
      </w:r>
      <w:r w:rsidRPr="006419F6">
        <w:rPr>
          <w:rFonts w:ascii="Times New Roman" w:hAnsi="Times New Roman" w:cs="Times New Roman"/>
        </w:rPr>
        <w:t xml:space="preserve">, </w:t>
      </w:r>
      <w:r w:rsidRPr="006419F6" w:rsidR="00935491">
        <w:rPr>
          <w:rFonts w:ascii="Times New Roman" w:hAnsi="Times New Roman" w:cs="Times New Roman"/>
        </w:rPr>
        <w:t xml:space="preserve">the Commission is adopting </w:t>
      </w:r>
      <w:r w:rsidRPr="006419F6" w:rsidR="007074A4">
        <w:rPr>
          <w:rFonts w:ascii="Times New Roman" w:hAnsi="Times New Roman" w:cs="Times New Roman"/>
        </w:rPr>
        <w:t xml:space="preserve">with no notice and comment </w:t>
      </w:r>
      <w:r w:rsidRPr="006419F6" w:rsidR="00935491">
        <w:rPr>
          <w:rFonts w:ascii="Times New Roman" w:hAnsi="Times New Roman" w:cs="Times New Roman"/>
        </w:rPr>
        <w:t xml:space="preserve">an approach </w:t>
      </w:r>
      <w:r w:rsidRPr="006419F6" w:rsidR="007074A4">
        <w:rPr>
          <w:rFonts w:ascii="Times New Roman" w:hAnsi="Times New Roman" w:cs="Times New Roman"/>
        </w:rPr>
        <w:t xml:space="preserve">that </w:t>
      </w:r>
      <w:r w:rsidRPr="006419F6" w:rsidR="00A84A42">
        <w:rPr>
          <w:rFonts w:ascii="Times New Roman" w:hAnsi="Times New Roman" w:cs="Times New Roman"/>
        </w:rPr>
        <w:t xml:space="preserve">is not only unwanted but </w:t>
      </w:r>
      <w:r w:rsidRPr="006419F6" w:rsidR="007074A4">
        <w:rPr>
          <w:rFonts w:ascii="Times New Roman" w:hAnsi="Times New Roman" w:cs="Times New Roman"/>
        </w:rPr>
        <w:t>runs contrary to years of public safety spectrum policy</w:t>
      </w:r>
      <w:r w:rsidRPr="006419F6" w:rsidR="00935491">
        <w:rPr>
          <w:rFonts w:ascii="Times New Roman" w:hAnsi="Times New Roman" w:cs="Times New Roman"/>
        </w:rPr>
        <w:t xml:space="preserve">.  </w:t>
      </w:r>
    </w:p>
    <w:p w:rsidR="006419F6" w:rsidRPr="006419F6" w:rsidP="006419F6" w14:paraId="5C6CDB95" w14:textId="77777777">
      <w:pPr>
        <w:spacing w:after="0" w:line="240" w:lineRule="auto"/>
        <w:rPr>
          <w:rFonts w:ascii="Times New Roman" w:hAnsi="Times New Roman" w:cs="Times New Roman"/>
        </w:rPr>
      </w:pPr>
    </w:p>
    <w:p w:rsidR="00F126DA" w:rsidP="006419F6" w14:paraId="7A0486C5" w14:textId="5730C76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419F6">
        <w:rPr>
          <w:rFonts w:ascii="Times New Roman" w:hAnsi="Times New Roman" w:cs="Times New Roman"/>
        </w:rPr>
        <w:t xml:space="preserve">For </w:t>
      </w:r>
      <w:r w:rsidRPr="006419F6" w:rsidR="0021352B">
        <w:rPr>
          <w:rFonts w:ascii="Times New Roman" w:hAnsi="Times New Roman" w:cs="Times New Roman"/>
        </w:rPr>
        <w:t xml:space="preserve">nearly 20 </w:t>
      </w:r>
      <w:r w:rsidRPr="006419F6">
        <w:rPr>
          <w:rFonts w:ascii="Times New Roman" w:hAnsi="Times New Roman" w:cs="Times New Roman"/>
        </w:rPr>
        <w:t xml:space="preserve">years, the Commission has struggled to </w:t>
      </w:r>
      <w:r w:rsidRPr="006419F6" w:rsidR="0021352B">
        <w:rPr>
          <w:rFonts w:ascii="Times New Roman" w:hAnsi="Times New Roman" w:cs="Times New Roman"/>
        </w:rPr>
        <w:t>make efficient use of</w:t>
      </w:r>
      <w:r w:rsidRPr="006419F6">
        <w:rPr>
          <w:rFonts w:ascii="Times New Roman" w:hAnsi="Times New Roman" w:cs="Times New Roman"/>
        </w:rPr>
        <w:t xml:space="preserve"> the</w:t>
      </w:r>
      <w:r w:rsidRPr="006419F6" w:rsidR="0021352B">
        <w:rPr>
          <w:rFonts w:ascii="Times New Roman" w:hAnsi="Times New Roman" w:cs="Times New Roman"/>
        </w:rPr>
        <w:t xml:space="preserve"> 4.9 GHz band</w:t>
      </w:r>
      <w:r w:rsidRPr="006419F6">
        <w:rPr>
          <w:rFonts w:ascii="Times New Roman" w:hAnsi="Times New Roman" w:cs="Times New Roman"/>
        </w:rPr>
        <w:t xml:space="preserve">.  At first glance, the band </w:t>
      </w:r>
      <w:r w:rsidRPr="006419F6" w:rsidR="00221AED">
        <w:rPr>
          <w:rFonts w:ascii="Times New Roman" w:hAnsi="Times New Roman" w:cs="Times New Roman"/>
        </w:rPr>
        <w:t>looks like</w:t>
      </w:r>
      <w:r w:rsidRPr="006419F6" w:rsidR="0048135F">
        <w:rPr>
          <w:rFonts w:ascii="Times New Roman" w:hAnsi="Times New Roman" w:cs="Times New Roman"/>
        </w:rPr>
        <w:t xml:space="preserve"> </w:t>
      </w:r>
      <w:r w:rsidRPr="006419F6">
        <w:rPr>
          <w:rFonts w:ascii="Times New Roman" w:hAnsi="Times New Roman" w:cs="Times New Roman"/>
        </w:rPr>
        <w:t xml:space="preserve">a prime candidate for reallocation because of its </w:t>
      </w:r>
      <w:r w:rsidRPr="006419F6" w:rsidR="0048135F">
        <w:rPr>
          <w:rFonts w:ascii="Times New Roman" w:hAnsi="Times New Roman" w:cs="Times New Roman"/>
        </w:rPr>
        <w:t>apparent underutilization and mid-band location</w:t>
      </w:r>
      <w:r w:rsidRPr="006419F6">
        <w:rPr>
          <w:rFonts w:ascii="Times New Roman" w:hAnsi="Times New Roman" w:cs="Times New Roman"/>
        </w:rPr>
        <w:t xml:space="preserve">.  But </w:t>
      </w:r>
      <w:r w:rsidRPr="006419F6" w:rsidR="0048135F">
        <w:rPr>
          <w:rFonts w:ascii="Times New Roman" w:hAnsi="Times New Roman" w:cs="Times New Roman"/>
        </w:rPr>
        <w:t>a</w:t>
      </w:r>
      <w:r w:rsidRPr="006419F6" w:rsidR="003E63C8">
        <w:rPr>
          <w:rFonts w:ascii="Times New Roman" w:hAnsi="Times New Roman" w:cs="Times New Roman"/>
        </w:rPr>
        <w:t xml:space="preserve">ccording to the National Public Safety Telecommunications </w:t>
      </w:r>
      <w:r w:rsidRPr="006419F6" w:rsidR="00800D72">
        <w:rPr>
          <w:rFonts w:ascii="Times New Roman" w:hAnsi="Times New Roman" w:cs="Times New Roman"/>
        </w:rPr>
        <w:t>Council, the</w:t>
      </w:r>
      <w:r w:rsidRPr="006419F6" w:rsidR="0031695F">
        <w:rPr>
          <w:rFonts w:ascii="Times New Roman" w:hAnsi="Times New Roman" w:cs="Times New Roman"/>
        </w:rPr>
        <w:t xml:space="preserve"> band contains almost 4,000 </w:t>
      </w:r>
      <w:r w:rsidRPr="006419F6" w:rsidR="008D5188">
        <w:rPr>
          <w:rFonts w:ascii="Times New Roman" w:hAnsi="Times New Roman" w:cs="Times New Roman"/>
        </w:rPr>
        <w:t xml:space="preserve">incumbent </w:t>
      </w:r>
      <w:r w:rsidRPr="006419F6">
        <w:rPr>
          <w:rFonts w:ascii="Times New Roman" w:hAnsi="Times New Roman" w:cs="Times New Roman"/>
        </w:rPr>
        <w:t xml:space="preserve">fixed public safety sites and </w:t>
      </w:r>
      <w:r w:rsidRPr="006419F6" w:rsidR="0031695F">
        <w:rPr>
          <w:rFonts w:ascii="Times New Roman" w:hAnsi="Times New Roman" w:cs="Times New Roman"/>
        </w:rPr>
        <w:t xml:space="preserve">over 2,000 </w:t>
      </w:r>
      <w:r w:rsidRPr="006419F6">
        <w:rPr>
          <w:rFonts w:ascii="Times New Roman" w:hAnsi="Times New Roman" w:cs="Times New Roman"/>
        </w:rPr>
        <w:t>geographic licenses</w:t>
      </w:r>
      <w:r w:rsidRPr="006419F6" w:rsidR="0048135F">
        <w:rPr>
          <w:rFonts w:ascii="Times New Roman" w:hAnsi="Times New Roman" w:cs="Times New Roman"/>
        </w:rPr>
        <w:t>, each of which entitles the licensee to use the full 50 megahertz of 4.9 GHz spectrum throughout its entire jurisdiction</w:t>
      </w:r>
      <w:r w:rsidRPr="006419F6" w:rsidR="008D5188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Pr="006419F6" w:rsidR="008D5188">
        <w:rPr>
          <w:rFonts w:ascii="Times New Roman" w:hAnsi="Times New Roman" w:cs="Times New Roman"/>
        </w:rPr>
        <w:t xml:space="preserve">  </w:t>
      </w:r>
      <w:r w:rsidRPr="006419F6" w:rsidR="00F576D2">
        <w:rPr>
          <w:rFonts w:ascii="Times New Roman" w:hAnsi="Times New Roman" w:cs="Times New Roman"/>
        </w:rPr>
        <w:t>In addition</w:t>
      </w:r>
      <w:r w:rsidRPr="006419F6" w:rsidR="0048135F">
        <w:rPr>
          <w:rFonts w:ascii="Times New Roman" w:hAnsi="Times New Roman" w:cs="Times New Roman"/>
        </w:rPr>
        <w:t xml:space="preserve">, </w:t>
      </w:r>
      <w:r w:rsidRPr="006419F6" w:rsidR="00A92635">
        <w:rPr>
          <w:rFonts w:ascii="Times New Roman" w:hAnsi="Times New Roman" w:cs="Times New Roman"/>
        </w:rPr>
        <w:t>while 4.9 GHz may be “</w:t>
      </w:r>
      <w:r w:rsidRPr="006419F6" w:rsidR="0048135F">
        <w:rPr>
          <w:rFonts w:ascii="Times New Roman" w:hAnsi="Times New Roman" w:cs="Times New Roman"/>
        </w:rPr>
        <w:t>mid-band</w:t>
      </w:r>
      <w:r w:rsidRPr="006419F6" w:rsidR="00A92635">
        <w:rPr>
          <w:rFonts w:ascii="Times New Roman" w:hAnsi="Times New Roman" w:cs="Times New Roman"/>
        </w:rPr>
        <w:t xml:space="preserve">” spectrum, it’s far from </w:t>
      </w:r>
      <w:r w:rsidRPr="006419F6" w:rsidR="008D5188">
        <w:rPr>
          <w:rFonts w:ascii="Times New Roman" w:hAnsi="Times New Roman" w:cs="Times New Roman"/>
        </w:rPr>
        <w:t>a prime candidate for 5G in the United States</w:t>
      </w:r>
      <w:r w:rsidRPr="006419F6" w:rsidR="00A92635">
        <w:rPr>
          <w:rFonts w:ascii="Times New Roman" w:hAnsi="Times New Roman" w:cs="Times New Roman"/>
        </w:rPr>
        <w:t xml:space="preserve">.  Indeed, </w:t>
      </w:r>
      <w:r w:rsidRPr="006419F6" w:rsidR="008D5188">
        <w:rPr>
          <w:rFonts w:ascii="Times New Roman" w:hAnsi="Times New Roman" w:cs="Times New Roman"/>
        </w:rPr>
        <w:t xml:space="preserve">the countries that are most actively using the 4.9 GHz band </w:t>
      </w:r>
      <w:r w:rsidRPr="006419F6" w:rsidR="00F576D2">
        <w:rPr>
          <w:rFonts w:ascii="Times New Roman" w:hAnsi="Times New Roman" w:cs="Times New Roman"/>
        </w:rPr>
        <w:t xml:space="preserve">for 5G </w:t>
      </w:r>
      <w:r w:rsidRPr="006419F6" w:rsidR="008D5188">
        <w:rPr>
          <w:rFonts w:ascii="Times New Roman" w:hAnsi="Times New Roman" w:cs="Times New Roman"/>
        </w:rPr>
        <w:t>are Russia and China, and the major telecom equipment manufacturer of 4.9</w:t>
      </w:r>
      <w:r w:rsidRPr="006419F6" w:rsidR="00221AED">
        <w:rPr>
          <w:rFonts w:ascii="Times New Roman" w:hAnsi="Times New Roman" w:cs="Times New Roman"/>
        </w:rPr>
        <w:t> </w:t>
      </w:r>
      <w:r w:rsidRPr="006419F6" w:rsidR="008D5188">
        <w:rPr>
          <w:rFonts w:ascii="Times New Roman" w:hAnsi="Times New Roman" w:cs="Times New Roman"/>
        </w:rPr>
        <w:t xml:space="preserve">GHz equipment is Huawei.  We shouldn’t be surprised that, in contrast to our other mid-band spectrum proceedings, </w:t>
      </w:r>
      <w:r w:rsidRPr="006419F6" w:rsidR="0031695F">
        <w:rPr>
          <w:rFonts w:ascii="Times New Roman" w:hAnsi="Times New Roman" w:cs="Times New Roman"/>
        </w:rPr>
        <w:t xml:space="preserve">we’ve received far less interest from </w:t>
      </w:r>
      <w:r w:rsidRPr="006419F6" w:rsidR="008D5188">
        <w:rPr>
          <w:rFonts w:ascii="Times New Roman" w:hAnsi="Times New Roman" w:cs="Times New Roman"/>
        </w:rPr>
        <w:t>commercial wireless user</w:t>
      </w:r>
      <w:r w:rsidRPr="006419F6" w:rsidR="0031695F">
        <w:rPr>
          <w:rFonts w:ascii="Times New Roman" w:hAnsi="Times New Roman" w:cs="Times New Roman"/>
        </w:rPr>
        <w:t>s</w:t>
      </w:r>
      <w:r w:rsidRPr="006419F6" w:rsidR="008D5188">
        <w:rPr>
          <w:rFonts w:ascii="Times New Roman" w:hAnsi="Times New Roman" w:cs="Times New Roman"/>
        </w:rPr>
        <w:t xml:space="preserve"> </w:t>
      </w:r>
      <w:r w:rsidRPr="006419F6" w:rsidR="0031695F">
        <w:rPr>
          <w:rFonts w:ascii="Times New Roman" w:hAnsi="Times New Roman" w:cs="Times New Roman"/>
        </w:rPr>
        <w:t xml:space="preserve">and </w:t>
      </w:r>
      <w:r w:rsidRPr="006419F6" w:rsidR="008D5188">
        <w:rPr>
          <w:rFonts w:ascii="Times New Roman" w:hAnsi="Times New Roman" w:cs="Times New Roman"/>
        </w:rPr>
        <w:t>provider</w:t>
      </w:r>
      <w:r w:rsidRPr="006419F6" w:rsidR="0031695F">
        <w:rPr>
          <w:rFonts w:ascii="Times New Roman" w:hAnsi="Times New Roman" w:cs="Times New Roman"/>
        </w:rPr>
        <w:t>s</w:t>
      </w:r>
      <w:r w:rsidRPr="006419F6" w:rsidR="008D5188">
        <w:rPr>
          <w:rFonts w:ascii="Times New Roman" w:hAnsi="Times New Roman" w:cs="Times New Roman"/>
        </w:rPr>
        <w:t>.</w:t>
      </w:r>
    </w:p>
    <w:p w:rsidR="006419F6" w:rsidRPr="006419F6" w:rsidP="006419F6" w14:paraId="055DD5CB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40A04" w:rsidP="006419F6" w14:paraId="016E6E45" w14:textId="7BDF826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419F6">
        <w:rPr>
          <w:rFonts w:ascii="Times New Roman" w:hAnsi="Times New Roman" w:cs="Times New Roman"/>
        </w:rPr>
        <w:t xml:space="preserve">Moreover, </w:t>
      </w:r>
      <w:r w:rsidRPr="006419F6" w:rsidR="00A92635">
        <w:rPr>
          <w:rFonts w:ascii="Times New Roman" w:hAnsi="Times New Roman" w:cs="Times New Roman"/>
        </w:rPr>
        <w:t xml:space="preserve">today’s decision pursues </w:t>
      </w:r>
      <w:r w:rsidRPr="006419F6">
        <w:rPr>
          <w:rFonts w:ascii="Times New Roman" w:hAnsi="Times New Roman" w:cs="Times New Roman"/>
        </w:rPr>
        <w:t xml:space="preserve">an approach that </w:t>
      </w:r>
      <w:r w:rsidRPr="006419F6" w:rsidR="006640DA">
        <w:rPr>
          <w:rFonts w:ascii="Times New Roman" w:hAnsi="Times New Roman" w:cs="Times New Roman"/>
        </w:rPr>
        <w:t>comes out of the blue</w:t>
      </w:r>
      <w:r w:rsidRPr="006419F6" w:rsidR="00A92635">
        <w:rPr>
          <w:rFonts w:ascii="Times New Roman" w:hAnsi="Times New Roman" w:cs="Times New Roman"/>
        </w:rPr>
        <w:t xml:space="preserve">.  Since this proceeding </w:t>
      </w:r>
      <w:r w:rsidRPr="006419F6" w:rsidR="00F576D2">
        <w:rPr>
          <w:rFonts w:ascii="Times New Roman" w:hAnsi="Times New Roman" w:cs="Times New Roman"/>
        </w:rPr>
        <w:t xml:space="preserve">first </w:t>
      </w:r>
      <w:r w:rsidRPr="006419F6" w:rsidR="00A92635">
        <w:rPr>
          <w:rFonts w:ascii="Times New Roman" w:hAnsi="Times New Roman" w:cs="Times New Roman"/>
        </w:rPr>
        <w:t xml:space="preserve">began, the FCC has </w:t>
      </w:r>
      <w:r w:rsidRPr="006419F6" w:rsidR="00765915">
        <w:rPr>
          <w:rFonts w:ascii="Times New Roman" w:hAnsi="Times New Roman" w:cs="Times New Roman"/>
        </w:rPr>
        <w:t xml:space="preserve">considered </w:t>
      </w:r>
      <w:r w:rsidRPr="006419F6" w:rsidR="00F126DA">
        <w:rPr>
          <w:rFonts w:ascii="Times New Roman" w:hAnsi="Times New Roman" w:cs="Times New Roman"/>
        </w:rPr>
        <w:t xml:space="preserve">many different options to increase </w:t>
      </w:r>
      <w:r w:rsidRPr="006419F6" w:rsidR="00A92635">
        <w:rPr>
          <w:rFonts w:ascii="Times New Roman" w:hAnsi="Times New Roman" w:cs="Times New Roman"/>
        </w:rPr>
        <w:t xml:space="preserve">spectrum </w:t>
      </w:r>
      <w:r w:rsidRPr="006419F6" w:rsidR="00F126DA">
        <w:rPr>
          <w:rFonts w:ascii="Times New Roman" w:hAnsi="Times New Roman" w:cs="Times New Roman"/>
        </w:rPr>
        <w:t xml:space="preserve">usage </w:t>
      </w:r>
      <w:r w:rsidRPr="006419F6" w:rsidR="006640DA">
        <w:rPr>
          <w:rFonts w:ascii="Times New Roman" w:hAnsi="Times New Roman" w:cs="Times New Roman"/>
        </w:rPr>
        <w:t xml:space="preserve">in the </w:t>
      </w:r>
      <w:r w:rsidRPr="006419F6" w:rsidR="00A84A42">
        <w:rPr>
          <w:rFonts w:ascii="Times New Roman" w:hAnsi="Times New Roman" w:cs="Times New Roman"/>
        </w:rPr>
        <w:t xml:space="preserve">4.9 GHz </w:t>
      </w:r>
      <w:r w:rsidRPr="006419F6" w:rsidR="006640DA">
        <w:rPr>
          <w:rFonts w:ascii="Times New Roman" w:hAnsi="Times New Roman" w:cs="Times New Roman"/>
        </w:rPr>
        <w:t xml:space="preserve">band </w:t>
      </w:r>
      <w:r w:rsidRPr="006419F6" w:rsidR="00F126DA">
        <w:rPr>
          <w:rFonts w:ascii="Times New Roman" w:hAnsi="Times New Roman" w:cs="Times New Roman"/>
        </w:rPr>
        <w:t xml:space="preserve">while protecting critical public safety operations.  </w:t>
      </w:r>
      <w:r w:rsidRPr="006419F6" w:rsidR="00A84A42">
        <w:rPr>
          <w:rFonts w:ascii="Times New Roman" w:hAnsi="Times New Roman" w:cs="Times New Roman"/>
        </w:rPr>
        <w:t>It’s black letter law that agencies must provide adequate notice and an opportunity to comment before adopting a rule.</w:t>
      </w:r>
      <w:r>
        <w:rPr>
          <w:rStyle w:val="FootnoteReference"/>
          <w:rFonts w:ascii="Times New Roman" w:hAnsi="Times New Roman" w:cs="Times New Roman"/>
        </w:rPr>
        <w:footnoteReference w:id="3"/>
      </w:r>
      <w:r w:rsidRPr="006419F6" w:rsidR="00A84A42">
        <w:rPr>
          <w:rFonts w:ascii="Times New Roman" w:hAnsi="Times New Roman" w:cs="Times New Roman"/>
        </w:rPr>
        <w:t xml:space="preserve">  </w:t>
      </w:r>
      <w:r w:rsidRPr="006419F6" w:rsidR="00F126DA">
        <w:rPr>
          <w:rFonts w:ascii="Times New Roman" w:hAnsi="Times New Roman" w:cs="Times New Roman"/>
        </w:rPr>
        <w:t>But at no point have we ever proposed effectively delegat</w:t>
      </w:r>
      <w:r w:rsidRPr="006419F6" w:rsidR="00E93837">
        <w:rPr>
          <w:rFonts w:ascii="Times New Roman" w:hAnsi="Times New Roman" w:cs="Times New Roman"/>
        </w:rPr>
        <w:t>ing</w:t>
      </w:r>
      <w:r w:rsidRPr="006419F6" w:rsidR="00F126DA">
        <w:rPr>
          <w:rFonts w:ascii="Times New Roman" w:hAnsi="Times New Roman" w:cs="Times New Roman"/>
        </w:rPr>
        <w:t xml:space="preserve"> the Commission’s spectrum authority </w:t>
      </w:r>
      <w:r w:rsidRPr="006419F6" w:rsidR="002D379A">
        <w:rPr>
          <w:rFonts w:ascii="Times New Roman" w:hAnsi="Times New Roman" w:cs="Times New Roman"/>
        </w:rPr>
        <w:t xml:space="preserve">over the band </w:t>
      </w:r>
      <w:r w:rsidRPr="006419F6" w:rsidR="00F126DA">
        <w:rPr>
          <w:rFonts w:ascii="Times New Roman" w:hAnsi="Times New Roman" w:cs="Times New Roman"/>
        </w:rPr>
        <w:t xml:space="preserve">to state governments.  </w:t>
      </w:r>
      <w:r w:rsidRPr="006419F6" w:rsidR="00A92635">
        <w:rPr>
          <w:rFonts w:ascii="Times New Roman" w:hAnsi="Times New Roman" w:cs="Times New Roman"/>
        </w:rPr>
        <w:t xml:space="preserve">I therefore </w:t>
      </w:r>
      <w:r w:rsidRPr="006419F6">
        <w:rPr>
          <w:rFonts w:ascii="Times New Roman" w:hAnsi="Times New Roman" w:cs="Times New Roman"/>
        </w:rPr>
        <w:t xml:space="preserve">already </w:t>
      </w:r>
      <w:r w:rsidRPr="006419F6" w:rsidR="00A92635">
        <w:rPr>
          <w:rFonts w:ascii="Times New Roman" w:hAnsi="Times New Roman" w:cs="Times New Roman"/>
        </w:rPr>
        <w:t>ha</w:t>
      </w:r>
      <w:r w:rsidRPr="006419F6" w:rsidR="00E93837">
        <w:rPr>
          <w:rFonts w:ascii="Times New Roman" w:hAnsi="Times New Roman" w:cs="Times New Roman"/>
        </w:rPr>
        <w:t>d</w:t>
      </w:r>
      <w:r w:rsidRPr="006419F6" w:rsidR="00A92635">
        <w:rPr>
          <w:rFonts w:ascii="Times New Roman" w:hAnsi="Times New Roman" w:cs="Times New Roman"/>
        </w:rPr>
        <w:t xml:space="preserve"> serious concerns about whether t</w:t>
      </w:r>
      <w:r w:rsidRPr="006419F6" w:rsidR="00E93837">
        <w:rPr>
          <w:rFonts w:ascii="Times New Roman" w:hAnsi="Times New Roman" w:cs="Times New Roman"/>
        </w:rPr>
        <w:t xml:space="preserve">he </w:t>
      </w:r>
      <w:r w:rsidRPr="006419F6" w:rsidR="00F576D2">
        <w:rPr>
          <w:rFonts w:ascii="Times New Roman" w:hAnsi="Times New Roman" w:cs="Times New Roman"/>
        </w:rPr>
        <w:t>draft order</w:t>
      </w:r>
      <w:r w:rsidRPr="006419F6" w:rsidR="00E93837">
        <w:rPr>
          <w:rFonts w:ascii="Times New Roman" w:hAnsi="Times New Roman" w:cs="Times New Roman"/>
        </w:rPr>
        <w:t xml:space="preserve"> circulated three week</w:t>
      </w:r>
      <w:r w:rsidRPr="006419F6" w:rsidR="00F576D2">
        <w:rPr>
          <w:rFonts w:ascii="Times New Roman" w:hAnsi="Times New Roman" w:cs="Times New Roman"/>
        </w:rPr>
        <w:t>s</w:t>
      </w:r>
      <w:r w:rsidRPr="006419F6" w:rsidR="00E93837">
        <w:rPr>
          <w:rFonts w:ascii="Times New Roman" w:hAnsi="Times New Roman" w:cs="Times New Roman"/>
        </w:rPr>
        <w:t xml:space="preserve"> ago</w:t>
      </w:r>
      <w:r w:rsidRPr="006419F6" w:rsidR="00A92635">
        <w:rPr>
          <w:rFonts w:ascii="Times New Roman" w:hAnsi="Times New Roman" w:cs="Times New Roman"/>
        </w:rPr>
        <w:t xml:space="preserve"> </w:t>
      </w:r>
      <w:r w:rsidRPr="006419F6" w:rsidR="00E93837">
        <w:rPr>
          <w:rFonts w:ascii="Times New Roman" w:hAnsi="Times New Roman" w:cs="Times New Roman"/>
        </w:rPr>
        <w:t xml:space="preserve">satisfied </w:t>
      </w:r>
      <w:r w:rsidRPr="006419F6">
        <w:rPr>
          <w:rFonts w:ascii="Times New Roman" w:hAnsi="Times New Roman" w:cs="Times New Roman"/>
        </w:rPr>
        <w:t>th</w:t>
      </w:r>
      <w:r w:rsidRPr="006419F6" w:rsidR="00A84A42">
        <w:rPr>
          <w:rFonts w:ascii="Times New Roman" w:hAnsi="Times New Roman" w:cs="Times New Roman"/>
        </w:rPr>
        <w:t>e Administrative Procedures Act</w:t>
      </w:r>
      <w:r w:rsidRPr="006419F6" w:rsidR="00A92635">
        <w:rPr>
          <w:rFonts w:ascii="Times New Roman" w:hAnsi="Times New Roman" w:cs="Times New Roman"/>
        </w:rPr>
        <w:t xml:space="preserve">.  </w:t>
      </w:r>
    </w:p>
    <w:p w:rsidR="006419F6" w:rsidRPr="006419F6" w:rsidP="006419F6" w14:paraId="489A38A1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126DA" w:rsidP="006419F6" w14:paraId="202311F4" w14:textId="5F7B4D8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419F6">
        <w:rPr>
          <w:rFonts w:ascii="Times New Roman" w:hAnsi="Times New Roman" w:cs="Times New Roman"/>
        </w:rPr>
        <w:t xml:space="preserve">If </w:t>
      </w:r>
      <w:r w:rsidRPr="006419F6" w:rsidR="00B60C07">
        <w:rPr>
          <w:rFonts w:ascii="Times New Roman" w:hAnsi="Times New Roman" w:cs="Times New Roman"/>
        </w:rPr>
        <w:t xml:space="preserve">the original draft put us </w:t>
      </w:r>
      <w:r w:rsidRPr="006419F6">
        <w:rPr>
          <w:rFonts w:ascii="Times New Roman" w:hAnsi="Times New Roman" w:cs="Times New Roman"/>
        </w:rPr>
        <w:t xml:space="preserve">on the edge of a precipice, </w:t>
      </w:r>
      <w:r w:rsidRPr="006419F6" w:rsidR="007B732D">
        <w:rPr>
          <w:rFonts w:ascii="Times New Roman" w:hAnsi="Times New Roman" w:cs="Times New Roman"/>
        </w:rPr>
        <w:t xml:space="preserve">the current one </w:t>
      </w:r>
      <w:r w:rsidRPr="006419F6" w:rsidR="00667F5B">
        <w:rPr>
          <w:rFonts w:ascii="Times New Roman" w:hAnsi="Times New Roman" w:cs="Times New Roman"/>
        </w:rPr>
        <w:t xml:space="preserve">drives </w:t>
      </w:r>
      <w:r w:rsidRPr="006419F6" w:rsidR="007B732D">
        <w:rPr>
          <w:rFonts w:ascii="Times New Roman" w:hAnsi="Times New Roman" w:cs="Times New Roman"/>
        </w:rPr>
        <w:t>us off the cliff</w:t>
      </w:r>
      <w:r w:rsidRPr="006419F6">
        <w:rPr>
          <w:rFonts w:ascii="Times New Roman" w:hAnsi="Times New Roman" w:cs="Times New Roman"/>
        </w:rPr>
        <w:t xml:space="preserve">.  </w:t>
      </w:r>
      <w:r w:rsidRPr="006419F6" w:rsidR="00D670F5">
        <w:rPr>
          <w:rFonts w:ascii="Times New Roman" w:hAnsi="Times New Roman" w:cs="Times New Roman"/>
        </w:rPr>
        <w:t>The</w:t>
      </w:r>
      <w:r w:rsidRPr="006419F6" w:rsidR="007074A4">
        <w:rPr>
          <w:rFonts w:ascii="Times New Roman" w:hAnsi="Times New Roman" w:cs="Times New Roman"/>
        </w:rPr>
        <w:t xml:space="preserve"> </w:t>
      </w:r>
      <w:r w:rsidRPr="006419F6" w:rsidR="00947764">
        <w:rPr>
          <w:rFonts w:ascii="Times New Roman" w:hAnsi="Times New Roman" w:cs="Times New Roman"/>
        </w:rPr>
        <w:t xml:space="preserve">final </w:t>
      </w:r>
      <w:r w:rsidRPr="006419F6" w:rsidR="00374FA8">
        <w:rPr>
          <w:rFonts w:ascii="Times New Roman" w:hAnsi="Times New Roman" w:cs="Times New Roman"/>
        </w:rPr>
        <w:t>Report and Order</w:t>
      </w:r>
      <w:r w:rsidRPr="006419F6" w:rsidR="00B430E2">
        <w:rPr>
          <w:rFonts w:ascii="Times New Roman" w:hAnsi="Times New Roman" w:cs="Times New Roman"/>
        </w:rPr>
        <w:t xml:space="preserve"> now disqualifies states from </w:t>
      </w:r>
      <w:r w:rsidRPr="006419F6" w:rsidR="00444A5D">
        <w:rPr>
          <w:rFonts w:ascii="Times New Roman" w:hAnsi="Times New Roman" w:cs="Times New Roman"/>
        </w:rPr>
        <w:t xml:space="preserve">participating in </w:t>
      </w:r>
      <w:r w:rsidRPr="006419F6" w:rsidR="00B430E2">
        <w:rPr>
          <w:rFonts w:ascii="Times New Roman" w:hAnsi="Times New Roman" w:cs="Times New Roman"/>
        </w:rPr>
        <w:t xml:space="preserve">the State Lessor model if they engage </w:t>
      </w:r>
      <w:r w:rsidRPr="006419F6" w:rsidR="00A92635">
        <w:rPr>
          <w:rFonts w:ascii="Times New Roman" w:hAnsi="Times New Roman" w:cs="Times New Roman"/>
        </w:rPr>
        <w:t xml:space="preserve">in “911 fee diversion,” a concept that another item on today’s agenda </w:t>
      </w:r>
      <w:r w:rsidRPr="006419F6" w:rsidR="00667F5B">
        <w:rPr>
          <w:rFonts w:ascii="Times New Roman" w:hAnsi="Times New Roman" w:cs="Times New Roman"/>
        </w:rPr>
        <w:t xml:space="preserve">frames for </w:t>
      </w:r>
      <w:r w:rsidRPr="006419F6" w:rsidR="00B60C07">
        <w:rPr>
          <w:rFonts w:ascii="Times New Roman" w:hAnsi="Times New Roman" w:cs="Times New Roman"/>
        </w:rPr>
        <w:t>debate</w:t>
      </w:r>
      <w:r w:rsidRPr="006419F6" w:rsidR="00A92635">
        <w:rPr>
          <w:rFonts w:ascii="Times New Roman" w:hAnsi="Times New Roman" w:cs="Times New Roman"/>
        </w:rPr>
        <w:t xml:space="preserve">.  </w:t>
      </w:r>
      <w:r w:rsidRPr="006419F6" w:rsidR="00314539">
        <w:rPr>
          <w:rFonts w:ascii="Times New Roman" w:hAnsi="Times New Roman" w:cs="Times New Roman"/>
        </w:rPr>
        <w:t xml:space="preserve">This proceeding has </w:t>
      </w:r>
      <w:r w:rsidRPr="006419F6" w:rsidR="00E93837">
        <w:rPr>
          <w:rFonts w:ascii="Times New Roman" w:hAnsi="Times New Roman" w:cs="Times New Roman"/>
        </w:rPr>
        <w:t xml:space="preserve">never sought comment on that </w:t>
      </w:r>
      <w:r w:rsidRPr="006419F6" w:rsidR="00E40A04">
        <w:rPr>
          <w:rFonts w:ascii="Times New Roman" w:hAnsi="Times New Roman" w:cs="Times New Roman"/>
        </w:rPr>
        <w:t xml:space="preserve">issue </w:t>
      </w:r>
      <w:r w:rsidRPr="006419F6" w:rsidR="00E93837">
        <w:rPr>
          <w:rFonts w:ascii="Times New Roman" w:hAnsi="Times New Roman" w:cs="Times New Roman"/>
        </w:rPr>
        <w:t>or anything like it</w:t>
      </w:r>
      <w:r w:rsidRPr="006419F6" w:rsidR="00E40A04">
        <w:rPr>
          <w:rFonts w:ascii="Times New Roman" w:hAnsi="Times New Roman" w:cs="Times New Roman"/>
        </w:rPr>
        <w:t>, and there is no way that commenting parties</w:t>
      </w:r>
      <w:r w:rsidRPr="006419F6" w:rsidR="00374FA8">
        <w:rPr>
          <w:rFonts w:ascii="Times New Roman" w:hAnsi="Times New Roman" w:cs="Times New Roman"/>
        </w:rPr>
        <w:t xml:space="preserve">, and </w:t>
      </w:r>
      <w:r w:rsidRPr="006419F6" w:rsidR="00444A5D">
        <w:rPr>
          <w:rFonts w:ascii="Times New Roman" w:hAnsi="Times New Roman" w:cs="Times New Roman"/>
        </w:rPr>
        <w:t xml:space="preserve">the governments, public safety organizations and citizens </w:t>
      </w:r>
      <w:r w:rsidRPr="006419F6" w:rsidR="00374FA8">
        <w:rPr>
          <w:rFonts w:ascii="Times New Roman" w:hAnsi="Times New Roman" w:cs="Times New Roman"/>
        </w:rPr>
        <w:t>that will be adversely impacted,</w:t>
      </w:r>
      <w:r w:rsidRPr="006419F6" w:rsidR="00E40A04">
        <w:rPr>
          <w:rFonts w:ascii="Times New Roman" w:hAnsi="Times New Roman" w:cs="Times New Roman"/>
        </w:rPr>
        <w:t xml:space="preserve"> </w:t>
      </w:r>
      <w:r w:rsidRPr="006419F6" w:rsidR="00314539">
        <w:rPr>
          <w:rFonts w:ascii="Times New Roman" w:hAnsi="Times New Roman" w:cs="Times New Roman"/>
        </w:rPr>
        <w:t>w</w:t>
      </w:r>
      <w:r w:rsidRPr="006419F6" w:rsidR="00E40A04">
        <w:rPr>
          <w:rFonts w:ascii="Times New Roman" w:hAnsi="Times New Roman" w:cs="Times New Roman"/>
        </w:rPr>
        <w:t xml:space="preserve">ould have </w:t>
      </w:r>
      <w:r w:rsidRPr="006419F6" w:rsidR="00E40A04">
        <w:rPr>
          <w:rFonts w:ascii="Times New Roman" w:hAnsi="Times New Roman" w:cs="Times New Roman"/>
        </w:rPr>
        <w:t xml:space="preserve">reasonably known </w:t>
      </w:r>
      <w:r w:rsidRPr="006419F6" w:rsidR="002D379A">
        <w:rPr>
          <w:rFonts w:ascii="Times New Roman" w:hAnsi="Times New Roman" w:cs="Times New Roman"/>
        </w:rPr>
        <w:t xml:space="preserve">to comment on the </w:t>
      </w:r>
      <w:r w:rsidRPr="006419F6" w:rsidR="007074A4">
        <w:rPr>
          <w:rFonts w:ascii="Times New Roman" w:hAnsi="Times New Roman" w:cs="Times New Roman"/>
        </w:rPr>
        <w:t>idea</w:t>
      </w:r>
      <w:r w:rsidRPr="006419F6" w:rsidR="00E40A04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4"/>
      </w:r>
      <w:r w:rsidRPr="006419F6" w:rsidR="00977083">
        <w:rPr>
          <w:rFonts w:ascii="Times New Roman" w:hAnsi="Times New Roman" w:cs="Times New Roman"/>
        </w:rPr>
        <w:t xml:space="preserve">  This</w:t>
      </w:r>
      <w:r w:rsidRPr="006419F6" w:rsidR="00E40A04">
        <w:rPr>
          <w:rFonts w:ascii="Times New Roman" w:hAnsi="Times New Roman" w:cs="Times New Roman"/>
        </w:rPr>
        <w:t xml:space="preserve"> approach </w:t>
      </w:r>
      <w:r w:rsidRPr="006419F6" w:rsidR="002D379A">
        <w:rPr>
          <w:rFonts w:ascii="Times New Roman" w:hAnsi="Times New Roman" w:cs="Times New Roman"/>
        </w:rPr>
        <w:t>is facially deficient as a matter of administrative law.</w:t>
      </w:r>
    </w:p>
    <w:p w:rsidR="006419F6" w:rsidRPr="006419F6" w:rsidP="006419F6" w14:paraId="185A3A78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D0911" w:rsidP="006419F6" w14:paraId="2D3EF199" w14:textId="5881BBD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419F6">
        <w:rPr>
          <w:rFonts w:ascii="Times New Roman" w:hAnsi="Times New Roman" w:cs="Times New Roman"/>
        </w:rPr>
        <w:t xml:space="preserve">Beyond serious procedural flaws, </w:t>
      </w:r>
      <w:r w:rsidRPr="006419F6" w:rsidR="00D670F5">
        <w:rPr>
          <w:rFonts w:ascii="Times New Roman" w:hAnsi="Times New Roman" w:cs="Times New Roman"/>
        </w:rPr>
        <w:t>t</w:t>
      </w:r>
      <w:r w:rsidRPr="006419F6" w:rsidR="006640DA">
        <w:rPr>
          <w:rFonts w:ascii="Times New Roman" w:hAnsi="Times New Roman" w:cs="Times New Roman"/>
        </w:rPr>
        <w:t xml:space="preserve">his </w:t>
      </w:r>
      <w:r w:rsidRPr="006419F6" w:rsidR="00BE228D">
        <w:rPr>
          <w:rFonts w:ascii="Times New Roman" w:hAnsi="Times New Roman" w:cs="Times New Roman"/>
        </w:rPr>
        <w:t>decision</w:t>
      </w:r>
      <w:r w:rsidRPr="006419F6" w:rsidR="006640DA">
        <w:rPr>
          <w:rFonts w:ascii="Times New Roman" w:hAnsi="Times New Roman" w:cs="Times New Roman"/>
        </w:rPr>
        <w:t xml:space="preserve"> </w:t>
      </w:r>
      <w:r w:rsidRPr="006419F6">
        <w:rPr>
          <w:rFonts w:ascii="Times New Roman" w:hAnsi="Times New Roman" w:cs="Times New Roman"/>
        </w:rPr>
        <w:t>is likely</w:t>
      </w:r>
      <w:r w:rsidRPr="006419F6" w:rsidR="00444A5D">
        <w:rPr>
          <w:rFonts w:ascii="Times New Roman" w:hAnsi="Times New Roman" w:cs="Times New Roman"/>
        </w:rPr>
        <w:t xml:space="preserve"> to </w:t>
      </w:r>
      <w:r w:rsidRPr="006419F6" w:rsidR="006640DA">
        <w:rPr>
          <w:rFonts w:ascii="Times New Roman" w:hAnsi="Times New Roman" w:cs="Times New Roman"/>
        </w:rPr>
        <w:t xml:space="preserve">have serious policy consequences.  </w:t>
      </w:r>
      <w:r w:rsidRPr="006419F6" w:rsidR="00A10B29">
        <w:rPr>
          <w:rFonts w:ascii="Times New Roman" w:hAnsi="Times New Roman" w:cs="Times New Roman"/>
        </w:rPr>
        <w:t xml:space="preserve">By pushing </w:t>
      </w:r>
      <w:r w:rsidRPr="006419F6" w:rsidR="00E93837">
        <w:rPr>
          <w:rFonts w:ascii="Times New Roman" w:hAnsi="Times New Roman" w:cs="Times New Roman"/>
        </w:rPr>
        <w:t>management</w:t>
      </w:r>
      <w:r w:rsidRPr="006419F6" w:rsidR="00A10B29">
        <w:rPr>
          <w:rFonts w:ascii="Times New Roman" w:hAnsi="Times New Roman" w:cs="Times New Roman"/>
        </w:rPr>
        <w:t xml:space="preserve"> of the 4.9 GHz band to the state</w:t>
      </w:r>
      <w:r w:rsidRPr="006419F6" w:rsidR="00BE228D">
        <w:rPr>
          <w:rFonts w:ascii="Times New Roman" w:hAnsi="Times New Roman" w:cs="Times New Roman"/>
        </w:rPr>
        <w:t>s</w:t>
      </w:r>
      <w:r w:rsidRPr="006419F6" w:rsidR="00A10B29">
        <w:rPr>
          <w:rFonts w:ascii="Times New Roman" w:hAnsi="Times New Roman" w:cs="Times New Roman"/>
        </w:rPr>
        <w:t xml:space="preserve">, the </w:t>
      </w:r>
      <w:r w:rsidRPr="006419F6" w:rsidR="00BE228D">
        <w:rPr>
          <w:rFonts w:ascii="Times New Roman" w:hAnsi="Times New Roman" w:cs="Times New Roman"/>
        </w:rPr>
        <w:t>majority</w:t>
      </w:r>
      <w:r w:rsidRPr="006419F6" w:rsidR="00A10B29">
        <w:rPr>
          <w:rFonts w:ascii="Times New Roman" w:hAnsi="Times New Roman" w:cs="Times New Roman"/>
        </w:rPr>
        <w:t xml:space="preserve"> risks creating </w:t>
      </w:r>
      <w:r w:rsidRPr="006419F6" w:rsidR="00BE228D">
        <w:rPr>
          <w:rFonts w:ascii="Times New Roman" w:hAnsi="Times New Roman" w:cs="Times New Roman"/>
        </w:rPr>
        <w:t xml:space="preserve">dozens of </w:t>
      </w:r>
      <w:r w:rsidRPr="006419F6" w:rsidR="00E93837">
        <w:rPr>
          <w:rFonts w:ascii="Times New Roman" w:hAnsi="Times New Roman" w:cs="Times New Roman"/>
        </w:rPr>
        <w:t xml:space="preserve">inconsistent </w:t>
      </w:r>
      <w:r w:rsidRPr="006419F6" w:rsidR="00BE228D">
        <w:rPr>
          <w:rFonts w:ascii="Times New Roman" w:hAnsi="Times New Roman" w:cs="Times New Roman"/>
        </w:rPr>
        <w:t>approaches to th</w:t>
      </w:r>
      <w:r w:rsidRPr="006419F6" w:rsidR="00E93837">
        <w:rPr>
          <w:rFonts w:ascii="Times New Roman" w:hAnsi="Times New Roman" w:cs="Times New Roman"/>
        </w:rPr>
        <w:t>is valuable</w:t>
      </w:r>
      <w:r w:rsidRPr="006419F6" w:rsidR="00BE228D">
        <w:rPr>
          <w:rFonts w:ascii="Times New Roman" w:hAnsi="Times New Roman" w:cs="Times New Roman"/>
        </w:rPr>
        <w:t xml:space="preserve"> spectrum</w:t>
      </w:r>
      <w:r w:rsidRPr="006419F6" w:rsidR="00E93837">
        <w:rPr>
          <w:rFonts w:ascii="Times New Roman" w:hAnsi="Times New Roman" w:cs="Times New Roman"/>
        </w:rPr>
        <w:t xml:space="preserve"> resource</w:t>
      </w:r>
      <w:r w:rsidRPr="006419F6" w:rsidR="00BE228D">
        <w:rPr>
          <w:rFonts w:ascii="Times New Roman" w:hAnsi="Times New Roman" w:cs="Times New Roman"/>
        </w:rPr>
        <w:t xml:space="preserve">.  States have vastly different interests and levels of spectrum </w:t>
      </w:r>
      <w:r w:rsidRPr="006419F6" w:rsidR="00BE228D">
        <w:rPr>
          <w:rFonts w:ascii="Times New Roman" w:hAnsi="Times New Roman" w:cs="Times New Roman"/>
        </w:rPr>
        <w:t>expertise, and</w:t>
      </w:r>
      <w:r w:rsidRPr="006419F6" w:rsidR="00BE228D">
        <w:rPr>
          <w:rFonts w:ascii="Times New Roman" w:hAnsi="Times New Roman" w:cs="Times New Roman"/>
        </w:rPr>
        <w:t xml:space="preserve"> will undoubtedly </w:t>
      </w:r>
      <w:r w:rsidRPr="006419F6" w:rsidR="00E93837">
        <w:rPr>
          <w:rFonts w:ascii="Times New Roman" w:hAnsi="Times New Roman" w:cs="Times New Roman"/>
        </w:rPr>
        <w:t xml:space="preserve">take different approaches </w:t>
      </w:r>
      <w:r w:rsidRPr="006419F6" w:rsidR="00465C1D">
        <w:rPr>
          <w:rFonts w:ascii="Times New Roman" w:hAnsi="Times New Roman" w:cs="Times New Roman"/>
        </w:rPr>
        <w:t>to</w:t>
      </w:r>
      <w:r w:rsidRPr="006419F6" w:rsidR="00E93837">
        <w:rPr>
          <w:rFonts w:ascii="Times New Roman" w:hAnsi="Times New Roman" w:cs="Times New Roman"/>
        </w:rPr>
        <w:t xml:space="preserve"> </w:t>
      </w:r>
      <w:r w:rsidRPr="006419F6" w:rsidR="00BE228D">
        <w:rPr>
          <w:rFonts w:ascii="Times New Roman" w:hAnsi="Times New Roman" w:cs="Times New Roman"/>
        </w:rPr>
        <w:t xml:space="preserve">issues like interoperability, security, and interference protection.  As a result, </w:t>
      </w:r>
      <w:r w:rsidRPr="006419F6">
        <w:rPr>
          <w:rFonts w:ascii="Times New Roman" w:hAnsi="Times New Roman" w:cs="Times New Roman"/>
        </w:rPr>
        <w:t xml:space="preserve">public safety usage of the 4.9 GHz band may </w:t>
      </w:r>
      <w:r w:rsidRPr="006419F6">
        <w:rPr>
          <w:rFonts w:ascii="Times New Roman" w:hAnsi="Times New Roman" w:cs="Times New Roman"/>
        </w:rPr>
        <w:t>actually become</w:t>
      </w:r>
      <w:r w:rsidRPr="006419F6">
        <w:rPr>
          <w:rFonts w:ascii="Times New Roman" w:hAnsi="Times New Roman" w:cs="Times New Roman"/>
        </w:rPr>
        <w:t xml:space="preserve"> less </w:t>
      </w:r>
      <w:r w:rsidRPr="006419F6" w:rsidR="00220101">
        <w:rPr>
          <w:rFonts w:ascii="Times New Roman" w:hAnsi="Times New Roman" w:cs="Times New Roman"/>
        </w:rPr>
        <w:t>efficient</w:t>
      </w:r>
      <w:r w:rsidRPr="006419F6">
        <w:rPr>
          <w:rFonts w:ascii="Times New Roman" w:hAnsi="Times New Roman" w:cs="Times New Roman"/>
        </w:rPr>
        <w:t>, secure</w:t>
      </w:r>
      <w:r w:rsidRPr="006419F6" w:rsidR="00220101">
        <w:rPr>
          <w:rFonts w:ascii="Times New Roman" w:hAnsi="Times New Roman" w:cs="Times New Roman"/>
        </w:rPr>
        <w:t>,</w:t>
      </w:r>
      <w:r w:rsidRPr="006419F6">
        <w:rPr>
          <w:rFonts w:ascii="Times New Roman" w:hAnsi="Times New Roman" w:cs="Times New Roman"/>
        </w:rPr>
        <w:t xml:space="preserve"> and reliabl</w:t>
      </w:r>
      <w:r w:rsidRPr="006419F6" w:rsidR="00220101">
        <w:rPr>
          <w:rFonts w:ascii="Times New Roman" w:hAnsi="Times New Roman" w:cs="Times New Roman"/>
        </w:rPr>
        <w:t>e—</w:t>
      </w:r>
      <w:r w:rsidRPr="006419F6">
        <w:rPr>
          <w:rFonts w:ascii="Times New Roman" w:hAnsi="Times New Roman" w:cs="Times New Roman"/>
        </w:rPr>
        <w:t xml:space="preserve">even as commercial interest remains meager at best.  </w:t>
      </w:r>
    </w:p>
    <w:p w:rsidR="006419F6" w:rsidRPr="006419F6" w:rsidP="006419F6" w14:paraId="040F6A45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61EB9" w:rsidRPr="006419F6" w:rsidP="006419F6" w14:paraId="6DC33C36" w14:textId="0405444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419F6">
        <w:rPr>
          <w:rFonts w:ascii="Times New Roman" w:hAnsi="Times New Roman" w:cs="Times New Roman"/>
        </w:rPr>
        <w:t xml:space="preserve">I recognize that the 4.9 GHz band presents a difficult challenge.  But I wish that we had withdrawn this item </w:t>
      </w:r>
      <w:r w:rsidRPr="006419F6">
        <w:rPr>
          <w:rFonts w:ascii="Times New Roman" w:hAnsi="Times New Roman" w:cs="Times New Roman"/>
        </w:rPr>
        <w:t xml:space="preserve">to </w:t>
      </w:r>
      <w:r w:rsidRPr="006419F6" w:rsidR="00374FA8">
        <w:rPr>
          <w:rFonts w:ascii="Times New Roman" w:hAnsi="Times New Roman" w:cs="Times New Roman"/>
        </w:rPr>
        <w:t xml:space="preserve">work on </w:t>
      </w:r>
      <w:r w:rsidRPr="006419F6">
        <w:rPr>
          <w:rFonts w:ascii="Times New Roman" w:hAnsi="Times New Roman" w:cs="Times New Roman"/>
        </w:rPr>
        <w:t>fully address</w:t>
      </w:r>
      <w:r w:rsidRPr="006419F6" w:rsidR="00374FA8">
        <w:rPr>
          <w:rFonts w:ascii="Times New Roman" w:hAnsi="Times New Roman" w:cs="Times New Roman"/>
        </w:rPr>
        <w:t>ing</w:t>
      </w:r>
      <w:r w:rsidRPr="006419F6">
        <w:rPr>
          <w:rFonts w:ascii="Times New Roman" w:hAnsi="Times New Roman" w:cs="Times New Roman"/>
        </w:rPr>
        <w:t xml:space="preserve"> </w:t>
      </w:r>
      <w:r w:rsidRPr="006419F6">
        <w:rPr>
          <w:rFonts w:ascii="Times New Roman" w:hAnsi="Times New Roman" w:cs="Times New Roman"/>
        </w:rPr>
        <w:t>the public safety community</w:t>
      </w:r>
      <w:r w:rsidRPr="006419F6">
        <w:rPr>
          <w:rFonts w:ascii="Times New Roman" w:hAnsi="Times New Roman" w:cs="Times New Roman"/>
        </w:rPr>
        <w:t>’s concerns</w:t>
      </w:r>
      <w:r w:rsidRPr="006419F6">
        <w:rPr>
          <w:rFonts w:ascii="Times New Roman" w:hAnsi="Times New Roman" w:cs="Times New Roman"/>
        </w:rPr>
        <w:t xml:space="preserve">.  This isn’t the </w:t>
      </w:r>
      <w:r w:rsidRPr="006419F6">
        <w:rPr>
          <w:rFonts w:ascii="Times New Roman" w:hAnsi="Times New Roman" w:cs="Times New Roman"/>
        </w:rPr>
        <w:t>moment</w:t>
      </w:r>
      <w:r w:rsidRPr="006419F6">
        <w:rPr>
          <w:rFonts w:ascii="Times New Roman" w:hAnsi="Times New Roman" w:cs="Times New Roman"/>
        </w:rPr>
        <w:t xml:space="preserve"> to take chances with critical public safety spectrum.</w:t>
      </w:r>
      <w:r w:rsidRPr="006419F6">
        <w:rPr>
          <w:rFonts w:ascii="Times New Roman" w:hAnsi="Times New Roman" w:cs="Times New Roman"/>
        </w:rPr>
        <w:t xml:space="preserve">  I dissent.</w:t>
      </w:r>
    </w:p>
    <w:bookmarkEnd w:id="0"/>
    <w:p w:rsidR="00787F18" w:rsidRPr="006419F6" w:rsidP="006419F6" w14:paraId="7F6F5CEB" w14:textId="77777777">
      <w:pPr>
        <w:spacing w:after="0" w:line="240" w:lineRule="auto"/>
        <w:rPr>
          <w:rFonts w:ascii="Times New Roman" w:hAnsi="Times New Roman" w:cs="Times New Roman"/>
        </w:rPr>
      </w:pPr>
    </w:p>
    <w:sectPr w:rsidSect="006419F6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047F" w14:paraId="689F8EE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047F" w14:paraId="798DCC1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B5412" w:rsidP="0040047F" w14:paraId="6FBFB181" w14:textId="77777777">
      <w:pPr>
        <w:spacing w:after="0" w:line="240" w:lineRule="auto"/>
      </w:pPr>
      <w:r>
        <w:separator/>
      </w:r>
    </w:p>
  </w:footnote>
  <w:footnote w:type="continuationSeparator" w:id="1">
    <w:p w:rsidR="006B5412" w:rsidP="0040047F" w14:paraId="139E434E" w14:textId="77777777">
      <w:pPr>
        <w:spacing w:after="0" w:line="240" w:lineRule="auto"/>
      </w:pPr>
      <w:r>
        <w:continuationSeparator/>
      </w:r>
    </w:p>
  </w:footnote>
  <w:footnote w:id="2">
    <w:p w:rsidR="003E63C8" w14:paraId="71F88DEB" w14:textId="6E549928">
      <w:pPr>
        <w:pStyle w:val="FootnoteText"/>
        <w:rPr>
          <w:rFonts w:ascii="Times New Roman" w:hAnsi="Times New Roman" w:cs="Times New Roman"/>
        </w:rPr>
      </w:pPr>
      <w:r w:rsidRPr="00800D72">
        <w:rPr>
          <w:rStyle w:val="FootnoteReference"/>
          <w:rFonts w:ascii="Times New Roman" w:hAnsi="Times New Roman" w:cs="Times New Roman"/>
        </w:rPr>
        <w:footnoteRef/>
      </w:r>
      <w:r w:rsidRPr="00800D72">
        <w:rPr>
          <w:rFonts w:ascii="Times New Roman" w:hAnsi="Times New Roman" w:cs="Times New Roman"/>
        </w:rPr>
        <w:t xml:space="preserve"> Comments of the National Public Safety Telecommunications Council, WP Docket No. 07-100 </w:t>
      </w:r>
      <w:r>
        <w:rPr>
          <w:rFonts w:ascii="Times New Roman" w:hAnsi="Times New Roman" w:cs="Times New Roman"/>
        </w:rPr>
        <w:t xml:space="preserve">at 8 </w:t>
      </w:r>
      <w:r w:rsidRPr="00800D72">
        <w:rPr>
          <w:rFonts w:ascii="Times New Roman" w:hAnsi="Times New Roman" w:cs="Times New Roman"/>
        </w:rPr>
        <w:t>(filed July 6, 2018).</w:t>
      </w:r>
    </w:p>
    <w:p w:rsidR="003E63C8" w:rsidRPr="00800D72" w14:paraId="5952091E" w14:textId="77777777">
      <w:pPr>
        <w:pStyle w:val="FootnoteText"/>
        <w:rPr>
          <w:rFonts w:ascii="Times New Roman" w:hAnsi="Times New Roman" w:cs="Times New Roman"/>
        </w:rPr>
      </w:pPr>
    </w:p>
  </w:footnote>
  <w:footnote w:id="3">
    <w:p w:rsidR="00A84A42" w:rsidRPr="000463A4" w:rsidP="00A84A42" w14:paraId="11B1A5A6" w14:textId="77777777">
      <w:pPr>
        <w:pStyle w:val="FootnoteText"/>
      </w:pPr>
      <w:r w:rsidRPr="00800D72">
        <w:rPr>
          <w:rStyle w:val="FootnoteReference"/>
          <w:rFonts w:ascii="Times New Roman" w:hAnsi="Times New Roman" w:cs="Times New Roman"/>
        </w:rPr>
        <w:footnoteRef/>
      </w:r>
      <w:r w:rsidRPr="00800D72">
        <w:rPr>
          <w:rFonts w:ascii="Times New Roman" w:hAnsi="Times New Roman" w:cs="Times New Roman"/>
        </w:rPr>
        <w:t xml:space="preserve"> </w:t>
      </w:r>
      <w:r w:rsidRPr="00AC0DD2">
        <w:rPr>
          <w:rFonts w:ascii="Times New Roman" w:hAnsi="Times New Roman" w:cs="Times New Roman"/>
          <w:i/>
        </w:rPr>
        <w:t>See</w:t>
      </w:r>
      <w:r>
        <w:rPr>
          <w:rFonts w:ascii="Times New Roman" w:hAnsi="Times New Roman" w:cs="Times New Roman"/>
          <w:i/>
        </w:rPr>
        <w:t xml:space="preserve"> Long Island Care at Home, Ltd. v. Coke, </w:t>
      </w:r>
      <w:r>
        <w:rPr>
          <w:rFonts w:ascii="Times New Roman" w:hAnsi="Times New Roman" w:cs="Times New Roman"/>
        </w:rPr>
        <w:t>551 U.S. 158, 174 (2007) (“</w:t>
      </w:r>
      <w:r w:rsidRPr="000463A4">
        <w:rPr>
          <w:rFonts w:ascii="Times New Roman" w:hAnsi="Times New Roman" w:cs="Times New Roman"/>
        </w:rPr>
        <w:t>The Administrative Procedure Act requires an agency conducting notice-and-comment rulemaking to publish in its</w:t>
      </w:r>
      <w:r>
        <w:rPr>
          <w:rFonts w:ascii="Times New Roman" w:hAnsi="Times New Roman" w:cs="Times New Roman"/>
        </w:rPr>
        <w:t xml:space="preserve"> notice of proposed rulemaking ‘</w:t>
      </w:r>
      <w:r w:rsidRPr="000463A4">
        <w:rPr>
          <w:rFonts w:ascii="Times New Roman" w:hAnsi="Times New Roman" w:cs="Times New Roman"/>
        </w:rPr>
        <w:t>either the terms or substance of the proposed rule or a description of the subjects and issues involve</w:t>
      </w:r>
      <w:r>
        <w:rPr>
          <w:rFonts w:ascii="Times New Roman" w:hAnsi="Times New Roman" w:cs="Times New Roman"/>
        </w:rPr>
        <w:t xml:space="preserve">d.’ … </w:t>
      </w:r>
      <w:r w:rsidRPr="000463A4">
        <w:rPr>
          <w:rFonts w:ascii="Times New Roman" w:hAnsi="Times New Roman" w:cs="Times New Roman"/>
        </w:rPr>
        <w:t xml:space="preserve">The Courts of Appeals have generally interpreted this to mean that the final </w:t>
      </w:r>
      <w:r>
        <w:rPr>
          <w:rFonts w:ascii="Times New Roman" w:hAnsi="Times New Roman" w:cs="Times New Roman"/>
        </w:rPr>
        <w:t>rule the agency adopts must be ‘</w:t>
      </w:r>
      <w:r w:rsidRPr="000463A4">
        <w:rPr>
          <w:rFonts w:ascii="Times New Roman" w:hAnsi="Times New Roman" w:cs="Times New Roman"/>
        </w:rPr>
        <w:t>a ‘logical outgrowth’ of the rule proposed.</w:t>
      </w:r>
      <w:r>
        <w:rPr>
          <w:rFonts w:ascii="Times New Roman" w:hAnsi="Times New Roman" w:cs="Times New Roman"/>
        </w:rPr>
        <w:t xml:space="preserve">’  </w:t>
      </w:r>
      <w:r w:rsidRPr="000463A4">
        <w:rPr>
          <w:rFonts w:ascii="Times New Roman" w:hAnsi="Times New Roman" w:cs="Times New Roman"/>
        </w:rPr>
        <w:t>The object, in short, is one of fair notice.</w:t>
      </w:r>
      <w:r>
        <w:rPr>
          <w:rFonts w:ascii="Times New Roman" w:hAnsi="Times New Roman" w:cs="Times New Roman"/>
        </w:rPr>
        <w:t>”) (internal citations omitted).</w:t>
      </w:r>
    </w:p>
  </w:footnote>
  <w:footnote w:id="4">
    <w:p w:rsidR="00E40A04" w:rsidRPr="002D379A" w14:paraId="2F8C7CBD" w14:textId="2B25E0DD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2D379A" w:rsidR="002D379A">
        <w:rPr>
          <w:rFonts w:ascii="Times New Roman" w:hAnsi="Times New Roman" w:cs="Times New Roman"/>
          <w:i/>
        </w:rPr>
        <w:t>See, e.g., Time Warner Cable Inc. v. FCC</w:t>
      </w:r>
      <w:r w:rsidRPr="002D379A" w:rsidR="002D379A">
        <w:rPr>
          <w:rFonts w:ascii="Times New Roman" w:hAnsi="Times New Roman" w:cs="Times New Roman"/>
        </w:rPr>
        <w:t xml:space="preserve">, 729 F.3d 137, 170 (2d Cir. 2013) (“[A rulemaking] must describe the range of alternatives being considered with reasonable specificity.  Otherwise, interested parties will not know what to comment on, and notice will not lead to better-informed agency </w:t>
      </w:r>
      <w:r w:rsidRPr="002D379A" w:rsidR="002D379A">
        <w:rPr>
          <w:rFonts w:ascii="Times New Roman" w:hAnsi="Times New Roman" w:cs="Times New Roman"/>
        </w:rPr>
        <w:t>decisionmaking</w:t>
      </w:r>
      <w:r w:rsidRPr="002D379A" w:rsidR="002D379A">
        <w:rPr>
          <w:rFonts w:ascii="Times New Roman" w:hAnsi="Times New Roman" w:cs="Times New Roman"/>
        </w:rPr>
        <w:t xml:space="preserve">.  Indeed, unfairness results unless persons are sufficiently alerted to likely alternatives so that they know whether their </w:t>
      </w:r>
      <w:r w:rsidR="00AA7A55">
        <w:rPr>
          <w:rFonts w:ascii="Times New Roman" w:hAnsi="Times New Roman" w:cs="Times New Roman"/>
        </w:rPr>
        <w:t xml:space="preserve">interests are at stake.”) </w:t>
      </w:r>
      <w:r w:rsidRPr="002D379A" w:rsidR="002D379A">
        <w:rPr>
          <w:rFonts w:ascii="Times New Roman" w:hAnsi="Times New Roman" w:cs="Times New Roman"/>
        </w:rPr>
        <w:t>(citations and internal quotation marks omitted))</w:t>
      </w:r>
      <w:r w:rsidR="002D379A">
        <w:rPr>
          <w:rFonts w:ascii="Times New Roman" w:hAnsi="Times New Roman" w:cs="Times New Roman"/>
        </w:rPr>
        <w:t xml:space="preserve">; </w:t>
      </w:r>
      <w:r w:rsidRPr="002D379A" w:rsidR="002D379A">
        <w:rPr>
          <w:rFonts w:ascii="Times New Roman" w:hAnsi="Times New Roman" w:cs="Times New Roman"/>
          <w:i/>
        </w:rPr>
        <w:t>Omnipoint</w:t>
      </w:r>
      <w:r w:rsidRPr="002D379A" w:rsidR="002D379A">
        <w:rPr>
          <w:rFonts w:ascii="Times New Roman" w:hAnsi="Times New Roman" w:cs="Times New Roman"/>
          <w:i/>
        </w:rPr>
        <w:t xml:space="preserve"> Corp. v. FCC</w:t>
      </w:r>
      <w:r w:rsidRPr="002D379A" w:rsidR="002D379A">
        <w:rPr>
          <w:rFonts w:ascii="Times New Roman" w:hAnsi="Times New Roman" w:cs="Times New Roman"/>
        </w:rPr>
        <w:t xml:space="preserve">, 78 F.3d 620, 631 (D.C. Cir. 1996) (quoting </w:t>
      </w:r>
      <w:r w:rsidRPr="002D379A" w:rsidR="002D379A">
        <w:rPr>
          <w:rFonts w:ascii="Times New Roman" w:hAnsi="Times New Roman" w:cs="Times New Roman"/>
          <w:i/>
        </w:rPr>
        <w:t>Conn. Light &amp; Power Co. v. Nuclear Regulatory Comm’n</w:t>
      </w:r>
      <w:r w:rsidRPr="002D379A" w:rsidR="002D379A">
        <w:rPr>
          <w:rFonts w:ascii="Times New Roman" w:hAnsi="Times New Roman" w:cs="Times New Roman"/>
        </w:rPr>
        <w:t>, 673 F.2d 525, 533 (D.C. Cir. 1982)</w:t>
      </w:r>
      <w:r w:rsidR="002D379A">
        <w:rPr>
          <w:rFonts w:ascii="Times New Roman" w:hAnsi="Times New Roman" w:cs="Times New Roman"/>
        </w:rPr>
        <w:t>)</w:t>
      </w:r>
      <w:r w:rsidRPr="002D379A" w:rsidR="002D379A">
        <w:rPr>
          <w:rFonts w:ascii="Times New Roman" w:hAnsi="Times New Roman" w:cs="Times New Roman"/>
        </w:rPr>
        <w:t xml:space="preserve"> (</w:t>
      </w:r>
      <w:r w:rsidRPr="002D379A">
        <w:rPr>
          <w:rFonts w:ascii="Times New Roman" w:hAnsi="Times New Roman" w:cs="Times New Roman"/>
        </w:rPr>
        <w:t>“</w:t>
      </w:r>
      <w:r w:rsidR="002D379A">
        <w:rPr>
          <w:rFonts w:ascii="Times New Roman" w:hAnsi="Times New Roman" w:cs="Times New Roman"/>
        </w:rPr>
        <w:t>[A]</w:t>
      </w:r>
      <w:r w:rsidRPr="002D379A">
        <w:rPr>
          <w:rFonts w:ascii="Times New Roman" w:hAnsi="Times New Roman" w:cs="Times New Roman"/>
        </w:rPr>
        <w:t xml:space="preserve"> final rule is not a logical outgrowth of a proposed rule ‘when the changes are so major that the original notice did not adequately frame the subjects for discussion.’</w:t>
      </w:r>
      <w:r w:rsidRPr="002D379A" w:rsidR="002D379A">
        <w:rPr>
          <w:rFonts w:ascii="Times New Roman" w:hAnsi="Times New Roman" w:cs="Times New Roman"/>
        </w:rPr>
        <w:t>”)</w:t>
      </w:r>
      <w:r w:rsidR="002D379A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FE74DD9"/>
    <w:multiLevelType w:val="hybridMultilevel"/>
    <w:tmpl w:val="94A862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8F"/>
    <w:rsid w:val="000463A4"/>
    <w:rsid w:val="000A4562"/>
    <w:rsid w:val="000F4A0C"/>
    <w:rsid w:val="001A0BAF"/>
    <w:rsid w:val="001A55B1"/>
    <w:rsid w:val="001E520D"/>
    <w:rsid w:val="0021352B"/>
    <w:rsid w:val="00220101"/>
    <w:rsid w:val="00221AED"/>
    <w:rsid w:val="002937D8"/>
    <w:rsid w:val="002A2417"/>
    <w:rsid w:val="002D379A"/>
    <w:rsid w:val="003062F5"/>
    <w:rsid w:val="00314539"/>
    <w:rsid w:val="0031695F"/>
    <w:rsid w:val="00374FA8"/>
    <w:rsid w:val="003E63C8"/>
    <w:rsid w:val="00400090"/>
    <w:rsid w:val="0040047F"/>
    <w:rsid w:val="00444A5D"/>
    <w:rsid w:val="00461EB9"/>
    <w:rsid w:val="00465C1D"/>
    <w:rsid w:val="0048135F"/>
    <w:rsid w:val="005436DD"/>
    <w:rsid w:val="00574638"/>
    <w:rsid w:val="00587030"/>
    <w:rsid w:val="005C73D9"/>
    <w:rsid w:val="00624BA0"/>
    <w:rsid w:val="006419F6"/>
    <w:rsid w:val="00647427"/>
    <w:rsid w:val="006640DA"/>
    <w:rsid w:val="00667F5B"/>
    <w:rsid w:val="006B5412"/>
    <w:rsid w:val="007074A4"/>
    <w:rsid w:val="0074306C"/>
    <w:rsid w:val="00750A32"/>
    <w:rsid w:val="00765915"/>
    <w:rsid w:val="007746EB"/>
    <w:rsid w:val="007850B2"/>
    <w:rsid w:val="00787F18"/>
    <w:rsid w:val="007A5D3B"/>
    <w:rsid w:val="007B0FB2"/>
    <w:rsid w:val="007B732D"/>
    <w:rsid w:val="00800D72"/>
    <w:rsid w:val="00832CE0"/>
    <w:rsid w:val="008A7EDD"/>
    <w:rsid w:val="008D5188"/>
    <w:rsid w:val="008D7F6C"/>
    <w:rsid w:val="00902BD6"/>
    <w:rsid w:val="00927D2F"/>
    <w:rsid w:val="00935491"/>
    <w:rsid w:val="00947764"/>
    <w:rsid w:val="00977083"/>
    <w:rsid w:val="009D5C86"/>
    <w:rsid w:val="009F5C5A"/>
    <w:rsid w:val="00A10B29"/>
    <w:rsid w:val="00A84A42"/>
    <w:rsid w:val="00A92635"/>
    <w:rsid w:val="00AA7A55"/>
    <w:rsid w:val="00AC0DD2"/>
    <w:rsid w:val="00B16B79"/>
    <w:rsid w:val="00B430E2"/>
    <w:rsid w:val="00B60C07"/>
    <w:rsid w:val="00BB70A0"/>
    <w:rsid w:val="00BD3A26"/>
    <w:rsid w:val="00BD79DB"/>
    <w:rsid w:val="00BE228D"/>
    <w:rsid w:val="00BF7F86"/>
    <w:rsid w:val="00CA2641"/>
    <w:rsid w:val="00CC37B4"/>
    <w:rsid w:val="00CD0911"/>
    <w:rsid w:val="00CF17AF"/>
    <w:rsid w:val="00D641D3"/>
    <w:rsid w:val="00D670F5"/>
    <w:rsid w:val="00E00835"/>
    <w:rsid w:val="00E0755F"/>
    <w:rsid w:val="00E37F67"/>
    <w:rsid w:val="00E37FD7"/>
    <w:rsid w:val="00E40A04"/>
    <w:rsid w:val="00E42939"/>
    <w:rsid w:val="00E6107F"/>
    <w:rsid w:val="00E64D8F"/>
    <w:rsid w:val="00E93837"/>
    <w:rsid w:val="00EE4F8A"/>
    <w:rsid w:val="00EF3E8D"/>
    <w:rsid w:val="00F126DA"/>
    <w:rsid w:val="00F54E72"/>
    <w:rsid w:val="00F576D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7F"/>
  </w:style>
  <w:style w:type="paragraph" w:styleId="Footer">
    <w:name w:val="footer"/>
    <w:basedOn w:val="Normal"/>
    <w:link w:val="FooterChar"/>
    <w:uiPriority w:val="99"/>
    <w:unhideWhenUsed/>
    <w:rsid w:val="00400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7F"/>
  </w:style>
  <w:style w:type="character" w:styleId="PageNumber">
    <w:name w:val="page number"/>
    <w:basedOn w:val="DefaultParagraphFont"/>
    <w:uiPriority w:val="99"/>
    <w:semiHidden/>
    <w:unhideWhenUsed/>
    <w:rsid w:val="0040047F"/>
  </w:style>
  <w:style w:type="character" w:styleId="CommentReference">
    <w:name w:val="annotation reference"/>
    <w:basedOn w:val="DefaultParagraphFont"/>
    <w:uiPriority w:val="99"/>
    <w:semiHidden/>
    <w:unhideWhenUsed/>
    <w:rsid w:val="00927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D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76D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0A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0A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0A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