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27B363E4" w14:textId="77777777">
        <w:tblPrEx>
          <w:tblW w:w="0" w:type="auto"/>
          <w:tblLook w:val="0000"/>
        </w:tblPrEx>
        <w:trPr>
          <w:trHeight w:val="2181"/>
        </w:trPr>
        <w:tc>
          <w:tcPr>
            <w:tcW w:w="8856" w:type="dxa"/>
          </w:tcPr>
          <w:p w:rsidR="00062BFA" w14:paraId="7B5523DC"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20539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062BFA" w14:paraId="0C4DB3B3" w14:textId="77777777">
            <w:pPr>
              <w:rPr>
                <w:b/>
                <w:bCs/>
                <w:sz w:val="12"/>
                <w:szCs w:val="12"/>
              </w:rPr>
            </w:pPr>
          </w:p>
          <w:p w:rsidR="00062BFA" w14:paraId="1BF38869" w14:textId="77777777">
            <w:pPr>
              <w:rPr>
                <w:b/>
                <w:bCs/>
                <w:sz w:val="22"/>
                <w:szCs w:val="22"/>
              </w:rPr>
            </w:pPr>
            <w:r>
              <w:rPr>
                <w:b/>
                <w:bCs/>
                <w:sz w:val="22"/>
                <w:szCs w:val="22"/>
              </w:rPr>
              <w:t xml:space="preserve">Media Contact: </w:t>
            </w:r>
          </w:p>
          <w:p w:rsidR="00062BFA" w14:paraId="68C4E854" w14:textId="77777777">
            <w:pPr>
              <w:rPr>
                <w:bCs/>
                <w:sz w:val="22"/>
                <w:szCs w:val="22"/>
              </w:rPr>
            </w:pPr>
            <w:r>
              <w:rPr>
                <w:bCs/>
                <w:sz w:val="22"/>
                <w:szCs w:val="22"/>
              </w:rPr>
              <w:t>Janice Wise, (202) 418-8165</w:t>
            </w:r>
          </w:p>
          <w:p w:rsidR="00062BFA" w14:paraId="6511C398" w14:textId="77777777">
            <w:pPr>
              <w:rPr>
                <w:bCs/>
                <w:sz w:val="22"/>
                <w:szCs w:val="22"/>
              </w:rPr>
            </w:pPr>
            <w:r>
              <w:rPr>
                <w:bCs/>
                <w:sz w:val="22"/>
                <w:szCs w:val="22"/>
              </w:rPr>
              <w:t>janice.wise@fcc.gov</w:t>
            </w:r>
          </w:p>
          <w:p w:rsidR="00062BFA" w14:paraId="75897954" w14:textId="77777777">
            <w:pPr>
              <w:rPr>
                <w:bCs/>
                <w:sz w:val="22"/>
                <w:szCs w:val="22"/>
              </w:rPr>
            </w:pPr>
          </w:p>
          <w:p w:rsidR="00062BFA" w14:paraId="360086EC" w14:textId="77777777">
            <w:pPr>
              <w:rPr>
                <w:b/>
                <w:sz w:val="22"/>
                <w:szCs w:val="22"/>
              </w:rPr>
            </w:pPr>
            <w:r>
              <w:rPr>
                <w:b/>
                <w:sz w:val="22"/>
                <w:szCs w:val="22"/>
              </w:rPr>
              <w:t>For Immediate Release</w:t>
            </w:r>
          </w:p>
          <w:p w:rsidR="00062BFA" w14:paraId="4D44EBDE" w14:textId="77777777">
            <w:pPr>
              <w:jc w:val="center"/>
              <w:rPr>
                <w:b/>
                <w:bCs/>
                <w:sz w:val="22"/>
                <w:szCs w:val="22"/>
              </w:rPr>
            </w:pPr>
          </w:p>
          <w:p w:rsidR="00062BFA" w:rsidRPr="000F0064" w:rsidP="000F0064" w14:paraId="3532131C" w14:textId="2C927CC1">
            <w:pPr>
              <w:spacing w:after="120"/>
              <w:jc w:val="center"/>
              <w:rPr>
                <w:b/>
                <w:sz w:val="26"/>
                <w:szCs w:val="26"/>
              </w:rPr>
            </w:pPr>
            <w:r>
              <w:rPr>
                <w:b/>
                <w:sz w:val="26"/>
                <w:szCs w:val="26"/>
              </w:rPr>
              <w:t xml:space="preserve">FCC </w:t>
            </w:r>
            <w:r w:rsidR="00474E74">
              <w:rPr>
                <w:b/>
                <w:sz w:val="26"/>
                <w:szCs w:val="26"/>
              </w:rPr>
              <w:t xml:space="preserve">MODERNIZES </w:t>
            </w:r>
            <w:r>
              <w:rPr>
                <w:b/>
                <w:sz w:val="26"/>
                <w:szCs w:val="26"/>
              </w:rPr>
              <w:t xml:space="preserve">CABLE </w:t>
            </w:r>
            <w:r w:rsidR="00FD3CBE">
              <w:rPr>
                <w:b/>
                <w:sz w:val="26"/>
                <w:szCs w:val="26"/>
              </w:rPr>
              <w:t xml:space="preserve">OPERATOR SUBSCRIBER NOTICE </w:t>
            </w:r>
            <w:r>
              <w:rPr>
                <w:b/>
                <w:sz w:val="26"/>
                <w:szCs w:val="26"/>
              </w:rPr>
              <w:t>RULES</w:t>
            </w:r>
          </w:p>
          <w:p w:rsidR="00062BFA" w14:paraId="5D13E081" w14:textId="23F59BC1">
            <w:pPr>
              <w:jc w:val="center"/>
              <w:rPr>
                <w:b/>
              </w:rPr>
            </w:pPr>
            <w:r>
              <w:rPr>
                <w:b/>
                <w:i/>
              </w:rPr>
              <w:t>Action</w:t>
            </w:r>
            <w:r w:rsidR="00800650">
              <w:rPr>
                <w:b/>
                <w:i/>
              </w:rPr>
              <w:t xml:space="preserve"> </w:t>
            </w:r>
            <w:r w:rsidR="000B2E77">
              <w:rPr>
                <w:b/>
                <w:i/>
              </w:rPr>
              <w:t>Will</w:t>
            </w:r>
            <w:r w:rsidR="00FD3CBE">
              <w:rPr>
                <w:b/>
                <w:i/>
              </w:rPr>
              <w:t xml:space="preserve"> </w:t>
            </w:r>
            <w:r w:rsidR="00800650">
              <w:rPr>
                <w:b/>
                <w:i/>
              </w:rPr>
              <w:t>Provide</w:t>
            </w:r>
            <w:r w:rsidR="007434FC">
              <w:rPr>
                <w:b/>
                <w:i/>
              </w:rPr>
              <w:t xml:space="preserve"> </w:t>
            </w:r>
            <w:r w:rsidR="007C72C7">
              <w:rPr>
                <w:b/>
                <w:i/>
              </w:rPr>
              <w:t xml:space="preserve">Subscribers with More Meaningful </w:t>
            </w:r>
            <w:r w:rsidR="00127F79">
              <w:rPr>
                <w:b/>
                <w:i/>
              </w:rPr>
              <w:t xml:space="preserve">and Accurate </w:t>
            </w:r>
            <w:r w:rsidR="00A543CF">
              <w:rPr>
                <w:b/>
                <w:i/>
              </w:rPr>
              <w:t>Information Concerning</w:t>
            </w:r>
            <w:r w:rsidR="007C72C7">
              <w:rPr>
                <w:b/>
                <w:i/>
              </w:rPr>
              <w:t xml:space="preserve"> </w:t>
            </w:r>
            <w:r w:rsidR="00EB5F22">
              <w:rPr>
                <w:b/>
                <w:i/>
              </w:rPr>
              <w:t xml:space="preserve">Changes to </w:t>
            </w:r>
            <w:r w:rsidR="007C72C7">
              <w:rPr>
                <w:b/>
                <w:i/>
              </w:rPr>
              <w:t xml:space="preserve">Cable Service </w:t>
            </w:r>
          </w:p>
          <w:p w:rsidR="00062BFA" w14:paraId="5E988BB4" w14:textId="77777777">
            <w:pPr>
              <w:tabs>
                <w:tab w:val="left" w:pos="8625"/>
              </w:tabs>
              <w:jc w:val="center"/>
              <w:rPr>
                <w:i/>
                <w:color w:val="F2F2F2" w:themeColor="background1" w:themeShade="F2"/>
                <w:sz w:val="28"/>
              </w:rPr>
            </w:pPr>
            <w:r>
              <w:rPr>
                <w:b/>
                <w:bCs/>
                <w:i/>
                <w:sz w:val="28"/>
                <w:szCs w:val="32"/>
              </w:rPr>
              <w:t xml:space="preserve">  </w:t>
            </w:r>
            <w:r>
              <w:rPr>
                <w:b/>
                <w:bCs/>
                <w:i/>
                <w:color w:val="F2F2F2" w:themeColor="background1" w:themeShade="F2"/>
                <w:sz w:val="28"/>
                <w:szCs w:val="32"/>
              </w:rPr>
              <w:t xml:space="preserve">-- </w:t>
            </w:r>
          </w:p>
          <w:p w:rsidR="00062BFA" w14:paraId="1D34663D" w14:textId="26D3E111">
            <w:pPr>
              <w:rPr>
                <w:sz w:val="22"/>
                <w:szCs w:val="22"/>
              </w:rPr>
            </w:pPr>
            <w:r>
              <w:rPr>
                <w:sz w:val="22"/>
                <w:szCs w:val="22"/>
              </w:rPr>
              <w:t>WASHINGTON, September 30, 2020</w:t>
            </w:r>
            <w:r w:rsidR="000F0064">
              <w:rPr>
                <w:sz w:val="22"/>
                <w:szCs w:val="22"/>
              </w:rPr>
              <w:t>—</w:t>
            </w:r>
            <w:r>
              <w:rPr>
                <w:sz w:val="22"/>
                <w:szCs w:val="22"/>
              </w:rPr>
              <w:t xml:space="preserve">The Federal Communications Commission today issued a Report and Order adopting changes to the Commission’s rules concerning notices that cable operators must provide to subscribers and local franchise authorities (LFAs) about service and rate changes.  These changes will make consumer notices more meaningful and accurate, reduce consumer confusion, better ensure that subscribers receive the information they need to make informed choices about their service options, and reduce unnecessary regulatory burdens.  </w:t>
            </w:r>
          </w:p>
          <w:p w:rsidR="00C445EA" w14:paraId="6F8C93FD" w14:textId="77777777">
            <w:pPr>
              <w:rPr>
                <w:sz w:val="22"/>
                <w:szCs w:val="22"/>
              </w:rPr>
            </w:pPr>
          </w:p>
          <w:p w:rsidR="00A96835" w:rsidRPr="000F0064" w14:paraId="771FF882" w14:textId="71CCE835">
            <w:pPr>
              <w:rPr>
                <w:sz w:val="22"/>
                <w:szCs w:val="22"/>
              </w:rPr>
            </w:pPr>
            <w:r w:rsidRPr="00A96835">
              <w:rPr>
                <w:sz w:val="22"/>
                <w:szCs w:val="22"/>
              </w:rPr>
              <w:t xml:space="preserve">This Report and Order amends the </w:t>
            </w:r>
            <w:r w:rsidR="007C72C7">
              <w:rPr>
                <w:sz w:val="22"/>
                <w:szCs w:val="22"/>
              </w:rPr>
              <w:t>subscriber</w:t>
            </w:r>
            <w:r w:rsidRPr="00A96835">
              <w:rPr>
                <w:sz w:val="22"/>
                <w:szCs w:val="22"/>
              </w:rPr>
              <w:t xml:space="preserve"> notice rules to clarify that when service changes</w:t>
            </w:r>
            <w:r w:rsidR="00C445EA">
              <w:rPr>
                <w:sz w:val="22"/>
                <w:szCs w:val="22"/>
              </w:rPr>
              <w:t xml:space="preserve">, such as </w:t>
            </w:r>
            <w:r w:rsidR="00C27542">
              <w:rPr>
                <w:sz w:val="22"/>
                <w:szCs w:val="22"/>
              </w:rPr>
              <w:t>the removal of a channel</w:t>
            </w:r>
            <w:r w:rsidR="00C445EA">
              <w:rPr>
                <w:sz w:val="22"/>
                <w:szCs w:val="22"/>
              </w:rPr>
              <w:t>,</w:t>
            </w:r>
            <w:r w:rsidRPr="00A96835">
              <w:rPr>
                <w:sz w:val="22"/>
                <w:szCs w:val="22"/>
              </w:rPr>
              <w:t xml:space="preserve"> occur due to retransmission consent or program carriage negotiations that fail within the last 30 days of a contract, cable operators must provide notice to subscribers “as soon as possible,” rather than 30 days in advance.  </w:t>
            </w:r>
            <w:r w:rsidRPr="00871105">
              <w:rPr>
                <w:sz w:val="22"/>
                <w:szCs w:val="22"/>
              </w:rPr>
              <w:t xml:space="preserve">In today’s video marketplace, retransmission consent and program carriage negotiations are often concluded within days—if not hours—of the expiration of existing agreements.  </w:t>
            </w:r>
            <w:r w:rsidR="00C445EA">
              <w:rPr>
                <w:sz w:val="22"/>
                <w:szCs w:val="22"/>
              </w:rPr>
              <w:t xml:space="preserve">In these cases, it </w:t>
            </w:r>
            <w:r w:rsidR="004A02E7">
              <w:rPr>
                <w:sz w:val="22"/>
                <w:szCs w:val="22"/>
              </w:rPr>
              <w:t>is</w:t>
            </w:r>
            <w:r w:rsidR="00C445EA">
              <w:rPr>
                <w:sz w:val="22"/>
                <w:szCs w:val="22"/>
              </w:rPr>
              <w:t xml:space="preserve"> frequently unclear, 30 days prior to the contract’s expiration, whether a new agreement will be reached, there will be a short-term extension, or programming will be dropped. </w:t>
            </w:r>
            <w:r w:rsidR="00C27B07">
              <w:rPr>
                <w:sz w:val="22"/>
                <w:szCs w:val="22"/>
              </w:rPr>
              <w:t xml:space="preserve"> </w:t>
            </w:r>
            <w:r w:rsidRPr="00A96835">
              <w:rPr>
                <w:sz w:val="22"/>
                <w:szCs w:val="22"/>
              </w:rPr>
              <w:t>This change will e</w:t>
            </w:r>
            <w:r w:rsidRPr="000F0064">
              <w:rPr>
                <w:sz w:val="22"/>
                <w:szCs w:val="22"/>
              </w:rPr>
              <w:t xml:space="preserve">nsure that consumers do not receive inaccurate or premature notices about potential programming disruptions that never come to pass and that could cause them to change cable providers </w:t>
            </w:r>
            <w:r w:rsidR="00F14EC1">
              <w:rPr>
                <w:sz w:val="22"/>
                <w:szCs w:val="22"/>
              </w:rPr>
              <w:t xml:space="preserve">unnecessarily or start to ignore </w:t>
            </w:r>
            <w:r w:rsidR="005D638B">
              <w:rPr>
                <w:sz w:val="22"/>
                <w:szCs w:val="22"/>
              </w:rPr>
              <w:t>such notices.</w:t>
            </w:r>
            <w:r w:rsidR="0008128A">
              <w:rPr>
                <w:sz w:val="22"/>
                <w:szCs w:val="22"/>
              </w:rPr>
              <w:t xml:space="preserve"> </w:t>
            </w:r>
            <w:r w:rsidRPr="000F0064">
              <w:rPr>
                <w:sz w:val="22"/>
                <w:szCs w:val="22"/>
              </w:rPr>
              <w:t xml:space="preserve">  </w:t>
            </w:r>
          </w:p>
          <w:p w:rsidR="00A96835" w:rsidRPr="000F0064" w14:paraId="72B6D0C5" w14:textId="77777777">
            <w:pPr>
              <w:rPr>
                <w:sz w:val="22"/>
                <w:szCs w:val="22"/>
              </w:rPr>
            </w:pPr>
          </w:p>
          <w:p w:rsidR="00FB45ED" w:rsidRPr="00FB45ED" w:rsidP="00FB45ED" w14:paraId="7A8A5DC4" w14:textId="77777777">
            <w:pPr>
              <w:rPr>
                <w:sz w:val="22"/>
                <w:szCs w:val="22"/>
              </w:rPr>
            </w:pPr>
            <w:r w:rsidRPr="000F0064">
              <w:rPr>
                <w:sz w:val="22"/>
                <w:szCs w:val="22"/>
              </w:rPr>
              <w:t xml:space="preserve">The Report and Order also eliminates the requirement that cable operators subject to </w:t>
            </w:r>
            <w:r w:rsidRPr="000F0064" w:rsidR="00A96835">
              <w:rPr>
                <w:sz w:val="22"/>
                <w:szCs w:val="22"/>
              </w:rPr>
              <w:t>effective competition</w:t>
            </w:r>
            <w:r w:rsidRPr="000F0064">
              <w:rPr>
                <w:sz w:val="22"/>
                <w:szCs w:val="22"/>
              </w:rPr>
              <w:t xml:space="preserve"> provide 30 days’ advance notice to LFAs of rate or service changes </w:t>
            </w:r>
            <w:r w:rsidRPr="000F0064" w:rsidR="007C72C7">
              <w:rPr>
                <w:sz w:val="22"/>
                <w:szCs w:val="22"/>
              </w:rPr>
              <w:t>but retains</w:t>
            </w:r>
            <w:r w:rsidRPr="000F0064">
              <w:rPr>
                <w:sz w:val="22"/>
                <w:szCs w:val="22"/>
              </w:rPr>
              <w:t xml:space="preserve"> a narrower </w:t>
            </w:r>
            <w:r w:rsidRPr="000F0064" w:rsidR="007C72C7">
              <w:rPr>
                <w:sz w:val="22"/>
                <w:szCs w:val="22"/>
              </w:rPr>
              <w:t xml:space="preserve">notification </w:t>
            </w:r>
            <w:r w:rsidRPr="000F0064">
              <w:rPr>
                <w:sz w:val="22"/>
                <w:szCs w:val="22"/>
              </w:rPr>
              <w:t xml:space="preserve">requirement that applies only to rate-regulated cable operators.  </w:t>
            </w:r>
            <w:r w:rsidRPr="000F0064" w:rsidR="00611F0A">
              <w:rPr>
                <w:sz w:val="22"/>
                <w:szCs w:val="22"/>
              </w:rPr>
              <w:t>The Commission finds that i</w:t>
            </w:r>
            <w:r w:rsidRPr="000F0064" w:rsidR="00A96835">
              <w:rPr>
                <w:sz w:val="22"/>
                <w:szCs w:val="22"/>
              </w:rPr>
              <w:t>n areas no longer subject to rate regulation</w:t>
            </w:r>
            <w:r w:rsidRPr="000F0064" w:rsidR="00611F0A">
              <w:rPr>
                <w:sz w:val="22"/>
                <w:szCs w:val="22"/>
              </w:rPr>
              <w:t>,</w:t>
            </w:r>
            <w:r w:rsidRPr="000F0064" w:rsidR="00A96835">
              <w:rPr>
                <w:sz w:val="22"/>
                <w:szCs w:val="22"/>
              </w:rPr>
              <w:t xml:space="preserve"> the costs to cable operators of complying with the LFA rate and service change notice requirements outweigh any potential benefits that could accrue to </w:t>
            </w:r>
            <w:r w:rsidRPr="000F0064" w:rsidR="007C72C7">
              <w:rPr>
                <w:sz w:val="22"/>
                <w:szCs w:val="22"/>
              </w:rPr>
              <w:t>subscribers or LFAs</w:t>
            </w:r>
            <w:r w:rsidRPr="000F0064" w:rsidR="00A96835">
              <w:rPr>
                <w:sz w:val="22"/>
                <w:szCs w:val="22"/>
              </w:rPr>
              <w:t xml:space="preserve"> as a result of these notices</w:t>
            </w:r>
            <w:r w:rsidRPr="000F0064" w:rsidR="00A100A4">
              <w:rPr>
                <w:sz w:val="22"/>
                <w:szCs w:val="22"/>
              </w:rPr>
              <w:t>.</w:t>
            </w:r>
            <w:r w:rsidR="00AD23B9">
              <w:rPr>
                <w:sz w:val="22"/>
                <w:szCs w:val="22"/>
              </w:rPr>
              <w:t xml:space="preserve">  Finally, the Report and Order eliminates the requirement that cable operators provide notice of changes to the information required in certain annual notices, finding that this information is available on the Internet or unlikely to be relevant to current </w:t>
            </w:r>
            <w:r w:rsidRPr="00FB45ED">
              <w:rPr>
                <w:sz w:val="22"/>
                <w:szCs w:val="22"/>
              </w:rPr>
              <w:t>subscribers.</w:t>
            </w:r>
          </w:p>
          <w:p w:rsidR="00FB45ED" w:rsidRPr="00FB45ED" w:rsidP="00FB45ED" w14:paraId="293C129A" w14:textId="77777777">
            <w:pPr>
              <w:rPr>
                <w:sz w:val="22"/>
                <w:szCs w:val="22"/>
              </w:rPr>
            </w:pPr>
          </w:p>
          <w:p w:rsidR="00FB45ED" w:rsidRPr="00FB45ED" w:rsidP="00FB45ED" w14:paraId="00A27517" w14:textId="77777777">
            <w:pPr>
              <w:rPr>
                <w:sz w:val="22"/>
                <w:szCs w:val="22"/>
              </w:rPr>
            </w:pPr>
            <w:r w:rsidRPr="00FB45ED">
              <w:rPr>
                <w:sz w:val="22"/>
                <w:szCs w:val="22"/>
              </w:rPr>
              <w:t>Today’s Order is the 25th adopted as part the Commission’s Modernization of Media Regulation Initiative, launched in 2017, to eliminate or modify media regulations that are outdated, unnecessary or unduly burdensome.</w:t>
            </w:r>
          </w:p>
          <w:p w:rsidR="00FB45ED" w:rsidRPr="00FB45ED" w:rsidP="00FB45ED" w14:paraId="7372B058" w14:textId="77777777">
            <w:pPr>
              <w:rPr>
                <w:sz w:val="22"/>
                <w:szCs w:val="22"/>
              </w:rPr>
            </w:pPr>
          </w:p>
          <w:p w:rsidR="001808C6" w:rsidRPr="001808C6" w:rsidP="001808C6" w14:paraId="31779D40" w14:textId="110F3BC9">
            <w:pPr>
              <w:rPr>
                <w:sz w:val="22"/>
                <w:szCs w:val="22"/>
              </w:rPr>
            </w:pPr>
            <w:r w:rsidRPr="001808C6">
              <w:rPr>
                <w:sz w:val="22"/>
                <w:szCs w:val="22"/>
              </w:rPr>
              <w:t>Action by the Commission September 30, 2020 by Report and Order (FCC 20-</w:t>
            </w:r>
            <w:r>
              <w:rPr>
                <w:sz w:val="22"/>
                <w:szCs w:val="22"/>
              </w:rPr>
              <w:t>135</w:t>
            </w:r>
            <w:r w:rsidRPr="001808C6">
              <w:rPr>
                <w:sz w:val="22"/>
                <w:szCs w:val="22"/>
              </w:rPr>
              <w:t>).  Chairman Pai, Commissioners O’Rielly, Carr, Rosenworcel, and Starks approving.  Chairman Pai, Commissioners O’Rielly, Rosenworcel, and Starks issuing separate statements.</w:t>
            </w:r>
          </w:p>
          <w:p w:rsidR="001808C6" w:rsidRPr="001808C6" w:rsidP="001808C6" w14:paraId="54D873CB" w14:textId="77777777">
            <w:pPr>
              <w:rPr>
                <w:sz w:val="22"/>
                <w:szCs w:val="22"/>
              </w:rPr>
            </w:pPr>
          </w:p>
          <w:p w:rsidR="00062BFA" w:rsidRPr="000F0064" w:rsidP="001808C6" w14:paraId="15BAEF8E" w14:textId="20FDA51E">
            <w:pPr>
              <w:rPr>
                <w:rStyle w:val="Hyperlink"/>
                <w:color w:val="auto"/>
                <w:sz w:val="22"/>
                <w:szCs w:val="22"/>
                <w:u w:val="none"/>
              </w:rPr>
            </w:pPr>
            <w:r w:rsidRPr="001808C6">
              <w:rPr>
                <w:sz w:val="22"/>
                <w:szCs w:val="22"/>
              </w:rPr>
              <w:t>MB Docket Nos. 19-347, 17-105</w:t>
            </w:r>
            <w:r w:rsidRPr="000F0064" w:rsidR="00E43B37">
              <w:rPr>
                <w:sz w:val="22"/>
                <w:szCs w:val="22"/>
              </w:rPr>
              <w:t>, and 10-71.</w:t>
            </w:r>
          </w:p>
          <w:p w:rsidR="00062BFA" w14:paraId="3F84C66B" w14:textId="77777777">
            <w:pPr>
              <w:rPr>
                <w:rStyle w:val="Hyperlink"/>
                <w:color w:val="auto"/>
                <w:sz w:val="22"/>
                <w:szCs w:val="22"/>
                <w:u w:val="none"/>
              </w:rPr>
            </w:pPr>
          </w:p>
          <w:p w:rsidR="00062BFA" w14:paraId="63BCDAAC" w14:textId="77777777">
            <w:pPr>
              <w:ind w:right="72"/>
              <w:jc w:val="center"/>
              <w:rPr>
                <w:sz w:val="22"/>
                <w:szCs w:val="22"/>
              </w:rPr>
            </w:pPr>
            <w:r>
              <w:rPr>
                <w:sz w:val="22"/>
                <w:szCs w:val="22"/>
              </w:rPr>
              <w:t>###</w:t>
            </w:r>
          </w:p>
          <w:p w:rsidR="003F2B9D" w:rsidP="003F2B9D" w14:paraId="3E9EC7F5" w14:textId="77777777">
            <w:pPr>
              <w:pStyle w:val="paragraph"/>
              <w:spacing w:before="0" w:beforeAutospacing="0" w:after="0" w:afterAutospacing="0"/>
              <w:ind w:right="60"/>
              <w:jc w:val="center"/>
              <w:textAlignment w:val="baseline"/>
              <w:rPr>
                <w:rFonts w:ascii="Segoe UI" w:hAnsi="Segoe UI" w:cs="Segoe UI"/>
                <w:sz w:val="18"/>
                <w:szCs w:val="18"/>
              </w:rPr>
            </w:pPr>
            <w:r>
              <w:rPr>
                <w:b/>
                <w:bCs/>
                <w:sz w:val="22"/>
                <w:szCs w:val="22"/>
              </w:rPr>
              <w:br/>
            </w:r>
            <w:r>
              <w:rPr>
                <w:rStyle w:val="bcx0"/>
                <w:sz w:val="17"/>
                <w:szCs w:val="17"/>
              </w:rPr>
              <w:t> </w:t>
            </w:r>
            <w:r>
              <w:rPr>
                <w:sz w:val="17"/>
                <w:szCs w:val="17"/>
              </w:rPr>
              <w:br/>
            </w:r>
            <w:r>
              <w:rPr>
                <w:rStyle w:val="normaltextrun"/>
                <w:b/>
                <w:bCs/>
                <w:sz w:val="17"/>
                <w:szCs w:val="17"/>
              </w:rPr>
              <w:t>Media Relations: (202) 418-0500 / ASL: (844) 432-2275 / Twitter: @FCC / www.fcc.gov </w:t>
            </w:r>
            <w:r>
              <w:rPr>
                <w:rStyle w:val="eop"/>
                <w:sz w:val="17"/>
                <w:szCs w:val="17"/>
              </w:rPr>
              <w:t> </w:t>
            </w:r>
          </w:p>
          <w:p w:rsidR="003F2B9D" w:rsidP="003F2B9D" w14:paraId="6C69DB77" w14:textId="77777777">
            <w:pPr>
              <w:pStyle w:val="paragraph"/>
              <w:spacing w:before="0" w:beforeAutospacing="0" w:after="0" w:afterAutospacing="0"/>
              <w:ind w:right="60"/>
              <w:jc w:val="center"/>
              <w:textAlignment w:val="baseline"/>
              <w:rPr>
                <w:rFonts w:ascii="Segoe UI" w:hAnsi="Segoe UI" w:cs="Segoe UI"/>
                <w:sz w:val="18"/>
                <w:szCs w:val="18"/>
              </w:rPr>
            </w:pPr>
            <w:r>
              <w:rPr>
                <w:rStyle w:val="eop"/>
                <w:sz w:val="18"/>
                <w:szCs w:val="18"/>
              </w:rPr>
              <w:t> </w:t>
            </w:r>
          </w:p>
          <w:p w:rsidR="00062BFA" w:rsidP="000F0064" w14:paraId="4CFD2CFA" w14:textId="097C95FC">
            <w:pPr>
              <w:pStyle w:val="paragraph"/>
              <w:spacing w:before="0" w:beforeAutospacing="0" w:after="0" w:afterAutospacing="0"/>
              <w:ind w:right="60"/>
              <w:jc w:val="center"/>
              <w:textAlignment w:val="baseline"/>
              <w:rPr>
                <w:bCs/>
                <w:i/>
                <w:sz w:val="18"/>
                <w:szCs w:val="18"/>
              </w:rPr>
            </w:pPr>
            <w:r>
              <w:rPr>
                <w:rStyle w:val="normaltextrun"/>
                <w:i/>
                <w:iCs/>
                <w:sz w:val="16"/>
                <w:szCs w:val="16"/>
              </w:rPr>
              <w:t>This is an unofficial announcement of Commission action.  Release of the full text of a Commission order constitutes official action.  See MCI v. FCC, 515 F.2d 385 (D.C. Cir. 1974).</w:t>
            </w:r>
            <w:r>
              <w:rPr>
                <w:rStyle w:val="eop"/>
                <w:sz w:val="16"/>
                <w:szCs w:val="16"/>
              </w:rPr>
              <w:t> </w:t>
            </w:r>
          </w:p>
        </w:tc>
      </w:tr>
      <w:tr w14:paraId="52AE404F" w14:textId="77777777">
        <w:tblPrEx>
          <w:tblW w:w="0" w:type="auto"/>
          <w:tblLook w:val="0000"/>
        </w:tblPrEx>
        <w:trPr>
          <w:trHeight w:val="2181"/>
        </w:trPr>
        <w:tc>
          <w:tcPr>
            <w:tcW w:w="8856" w:type="dxa"/>
          </w:tcPr>
          <w:p w:rsidR="000F0064" w14:paraId="24E079D2" w14:textId="77777777">
            <w:pPr>
              <w:jc w:val="center"/>
              <w:rPr>
                <w:b/>
                <w:i/>
                <w:noProof/>
                <w:sz w:val="28"/>
                <w:szCs w:val="28"/>
              </w:rPr>
            </w:pPr>
          </w:p>
        </w:tc>
      </w:tr>
    </w:tbl>
    <w:p w:rsidR="00062BFA" w14:paraId="280BD8FA" w14:textId="0E7B4A32">
      <w:pPr>
        <w:rPr>
          <w:b/>
          <w:bCs/>
          <w:sz w:val="2"/>
          <w:szCs w:val="2"/>
        </w:rPr>
      </w:pPr>
    </w:p>
    <w:sectPr>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FA"/>
    <w:rsid w:val="00003C4E"/>
    <w:rsid w:val="00062BFA"/>
    <w:rsid w:val="0008128A"/>
    <w:rsid w:val="000A6B05"/>
    <w:rsid w:val="000B2E77"/>
    <w:rsid w:val="000C70B1"/>
    <w:rsid w:val="000F0064"/>
    <w:rsid w:val="00127F79"/>
    <w:rsid w:val="001808C6"/>
    <w:rsid w:val="001B4426"/>
    <w:rsid w:val="003140D6"/>
    <w:rsid w:val="003E16FE"/>
    <w:rsid w:val="003F2B9D"/>
    <w:rsid w:val="00474E74"/>
    <w:rsid w:val="004A02E7"/>
    <w:rsid w:val="004F7506"/>
    <w:rsid w:val="00594CE2"/>
    <w:rsid w:val="005D638B"/>
    <w:rsid w:val="00611F0A"/>
    <w:rsid w:val="0063432B"/>
    <w:rsid w:val="007179D4"/>
    <w:rsid w:val="007434FC"/>
    <w:rsid w:val="007902F9"/>
    <w:rsid w:val="007C72C7"/>
    <w:rsid w:val="007D1B9E"/>
    <w:rsid w:val="00800650"/>
    <w:rsid w:val="00871105"/>
    <w:rsid w:val="008B7310"/>
    <w:rsid w:val="009428C5"/>
    <w:rsid w:val="009B13A8"/>
    <w:rsid w:val="00A100A4"/>
    <w:rsid w:val="00A543CF"/>
    <w:rsid w:val="00A737BE"/>
    <w:rsid w:val="00A96835"/>
    <w:rsid w:val="00AD23B9"/>
    <w:rsid w:val="00B33CF6"/>
    <w:rsid w:val="00C27542"/>
    <w:rsid w:val="00C27B07"/>
    <w:rsid w:val="00C445EA"/>
    <w:rsid w:val="00D1128A"/>
    <w:rsid w:val="00D41E95"/>
    <w:rsid w:val="00DE02B1"/>
    <w:rsid w:val="00DE1DF2"/>
    <w:rsid w:val="00E43B37"/>
    <w:rsid w:val="00EB5F22"/>
    <w:rsid w:val="00F14EC1"/>
    <w:rsid w:val="00FB45ED"/>
    <w:rsid w:val="00FD3C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2FEA1C6-BC1E-4EBB-A033-421E628D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rticlehead1">
    <w:name w:val="articlehead1"/>
    <w:rPr>
      <w:b/>
      <w:bCs/>
      <w:color w:val="336699"/>
      <w:sz w:val="24"/>
      <w:szCs w:val="24"/>
    </w:rPr>
  </w:style>
  <w:style w:type="character" w:customStyle="1" w:styleId="byline1">
    <w:name w:val="byline1"/>
    <w:rPr>
      <w:rFonts w:ascii="Verdana" w:hAnsi="Verdana" w:hint="default"/>
      <w:color w:val="999999"/>
      <w:sz w:val="15"/>
      <w:szCs w:val="15"/>
    </w:rPr>
  </w:style>
  <w:style w:type="paragraph" w:styleId="NormalWeb">
    <w:name w:val="Normal (Web)"/>
    <w:basedOn w:val="Normal"/>
  </w:style>
  <w:style w:type="paragraph" w:styleId="Caption">
    <w:name w:val="caption"/>
    <w:basedOn w:val="Normal"/>
    <w:next w:val="Normal"/>
    <w:unhideWhenUsed/>
    <w:qFormat/>
    <w:rPr>
      <w:b/>
      <w:bCs/>
      <w:sz w:val="20"/>
      <w:szCs w:val="20"/>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paragraph">
    <w:name w:val="paragraph"/>
    <w:basedOn w:val="Normal"/>
    <w:rsid w:val="003F2B9D"/>
    <w:pPr>
      <w:spacing w:before="100" w:beforeAutospacing="1" w:after="100" w:afterAutospacing="1"/>
    </w:pPr>
  </w:style>
  <w:style w:type="character" w:customStyle="1" w:styleId="bcx0">
    <w:name w:val="bcx0"/>
    <w:basedOn w:val="DefaultParagraphFont"/>
    <w:rsid w:val="003F2B9D"/>
  </w:style>
  <w:style w:type="character" w:customStyle="1" w:styleId="normaltextrun">
    <w:name w:val="normaltextrun"/>
    <w:basedOn w:val="DefaultParagraphFont"/>
    <w:rsid w:val="003F2B9D"/>
  </w:style>
  <w:style w:type="character" w:customStyle="1" w:styleId="eop">
    <w:name w:val="eop"/>
    <w:basedOn w:val="DefaultParagraphFont"/>
    <w:rsid w:val="003F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