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C6EE3" w:rsidP="006E46B2" w14:paraId="3BD4FECC" w14:textId="77777777">
      <w:pPr>
        <w:jc w:val="center"/>
        <w:rPr>
          <w:b/>
        </w:rPr>
      </w:pPr>
      <w:r>
        <w:rPr>
          <w:b/>
        </w:rPr>
        <w:t>Before the</w:t>
      </w:r>
    </w:p>
    <w:p w:rsidR="00FC6EE3" w:rsidP="006E46B2" w14:paraId="753F9F97" w14:textId="77777777">
      <w:pPr>
        <w:jc w:val="center"/>
        <w:rPr>
          <w:b/>
        </w:rPr>
      </w:pPr>
      <w:r>
        <w:rPr>
          <w:b/>
        </w:rPr>
        <w:t>Federal Communications Commission</w:t>
      </w:r>
    </w:p>
    <w:p w:rsidR="00FC6EE3" w:rsidP="006E46B2" w14:paraId="24DA48A3"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FC6EE3" w:rsidP="006E46B2" w14:paraId="65215487" w14:textId="77777777"/>
    <w:p w:rsidR="00FC6EE3" w:rsidP="006E46B2" w14:paraId="4AB4AB8A" w14:textId="77777777"/>
    <w:tbl>
      <w:tblPr>
        <w:tblW w:w="0" w:type="auto"/>
        <w:tblLayout w:type="fixed"/>
        <w:tblLook w:val="0000"/>
      </w:tblPr>
      <w:tblGrid>
        <w:gridCol w:w="4698"/>
        <w:gridCol w:w="720"/>
        <w:gridCol w:w="4230"/>
      </w:tblGrid>
      <w:tr w14:paraId="23F199CE" w14:textId="77777777" w:rsidTr="00A24755">
        <w:tblPrEx>
          <w:tblW w:w="0" w:type="auto"/>
          <w:tblLayout w:type="fixed"/>
          <w:tblLook w:val="0000"/>
        </w:tblPrEx>
        <w:tc>
          <w:tcPr>
            <w:tcW w:w="4698" w:type="dxa"/>
          </w:tcPr>
          <w:p w:rsidR="00FC6EE3" w:rsidP="00A24755" w14:paraId="1025A793" w14:textId="77777777">
            <w:pPr>
              <w:ind w:right="-18"/>
            </w:pPr>
            <w:r>
              <w:t>In the Matter of</w:t>
            </w:r>
          </w:p>
          <w:p w:rsidR="00FC6EE3" w:rsidP="00A24755" w14:paraId="0F9A6F19" w14:textId="77777777">
            <w:pPr>
              <w:ind w:right="-18"/>
            </w:pPr>
          </w:p>
          <w:p w:rsidR="00FC6EE3" w:rsidP="00A24755" w14:paraId="32A4CA81" w14:textId="77777777">
            <w:pPr>
              <w:ind w:right="-18"/>
            </w:pPr>
            <w:r>
              <w:t>Procedural Streamlining of Administrative Hearings</w:t>
            </w:r>
          </w:p>
        </w:tc>
        <w:tc>
          <w:tcPr>
            <w:tcW w:w="720" w:type="dxa"/>
          </w:tcPr>
          <w:p w:rsidR="00FC6EE3" w:rsidP="00A24755" w14:paraId="76F98815" w14:textId="77777777">
            <w:pPr>
              <w:rPr>
                <w:b/>
              </w:rPr>
            </w:pPr>
            <w:r>
              <w:rPr>
                <w:b/>
              </w:rPr>
              <w:t>)</w:t>
            </w:r>
          </w:p>
          <w:p w:rsidR="00FC6EE3" w:rsidP="00A24755" w14:paraId="5DE689EF" w14:textId="77777777">
            <w:pPr>
              <w:rPr>
                <w:b/>
              </w:rPr>
            </w:pPr>
            <w:r>
              <w:rPr>
                <w:b/>
              </w:rPr>
              <w:t>)</w:t>
            </w:r>
          </w:p>
          <w:p w:rsidR="00FC6EE3" w:rsidP="00A24755" w14:paraId="70467CD9" w14:textId="77777777">
            <w:pPr>
              <w:rPr>
                <w:b/>
              </w:rPr>
            </w:pPr>
            <w:r>
              <w:rPr>
                <w:b/>
              </w:rPr>
              <w:t>)</w:t>
            </w:r>
          </w:p>
          <w:p w:rsidR="00FC6EE3" w:rsidP="00A24755" w14:paraId="5B3087AB" w14:textId="77777777">
            <w:pPr>
              <w:rPr>
                <w:b/>
              </w:rPr>
            </w:pPr>
            <w:r>
              <w:rPr>
                <w:b/>
              </w:rPr>
              <w:t>)</w:t>
            </w:r>
          </w:p>
          <w:p w:rsidR="00FC6EE3" w:rsidP="00A24755" w14:paraId="6FD18841" w14:textId="77777777">
            <w:pPr>
              <w:rPr>
                <w:b/>
              </w:rPr>
            </w:pPr>
            <w:r>
              <w:rPr>
                <w:b/>
              </w:rPr>
              <w:t>)</w:t>
            </w:r>
          </w:p>
          <w:p w:rsidR="00FC6EE3" w:rsidP="00A24755" w14:paraId="54651D59" w14:textId="77777777">
            <w:pPr>
              <w:rPr>
                <w:b/>
              </w:rPr>
            </w:pPr>
          </w:p>
        </w:tc>
        <w:tc>
          <w:tcPr>
            <w:tcW w:w="4230" w:type="dxa"/>
          </w:tcPr>
          <w:p w:rsidR="00FC6EE3" w:rsidP="00A24755" w14:paraId="4623C35C" w14:textId="77777777"/>
          <w:p w:rsidR="00FC6EE3" w:rsidP="00A24755" w14:paraId="650A8D11" w14:textId="77777777"/>
          <w:p w:rsidR="00FC6EE3" w:rsidRPr="008B5772" w:rsidP="00A24755" w14:paraId="0D58D50A" w14:textId="77777777">
            <w:pPr>
              <w:rPr>
                <w:bCs/>
              </w:rPr>
            </w:pPr>
            <w:r w:rsidRPr="008B5772">
              <w:rPr>
                <w:bCs/>
              </w:rPr>
              <w:t xml:space="preserve">EB Docket No. </w:t>
            </w:r>
            <w:r>
              <w:rPr>
                <w:bCs/>
              </w:rPr>
              <w:t>19-214</w:t>
            </w:r>
          </w:p>
        </w:tc>
      </w:tr>
    </w:tbl>
    <w:p w:rsidR="00FC6EE3" w:rsidP="006E46B2" w14:paraId="06A63E05" w14:textId="77777777"/>
    <w:p w:rsidR="00FC6EE3" w:rsidP="006E46B2" w14:paraId="32A5F28D" w14:textId="77777777">
      <w:pPr>
        <w:spacing w:before="120"/>
        <w:jc w:val="center"/>
        <w:rPr>
          <w:b/>
          <w:spacing w:val="-2"/>
        </w:rPr>
      </w:pPr>
      <w:r>
        <w:rPr>
          <w:b/>
          <w:spacing w:val="-2"/>
        </w:rPr>
        <w:t>ERRATUM</w:t>
      </w:r>
    </w:p>
    <w:p w:rsidR="00FC6EE3" w:rsidP="006E46B2" w14:paraId="2356CF8F" w14:textId="77777777">
      <w:pPr>
        <w:tabs>
          <w:tab w:val="left" w:pos="5760"/>
        </w:tabs>
        <w:rPr>
          <w:b/>
        </w:rPr>
      </w:pPr>
    </w:p>
    <w:p w:rsidR="00FC6EE3" w:rsidP="006E46B2" w14:paraId="54656D9A" w14:textId="12FD71BA">
      <w:pPr>
        <w:jc w:val="right"/>
        <w:rPr>
          <w:b/>
        </w:rPr>
      </w:pPr>
      <w:r>
        <w:rPr>
          <w:b/>
        </w:rPr>
        <w:t xml:space="preserve">Released:  October </w:t>
      </w:r>
      <w:r w:rsidR="00CD7E78">
        <w:rPr>
          <w:b/>
        </w:rPr>
        <w:t>7</w:t>
      </w:r>
      <w:bookmarkStart w:id="0" w:name="_GoBack"/>
      <w:bookmarkEnd w:id="0"/>
      <w:r>
        <w:rPr>
          <w:b/>
        </w:rPr>
        <w:t>, 2020</w:t>
      </w:r>
    </w:p>
    <w:p w:rsidR="00FC6EE3" w:rsidP="006E46B2" w14:paraId="522A7FD1" w14:textId="77777777">
      <w:pPr>
        <w:tabs>
          <w:tab w:val="left" w:pos="5760"/>
        </w:tabs>
        <w:rPr>
          <w:b/>
        </w:rPr>
      </w:pPr>
    </w:p>
    <w:p w:rsidR="00FC6EE3" w:rsidP="006E46B2" w14:paraId="43764AB8" w14:textId="77777777">
      <w:pPr>
        <w:tabs>
          <w:tab w:val="left" w:pos="5760"/>
        </w:tabs>
      </w:pPr>
      <w:r>
        <w:t>By the Managing Director and the Chief, Enforcement Bureau</w:t>
      </w:r>
      <w:r>
        <w:rPr>
          <w:spacing w:val="-2"/>
        </w:rPr>
        <w:t>:</w:t>
      </w:r>
    </w:p>
    <w:p w:rsidR="00FC6EE3" w:rsidP="006E46B2" w14:paraId="2C1D4DDC" w14:textId="77777777"/>
    <w:p w:rsidR="00FC6EE3" w:rsidP="006E46B2" w14:paraId="7B40C2AA" w14:textId="04A60435">
      <w:pPr>
        <w:pStyle w:val="ParaNum"/>
        <w:numPr>
          <w:ilvl w:val="0"/>
          <w:numId w:val="0"/>
        </w:numPr>
      </w:pPr>
      <w:r>
        <w:t xml:space="preserve"> </w:t>
      </w:r>
      <w:r>
        <w:tab/>
        <w:t>On September 14, 2020</w:t>
      </w:r>
      <w:r w:rsidRPr="0041676B">
        <w:t xml:space="preserve">, the </w:t>
      </w:r>
      <w:r>
        <w:t xml:space="preserve">Commission </w:t>
      </w:r>
      <w:r w:rsidRPr="0041676B">
        <w:t xml:space="preserve">released </w:t>
      </w:r>
      <w:r w:rsidR="00E6654C">
        <w:t>a</w:t>
      </w:r>
      <w:r w:rsidRPr="0041676B">
        <w:t xml:space="preserve"> Report and Order (</w:t>
      </w:r>
      <w:r w:rsidRPr="0041676B">
        <w:rPr>
          <w:i/>
        </w:rPr>
        <w:t>R&amp;O</w:t>
      </w:r>
      <w:r w:rsidRPr="0041676B">
        <w:t>), FCC 20-</w:t>
      </w:r>
      <w:r>
        <w:t>125</w:t>
      </w:r>
      <w:r w:rsidRPr="0041676B">
        <w:t xml:space="preserve">, in the above captioned proceeding.  To conform to the publishing conventions of the National Archives and Records Administration’s Office of the Federal Register, this Erratum amends Appendix A of the </w:t>
      </w:r>
      <w:r w:rsidRPr="0041676B">
        <w:rPr>
          <w:i/>
        </w:rPr>
        <w:t>R&amp;O</w:t>
      </w:r>
      <w:r w:rsidRPr="0041676B">
        <w:t xml:space="preserve"> as indicated below</w:t>
      </w:r>
      <w:r>
        <w:t>.</w:t>
      </w:r>
    </w:p>
    <w:p w:rsidR="00FC6EE3" w:rsidP="00FC6EE3" w14:paraId="7E78FA7A" w14:textId="77777777">
      <w:pPr>
        <w:pStyle w:val="ParaNum"/>
        <w:widowControl/>
        <w:tabs>
          <w:tab w:val="num" w:pos="720"/>
        </w:tabs>
        <w:spacing w:line="259" w:lineRule="auto"/>
        <w:ind w:firstLine="360"/>
      </w:pPr>
      <w:r>
        <w:t>Paragraph (b), under section 0.111, is corrected to read as follows:</w:t>
      </w:r>
    </w:p>
    <w:p w:rsidR="00FC6EE3" w:rsidP="006E46B2" w14:paraId="022E0AF1" w14:textId="77777777">
      <w:pPr>
        <w:pStyle w:val="ParaNum"/>
        <w:numPr>
          <w:ilvl w:val="0"/>
          <w:numId w:val="0"/>
        </w:numPr>
        <w:ind w:left="720"/>
      </w:pPr>
      <w:r>
        <w:t xml:space="preserve">       “(b) Serve as a party in hearing proceedings conducted pursuant to 47 CFR part 1, subpart B.”</w:t>
      </w:r>
    </w:p>
    <w:p w:rsidR="00FC6EE3" w:rsidP="00FC6EE3" w14:paraId="3B667354" w14:textId="77777777">
      <w:pPr>
        <w:pStyle w:val="ParaNum"/>
        <w:widowControl/>
        <w:tabs>
          <w:tab w:val="num" w:pos="720"/>
        </w:tabs>
        <w:spacing w:line="259" w:lineRule="auto"/>
        <w:ind w:firstLine="360"/>
      </w:pPr>
      <w:r>
        <w:t>The heading for section 0.341 is corrected to read as follows:</w:t>
      </w:r>
    </w:p>
    <w:p w:rsidR="00FC6EE3" w:rsidP="006E46B2" w14:paraId="646324B3" w14:textId="77777777">
      <w:pPr>
        <w:pStyle w:val="ParaNum"/>
        <w:numPr>
          <w:ilvl w:val="0"/>
          <w:numId w:val="0"/>
        </w:numPr>
        <w:ind w:left="720"/>
      </w:pPr>
      <w:r>
        <w:t xml:space="preserve">       “</w:t>
      </w:r>
      <w:r w:rsidRPr="009069EC">
        <w:rPr>
          <w:b/>
          <w:bCs/>
        </w:rPr>
        <w:t>§ 0.341   Authority of Administrative Law Judges and other presiding officers.</w:t>
      </w:r>
      <w:r>
        <w:t xml:space="preserve">” </w:t>
      </w:r>
    </w:p>
    <w:p w:rsidR="00FC6EE3" w:rsidP="00FC6EE3" w14:paraId="4A83C6EF" w14:textId="77777777">
      <w:pPr>
        <w:pStyle w:val="ParaNum"/>
        <w:widowControl/>
        <w:tabs>
          <w:tab w:val="num" w:pos="720"/>
        </w:tabs>
        <w:spacing w:line="259" w:lineRule="auto"/>
        <w:ind w:firstLine="360"/>
      </w:pPr>
      <w:r>
        <w:t>Paragraph (f)(1)(vii), under section 1.49, is corrected to read as follows:</w:t>
      </w:r>
    </w:p>
    <w:p w:rsidR="00FC6EE3" w:rsidP="006E46B2" w14:paraId="3C73ABD8" w14:textId="77777777">
      <w:pPr>
        <w:pStyle w:val="ParaNum"/>
        <w:numPr>
          <w:ilvl w:val="0"/>
          <w:numId w:val="0"/>
        </w:numPr>
        <w:ind w:left="720"/>
      </w:pPr>
      <w:r>
        <w:t xml:space="preserve">       “(vii) Domestic section 214 discontinuance applications pursuant to § 63.63 and/or § 63.71 of this chapter;”</w:t>
      </w:r>
    </w:p>
    <w:p w:rsidR="00FC6EE3" w:rsidP="00FC6EE3" w14:paraId="3C946253" w14:textId="0A674A36">
      <w:pPr>
        <w:pStyle w:val="ParaNum"/>
        <w:widowControl/>
        <w:tabs>
          <w:tab w:val="num" w:pos="720"/>
          <w:tab w:val="left" w:pos="1440"/>
        </w:tabs>
        <w:spacing w:line="259" w:lineRule="auto"/>
        <w:ind w:firstLine="360"/>
      </w:pPr>
      <w:r>
        <w:t>The first sentence under section 1.210, is corrected to read as follows:</w:t>
      </w:r>
    </w:p>
    <w:p w:rsidR="00FC6EE3" w:rsidRPr="00142F09" w:rsidP="006E46B2" w14:paraId="238CD05D" w14:textId="77777777">
      <w:pPr>
        <w:pStyle w:val="ParaNum"/>
        <w:numPr>
          <w:ilvl w:val="0"/>
          <w:numId w:val="0"/>
        </w:numPr>
        <w:ind w:left="720"/>
      </w:pPr>
      <w:r>
        <w:t xml:space="preserve">       “All pleadings filed in a hearing proceeding, as well as all letters, documents, or other written submissions, shall be filed using the Commission’s Electronic Comment Filing System, excluding confidential material as set forth in § 1.314.” </w:t>
      </w:r>
    </w:p>
    <w:p w:rsidR="00FC6EE3" w:rsidP="00FC6EE3" w14:paraId="6C223AD4" w14:textId="77777777">
      <w:pPr>
        <w:pStyle w:val="ParaNum"/>
        <w:widowControl/>
        <w:tabs>
          <w:tab w:val="num" w:pos="720"/>
        </w:tabs>
        <w:spacing w:line="259" w:lineRule="auto"/>
        <w:ind w:firstLine="360"/>
      </w:pPr>
      <w:r>
        <w:t xml:space="preserve">Paragraph (c), under section 1.311, is corrected to </w:t>
      </w:r>
      <w:r w:rsidRPr="009B5B4B">
        <w:t>read</w:t>
      </w:r>
      <w:r>
        <w:t xml:space="preserve"> as follows:</w:t>
      </w:r>
    </w:p>
    <w:p w:rsidR="00FC6EE3" w:rsidP="006E46B2" w14:paraId="7837B5F2" w14:textId="77777777">
      <w:pPr>
        <w:pStyle w:val="ParaNum"/>
        <w:numPr>
          <w:ilvl w:val="0"/>
          <w:numId w:val="0"/>
        </w:numPr>
        <w:ind w:left="720"/>
        <w:rPr>
          <w:rFonts w:eastAsia="Calibri"/>
          <w:szCs w:val="22"/>
        </w:rPr>
      </w:pPr>
      <w:r>
        <w:t xml:space="preserve">       “(c) </w:t>
      </w:r>
      <w:r>
        <w:rPr>
          <w:rFonts w:eastAsia="Calibri"/>
          <w:i/>
          <w:iCs/>
          <w:szCs w:val="22"/>
        </w:rPr>
        <w:t>Schedule for use of the procedures</w:t>
      </w:r>
      <w:r>
        <w:rPr>
          <w:rFonts w:eastAsia="Calibri"/>
          <w:szCs w:val="22"/>
        </w:rPr>
        <w:t>.  (1) Except as provided by special order of the presiding officer, discovery may be initiated after the initial conference provided for in § 1.248(b) of this part.</w:t>
      </w:r>
    </w:p>
    <w:p w:rsidR="00FC6EE3" w:rsidRPr="00E82D7D" w:rsidP="006E46B2" w14:paraId="0C4C0A84" w14:textId="77777777">
      <w:pPr>
        <w:pStyle w:val="ParaNum"/>
        <w:numPr>
          <w:ilvl w:val="0"/>
          <w:numId w:val="0"/>
        </w:numPr>
        <w:ind w:left="720" w:firstLine="450"/>
        <w:rPr>
          <w:rFonts w:eastAsia="Calibri"/>
          <w:szCs w:val="22"/>
        </w:rPr>
      </w:pPr>
      <w:r>
        <w:rPr>
          <w:rFonts w:eastAsia="Calibri"/>
          <w:szCs w:val="22"/>
        </w:rPr>
        <w:t>(2) In all proceedings, the presiding officer may at any time order the parties or their attorneys to appear at a conference to consider the proper use of these procedures, the time to be allowed for such use, and/or to hear argument and render a ruling on disputes that arise under these rules.”</w:t>
      </w:r>
    </w:p>
    <w:p w:rsidR="00FC6EE3" w:rsidP="00FC6EE3" w14:paraId="5C3C1855" w14:textId="77777777">
      <w:pPr>
        <w:pStyle w:val="ParaNum"/>
        <w:widowControl/>
        <w:tabs>
          <w:tab w:val="num" w:pos="720"/>
          <w:tab w:val="left" w:pos="1440"/>
        </w:tabs>
        <w:spacing w:line="259" w:lineRule="auto"/>
        <w:ind w:firstLine="360"/>
      </w:pPr>
      <w:r>
        <w:t>The first sentence of paragraph (a), under section 1.314, is corrected to read as follows:</w:t>
      </w:r>
    </w:p>
    <w:p w:rsidR="00FC6EE3" w:rsidP="006E46B2" w14:paraId="087E5F6E" w14:textId="77777777">
      <w:pPr>
        <w:pStyle w:val="ParaNum"/>
        <w:numPr>
          <w:ilvl w:val="0"/>
          <w:numId w:val="0"/>
        </w:numPr>
        <w:ind w:left="720"/>
      </w:pPr>
      <w:r>
        <w:t xml:space="preserve">       “(a) Any information produced in the course of a hearing proceeding may be designated as confidential by any parties to the proceeding, or third parties, pursuant to § 0.457, § 0.459, or § 0.461 of these rules.”</w:t>
      </w:r>
    </w:p>
    <w:p w:rsidR="00FC6EE3" w:rsidP="00FC6EE3" w14:paraId="731FBDAC" w14:textId="77777777">
      <w:pPr>
        <w:pStyle w:val="ParaNum"/>
        <w:widowControl/>
        <w:tabs>
          <w:tab w:val="num" w:pos="720"/>
          <w:tab w:val="left" w:pos="1440"/>
        </w:tabs>
        <w:spacing w:line="259" w:lineRule="auto"/>
        <w:ind w:firstLine="360"/>
      </w:pPr>
      <w:r>
        <w:t>The first sentence of paragraph (c)(2), under section 1.319, is corrected to read as follows:</w:t>
      </w:r>
    </w:p>
    <w:p w:rsidR="00FC6EE3" w:rsidP="006E46B2" w14:paraId="23BC70F6" w14:textId="77777777">
      <w:pPr>
        <w:pStyle w:val="ParaNum"/>
        <w:numPr>
          <w:ilvl w:val="0"/>
          <w:numId w:val="0"/>
        </w:numPr>
        <w:ind w:left="720"/>
      </w:pPr>
      <w:r>
        <w:t xml:space="preserve">       “(c)</w:t>
      </w:r>
      <w:r w:rsidRPr="0087060A">
        <w:t>(</w:t>
      </w:r>
      <w:r>
        <w:t>2</w:t>
      </w:r>
      <w:r w:rsidRPr="0087060A">
        <w:t xml:space="preserve">) </w:t>
      </w:r>
      <w:r>
        <w:t xml:space="preserve">If counsel cannot agree on the proper limits of the examination the taking of depositions shall continue on matters not objected to and counsel shall, within 24 hours, either jointly or individually, provide statements of their positions to the presiding officer, together with the telephone numbers at which they and the officer taking the depositions can be reached, or shall otherwise jointly confer with the presiding officer.” </w:t>
      </w:r>
    </w:p>
    <w:p w:rsidR="00FC6EE3" w:rsidP="00FC6EE3" w14:paraId="0F46626A" w14:textId="77777777">
      <w:pPr>
        <w:pStyle w:val="ParaNum"/>
        <w:widowControl/>
        <w:tabs>
          <w:tab w:val="num" w:pos="720"/>
          <w:tab w:val="left" w:pos="1440"/>
        </w:tabs>
        <w:spacing w:line="259" w:lineRule="auto"/>
        <w:ind w:firstLine="360"/>
      </w:pPr>
      <w:r>
        <w:t xml:space="preserve">Paragraph (c)(3), under section 1.319, is corrected to read as follows: </w:t>
      </w:r>
    </w:p>
    <w:p w:rsidR="00FC6EE3" w:rsidP="006E46B2" w14:paraId="1A3A3635" w14:textId="77777777">
      <w:pPr>
        <w:pStyle w:val="ParaNum"/>
        <w:numPr>
          <w:ilvl w:val="0"/>
          <w:numId w:val="0"/>
        </w:numPr>
        <w:ind w:left="720"/>
      </w:pPr>
      <w:r>
        <w:t xml:space="preserve">       “(c)(3) The presiding officer shall promptly rule upon the question presented or take such other action as may be appropriate under § 1.313, and shall give notice of his ruling, expeditiously, to counsel who submitted statements and to the officer taking the depositions.  The presiding officer shall thereafter reduce his ruling to writing.”</w:t>
      </w:r>
    </w:p>
    <w:p w:rsidR="00FC6EE3" w:rsidP="00FC6EE3" w14:paraId="463E3D7C" w14:textId="28C6570D">
      <w:pPr>
        <w:pStyle w:val="ParaNum"/>
        <w:widowControl/>
        <w:tabs>
          <w:tab w:val="num" w:pos="720"/>
          <w:tab w:val="left" w:pos="1440"/>
        </w:tabs>
        <w:spacing w:line="259" w:lineRule="auto"/>
        <w:ind w:firstLine="360"/>
      </w:pPr>
      <w:r>
        <w:t>The reference to section 1.377 in the newly added table of contents under amendatory instruction 73 is corrected to read as follows:</w:t>
      </w:r>
    </w:p>
    <w:p w:rsidR="00FC6EE3" w:rsidRPr="00F35FCF" w:rsidP="006E46B2" w14:paraId="5CC99AA8" w14:textId="77777777">
      <w:pPr>
        <w:pStyle w:val="ParaNum"/>
        <w:numPr>
          <w:ilvl w:val="0"/>
          <w:numId w:val="0"/>
        </w:numPr>
        <w:tabs>
          <w:tab w:val="left" w:pos="1440"/>
        </w:tabs>
        <w:ind w:left="720"/>
      </w:pPr>
      <w:r>
        <w:t xml:space="preserve">       “</w:t>
      </w:r>
      <w:r w:rsidRPr="00F42869">
        <w:rPr>
          <w:b/>
          <w:bCs/>
        </w:rPr>
        <w:t>1.377  Certification of the written hearing record to the Commission for decision.</w:t>
      </w:r>
      <w:r w:rsidRPr="009069EC">
        <w:t>”</w:t>
      </w:r>
    </w:p>
    <w:p w:rsidR="00FC6EE3" w:rsidP="00FC6EE3" w14:paraId="3D3F0C5A" w14:textId="77777777">
      <w:pPr>
        <w:pStyle w:val="ParaNum"/>
        <w:widowControl/>
        <w:tabs>
          <w:tab w:val="num" w:pos="720"/>
          <w:tab w:val="left" w:pos="1440"/>
        </w:tabs>
        <w:spacing w:line="259" w:lineRule="auto"/>
        <w:ind w:firstLine="360"/>
      </w:pPr>
      <w:r>
        <w:t xml:space="preserve"> The third sentence of paragraph (a), under section 1.376, is corrected to read as follows:</w:t>
      </w:r>
    </w:p>
    <w:p w:rsidR="00FC6EE3" w:rsidP="006E46B2" w14:paraId="36C9B30F" w14:textId="77777777">
      <w:pPr>
        <w:pStyle w:val="ParaNum"/>
        <w:numPr>
          <w:ilvl w:val="0"/>
          <w:numId w:val="0"/>
        </w:numPr>
        <w:ind w:left="720"/>
      </w:pPr>
      <w:r>
        <w:t xml:space="preserve">       “</w:t>
      </w:r>
      <w:r w:rsidRPr="00F42869">
        <w:rPr>
          <w:i/>
          <w:iCs/>
        </w:rPr>
        <w:t>See</w:t>
      </w:r>
      <w:r>
        <w:t xml:space="preserve"> §§ 1.248 and 1.372 through 1.374.”  </w:t>
      </w:r>
    </w:p>
    <w:p w:rsidR="00FC6EE3" w:rsidRPr="00A32859" w:rsidP="006E46B2" w14:paraId="72E72289" w14:textId="77777777">
      <w:pPr>
        <w:pStyle w:val="ParaNum"/>
        <w:numPr>
          <w:ilvl w:val="0"/>
          <w:numId w:val="0"/>
        </w:numPr>
        <w:tabs>
          <w:tab w:val="left" w:pos="1440"/>
        </w:tabs>
        <w:ind w:left="360"/>
        <w:rPr>
          <w:szCs w:val="22"/>
        </w:rPr>
      </w:pPr>
    </w:p>
    <w:p w:rsidR="00FC6EE3" w:rsidRPr="00A32859" w:rsidP="006E46B2" w14:paraId="2824C4AD" w14:textId="77777777">
      <w:pPr>
        <w:keepNext/>
        <w:widowControl/>
      </w:pPr>
      <w:r w:rsidRPr="00A32859">
        <w:tab/>
      </w:r>
      <w:r w:rsidRPr="00A32859">
        <w:tab/>
      </w:r>
      <w:r w:rsidRPr="00A32859">
        <w:tab/>
      </w:r>
      <w:r w:rsidRPr="00A32859">
        <w:tab/>
      </w:r>
      <w:r w:rsidRPr="00A32859">
        <w:tab/>
      </w:r>
      <w:r w:rsidRPr="00A32859">
        <w:tab/>
        <w:t>FEDERAL COMMUNICATIONS COMMISSION</w:t>
      </w:r>
    </w:p>
    <w:p w:rsidR="00FC6EE3" w:rsidRPr="00A32859" w:rsidP="006E46B2" w14:paraId="2599F1B2" w14:textId="77777777">
      <w:pPr>
        <w:keepNext/>
        <w:widowControl/>
      </w:pPr>
    </w:p>
    <w:p w:rsidR="00FC6EE3" w:rsidRPr="00A32859" w:rsidP="006E46B2" w14:paraId="1DDA1321" w14:textId="77777777">
      <w:pPr>
        <w:keepNext/>
        <w:widowControl/>
      </w:pPr>
    </w:p>
    <w:p w:rsidR="00FC6EE3" w:rsidRPr="00A32859" w:rsidP="006E46B2" w14:paraId="521CAE2E" w14:textId="77777777">
      <w:pPr>
        <w:keepNext/>
        <w:widowControl/>
      </w:pPr>
    </w:p>
    <w:p w:rsidR="00FC6EE3" w:rsidRPr="00A32859" w:rsidP="006E46B2" w14:paraId="315308B5" w14:textId="77777777">
      <w:pPr>
        <w:keepNext/>
        <w:widowControl/>
      </w:pPr>
    </w:p>
    <w:p w:rsidR="00FC6EE3" w:rsidP="006E46B2" w14:paraId="5981D41B" w14:textId="77777777">
      <w:pPr>
        <w:keepNext/>
        <w:widowControl/>
      </w:pPr>
      <w:r w:rsidRPr="00A32859">
        <w:tab/>
      </w:r>
      <w:r w:rsidRPr="00A32859">
        <w:tab/>
      </w:r>
      <w:r w:rsidRPr="00A32859">
        <w:tab/>
      </w:r>
      <w:r w:rsidRPr="00A32859">
        <w:tab/>
      </w:r>
      <w:r w:rsidRPr="00A32859">
        <w:tab/>
      </w:r>
      <w:r w:rsidRPr="00A32859">
        <w:tab/>
      </w:r>
      <w:r>
        <w:t>Mark Stephens</w:t>
      </w:r>
    </w:p>
    <w:p w:rsidR="00FC6EE3" w:rsidP="00862426" w14:paraId="64B2ED2B" w14:textId="77777777">
      <w:pPr>
        <w:keepNext/>
        <w:widowControl/>
        <w:ind w:left="3600" w:firstLine="720"/>
      </w:pPr>
      <w:r>
        <w:t>Managing Director</w:t>
      </w:r>
    </w:p>
    <w:p w:rsidR="00FC6EE3" w:rsidP="006E46B2" w14:paraId="3F4170E6" w14:textId="77777777">
      <w:pPr>
        <w:keepNext/>
        <w:widowControl/>
      </w:pPr>
    </w:p>
    <w:p w:rsidR="00FC6EE3" w:rsidP="006E46B2" w14:paraId="4C94FF12" w14:textId="77777777">
      <w:pPr>
        <w:keepNext/>
        <w:widowControl/>
      </w:pPr>
    </w:p>
    <w:p w:rsidR="00FC6EE3" w:rsidP="006E46B2" w14:paraId="0B0A3560" w14:textId="77777777">
      <w:pPr>
        <w:keepNext/>
        <w:widowControl/>
      </w:pPr>
    </w:p>
    <w:p w:rsidR="00FC6EE3" w:rsidRPr="00A32859" w:rsidP="00862426" w14:paraId="21AE6391" w14:textId="77777777">
      <w:pPr>
        <w:keepNext/>
        <w:widowControl/>
        <w:ind w:left="3600" w:firstLine="720"/>
      </w:pPr>
      <w:r>
        <w:t>Rosemary C. Harold</w:t>
      </w:r>
    </w:p>
    <w:p w:rsidR="00FC6EE3" w:rsidP="006E46B2" w14:paraId="3A2E744A" w14:textId="77777777">
      <w:pPr>
        <w:keepNext/>
        <w:widowControl/>
      </w:pPr>
      <w:r w:rsidRPr="00A32859">
        <w:tab/>
      </w:r>
      <w:r w:rsidRPr="00A32859">
        <w:tab/>
      </w:r>
      <w:r w:rsidRPr="00A32859">
        <w:tab/>
      </w:r>
      <w:r w:rsidRPr="00A32859">
        <w:tab/>
      </w:r>
      <w:r w:rsidRPr="00A32859">
        <w:tab/>
      </w:r>
      <w:r w:rsidRPr="00A32859">
        <w:tab/>
        <w:t xml:space="preserve">Chief </w:t>
      </w:r>
    </w:p>
    <w:p w:rsidR="00FC6EE3" w:rsidRPr="00A32859" w:rsidP="006E46B2" w14:paraId="233000B8" w14:textId="77777777">
      <w:pPr>
        <w:keepNext/>
        <w:widowControl/>
      </w:pPr>
      <w:r>
        <w:tab/>
      </w:r>
      <w:r>
        <w:tab/>
      </w:r>
      <w:r>
        <w:tab/>
      </w:r>
      <w:r>
        <w:tab/>
      </w:r>
      <w:r>
        <w:tab/>
      </w:r>
      <w:r>
        <w:tab/>
        <w:t>Enforcement Bureau</w:t>
      </w:r>
    </w:p>
    <w:p w:rsidR="00FC6EE3" w:rsidP="006E46B2" w14:paraId="0398516A" w14:textId="77777777">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2B8198D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C0C" w:rsidRPr="002A29D2" w:rsidP="00A47C0C" w14:paraId="7E9914A4" w14:textId="77777777">
    <w:pPr>
      <w:pStyle w:val="Header"/>
    </w:pPr>
    <w:r>
      <w:tab/>
    </w:r>
    <w:r w:rsidRPr="002A29D2">
      <w:t>Federal Communications Commission</w:t>
    </w:r>
    <w:r w:rsidRPr="002A29D2">
      <w:tab/>
      <w:t xml:space="preserve"> </w:t>
    </w:r>
  </w:p>
  <w:p w:rsidR="00A47C0C" w:rsidP="00A47C0C" w14:paraId="51B9D12D"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p w:rsidR="0060228B" w:rsidP="00A47C0C" w14:paraId="609A94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4AC057A3" w14:textId="77777777">
    <w:pPr>
      <w:pStyle w:val="Header"/>
    </w:pPr>
    <w:r>
      <w:tab/>
    </w:r>
    <w:r w:rsidRPr="002A29D2">
      <w:t>Federal Communications Commission</w:t>
    </w:r>
    <w:r w:rsidRPr="002A29D2">
      <w:tab/>
      <w:t xml:space="preserve"> </w:t>
    </w:r>
  </w:p>
  <w:p w:rsidR="0060228B" w:rsidP="002A29D2" w14:paraId="4FEEDEFB"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7B84686"/>
    <w:multiLevelType w:val="hybridMultilevel"/>
    <w:tmpl w:val="17BA8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8"/>
  </w:num>
  <w:num w:numId="6">
    <w:abstractNumId w:val="24"/>
  </w:num>
  <w:num w:numId="7">
    <w:abstractNumId w:val="17"/>
  </w:num>
  <w:num w:numId="8">
    <w:abstractNumId w:val="9"/>
  </w:num>
  <w:num w:numId="9">
    <w:abstractNumId w:val="23"/>
  </w:num>
  <w:num w:numId="10">
    <w:abstractNumId w:val="15"/>
  </w:num>
  <w:num w:numId="11">
    <w:abstractNumId w:val="13"/>
  </w:num>
  <w:num w:numId="12">
    <w:abstractNumId w:val="10"/>
  </w:num>
  <w:num w:numId="13">
    <w:abstractNumId w:val="16"/>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8"/>
  </w:num>
  <w:num w:numId="21">
    <w:abstractNumId w:val="20"/>
  </w:num>
  <w:num w:numId="22">
    <w:abstractNumId w:val="5"/>
  </w:num>
  <w:num w:numId="23">
    <w:abstractNumId w:val="25"/>
  </w:num>
  <w:num w:numId="24">
    <w:abstractNumId w:val="7"/>
  </w:num>
  <w:num w:numId="25">
    <w:abstractNumId w:val="19"/>
  </w:num>
  <w:num w:numId="26">
    <w:abstractNumId w:val="6"/>
  </w:num>
  <w:num w:numId="27">
    <w:abstractNumId w:val="0"/>
  </w:num>
  <w:num w:numId="28">
    <w:abstractNumId w:val="14"/>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05721"/>
    <w:rsid w:val="00020A3F"/>
    <w:rsid w:val="000263A7"/>
    <w:rsid w:val="00052F6C"/>
    <w:rsid w:val="00055014"/>
    <w:rsid w:val="00066CFB"/>
    <w:rsid w:val="000C4C66"/>
    <w:rsid w:val="00112AF7"/>
    <w:rsid w:val="00124D43"/>
    <w:rsid w:val="00142F09"/>
    <w:rsid w:val="00154C5C"/>
    <w:rsid w:val="001713C9"/>
    <w:rsid w:val="001A6BA6"/>
    <w:rsid w:val="001A738E"/>
    <w:rsid w:val="001B034E"/>
    <w:rsid w:val="001C302F"/>
    <w:rsid w:val="001D1FC2"/>
    <w:rsid w:val="00225B9D"/>
    <w:rsid w:val="00233DD1"/>
    <w:rsid w:val="00280E26"/>
    <w:rsid w:val="0028674D"/>
    <w:rsid w:val="002974E9"/>
    <w:rsid w:val="002A29D2"/>
    <w:rsid w:val="002A4E36"/>
    <w:rsid w:val="002C2A8B"/>
    <w:rsid w:val="002C3FE3"/>
    <w:rsid w:val="002E484C"/>
    <w:rsid w:val="002E596C"/>
    <w:rsid w:val="002F4037"/>
    <w:rsid w:val="00347779"/>
    <w:rsid w:val="003608A5"/>
    <w:rsid w:val="00377A53"/>
    <w:rsid w:val="00391764"/>
    <w:rsid w:val="00391EEC"/>
    <w:rsid w:val="003A3B5F"/>
    <w:rsid w:val="003D2895"/>
    <w:rsid w:val="003E1975"/>
    <w:rsid w:val="00415B32"/>
    <w:rsid w:val="0041676B"/>
    <w:rsid w:val="00456E40"/>
    <w:rsid w:val="004803CC"/>
    <w:rsid w:val="004D17DB"/>
    <w:rsid w:val="004F0A31"/>
    <w:rsid w:val="005371D9"/>
    <w:rsid w:val="005529AE"/>
    <w:rsid w:val="00567604"/>
    <w:rsid w:val="00567F60"/>
    <w:rsid w:val="005A09E4"/>
    <w:rsid w:val="005B1480"/>
    <w:rsid w:val="005C4054"/>
    <w:rsid w:val="005D634E"/>
    <w:rsid w:val="005D6D86"/>
    <w:rsid w:val="005D6E8B"/>
    <w:rsid w:val="005E2B3D"/>
    <w:rsid w:val="005E7CEC"/>
    <w:rsid w:val="005F48F8"/>
    <w:rsid w:val="0060228B"/>
    <w:rsid w:val="006550AE"/>
    <w:rsid w:val="00673288"/>
    <w:rsid w:val="0068369B"/>
    <w:rsid w:val="006E46B2"/>
    <w:rsid w:val="0070305D"/>
    <w:rsid w:val="00716C75"/>
    <w:rsid w:val="00747EBA"/>
    <w:rsid w:val="00752430"/>
    <w:rsid w:val="00790272"/>
    <w:rsid w:val="007A3830"/>
    <w:rsid w:val="007A4405"/>
    <w:rsid w:val="007B50B9"/>
    <w:rsid w:val="007C5B30"/>
    <w:rsid w:val="00807A44"/>
    <w:rsid w:val="00843541"/>
    <w:rsid w:val="00862426"/>
    <w:rsid w:val="0087060A"/>
    <w:rsid w:val="008775C0"/>
    <w:rsid w:val="00880AC7"/>
    <w:rsid w:val="00891ADC"/>
    <w:rsid w:val="0089216E"/>
    <w:rsid w:val="008B5772"/>
    <w:rsid w:val="008C0300"/>
    <w:rsid w:val="008C040C"/>
    <w:rsid w:val="008F11BB"/>
    <w:rsid w:val="009069EC"/>
    <w:rsid w:val="0096028E"/>
    <w:rsid w:val="00965578"/>
    <w:rsid w:val="00981D2C"/>
    <w:rsid w:val="00997710"/>
    <w:rsid w:val="009B4FAC"/>
    <w:rsid w:val="009B5B4B"/>
    <w:rsid w:val="00A031CB"/>
    <w:rsid w:val="00A2063E"/>
    <w:rsid w:val="00A24755"/>
    <w:rsid w:val="00A32859"/>
    <w:rsid w:val="00A33966"/>
    <w:rsid w:val="00A3709D"/>
    <w:rsid w:val="00A37E50"/>
    <w:rsid w:val="00A47C0C"/>
    <w:rsid w:val="00A61634"/>
    <w:rsid w:val="00A75150"/>
    <w:rsid w:val="00AA407B"/>
    <w:rsid w:val="00AB19EB"/>
    <w:rsid w:val="00AB200F"/>
    <w:rsid w:val="00AC1F1E"/>
    <w:rsid w:val="00AC4D64"/>
    <w:rsid w:val="00AD1B9A"/>
    <w:rsid w:val="00AE3505"/>
    <w:rsid w:val="00B07300"/>
    <w:rsid w:val="00B129BE"/>
    <w:rsid w:val="00B35E64"/>
    <w:rsid w:val="00B972BD"/>
    <w:rsid w:val="00BD1056"/>
    <w:rsid w:val="00BD5355"/>
    <w:rsid w:val="00BF2678"/>
    <w:rsid w:val="00C22835"/>
    <w:rsid w:val="00C22E06"/>
    <w:rsid w:val="00C329D7"/>
    <w:rsid w:val="00C353B3"/>
    <w:rsid w:val="00C67E76"/>
    <w:rsid w:val="00C92391"/>
    <w:rsid w:val="00CC331E"/>
    <w:rsid w:val="00CD7E78"/>
    <w:rsid w:val="00D2476D"/>
    <w:rsid w:val="00D40F43"/>
    <w:rsid w:val="00D43EF5"/>
    <w:rsid w:val="00D82FAA"/>
    <w:rsid w:val="00DD1F55"/>
    <w:rsid w:val="00E00E22"/>
    <w:rsid w:val="00E10076"/>
    <w:rsid w:val="00E51B7E"/>
    <w:rsid w:val="00E55BD1"/>
    <w:rsid w:val="00E6654C"/>
    <w:rsid w:val="00E82D7D"/>
    <w:rsid w:val="00E86ACE"/>
    <w:rsid w:val="00E92ACC"/>
    <w:rsid w:val="00EB15AA"/>
    <w:rsid w:val="00EB1A95"/>
    <w:rsid w:val="00EB6894"/>
    <w:rsid w:val="00ED2EA8"/>
    <w:rsid w:val="00F024A0"/>
    <w:rsid w:val="00F03037"/>
    <w:rsid w:val="00F25801"/>
    <w:rsid w:val="00F35B8C"/>
    <w:rsid w:val="00F35FCF"/>
    <w:rsid w:val="00F42869"/>
    <w:rsid w:val="00FC2FD4"/>
    <w:rsid w:val="00FC6EE3"/>
    <w:rsid w:val="00FD3D0C"/>
    <w:rsid w:val="00FE1CA7"/>
    <w:rsid w:val="00FE58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E4873A3-A87E-4AD2-BC10-22DCCC26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78"/>
    <w:pPr>
      <w:widowControl w:val="0"/>
    </w:pPr>
    <w:rPr>
      <w:snapToGrid w:val="0"/>
      <w:kern w:val="28"/>
      <w:sz w:val="22"/>
    </w:rPr>
  </w:style>
  <w:style w:type="paragraph" w:styleId="Heading1">
    <w:name w:val="heading 1"/>
    <w:basedOn w:val="Normal"/>
    <w:next w:val="ParaNum"/>
    <w:qFormat/>
    <w:rsid w:val="00CD7E78"/>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7E78"/>
    <w:pPr>
      <w:keepNext/>
      <w:numPr>
        <w:ilvl w:val="1"/>
        <w:numId w:val="24"/>
      </w:numPr>
      <w:spacing w:after="120"/>
      <w:outlineLvl w:val="1"/>
    </w:pPr>
    <w:rPr>
      <w:b/>
    </w:rPr>
  </w:style>
  <w:style w:type="paragraph" w:styleId="Heading3">
    <w:name w:val="heading 3"/>
    <w:basedOn w:val="Normal"/>
    <w:next w:val="ParaNum"/>
    <w:qFormat/>
    <w:rsid w:val="00CD7E78"/>
    <w:pPr>
      <w:keepNext/>
      <w:numPr>
        <w:ilvl w:val="2"/>
        <w:numId w:val="24"/>
      </w:numPr>
      <w:tabs>
        <w:tab w:val="left" w:pos="2160"/>
      </w:tabs>
      <w:spacing w:after="120"/>
      <w:outlineLvl w:val="2"/>
    </w:pPr>
    <w:rPr>
      <w:b/>
    </w:rPr>
  </w:style>
  <w:style w:type="paragraph" w:styleId="Heading4">
    <w:name w:val="heading 4"/>
    <w:basedOn w:val="Normal"/>
    <w:next w:val="ParaNum"/>
    <w:qFormat/>
    <w:rsid w:val="00CD7E78"/>
    <w:pPr>
      <w:keepNext/>
      <w:numPr>
        <w:ilvl w:val="3"/>
        <w:numId w:val="24"/>
      </w:numPr>
      <w:tabs>
        <w:tab w:val="left" w:pos="2880"/>
      </w:tabs>
      <w:spacing w:after="120"/>
      <w:outlineLvl w:val="3"/>
    </w:pPr>
    <w:rPr>
      <w:b/>
    </w:rPr>
  </w:style>
  <w:style w:type="paragraph" w:styleId="Heading5">
    <w:name w:val="heading 5"/>
    <w:basedOn w:val="Normal"/>
    <w:next w:val="ParaNum"/>
    <w:qFormat/>
    <w:rsid w:val="00CD7E78"/>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CD7E78"/>
    <w:pPr>
      <w:numPr>
        <w:ilvl w:val="5"/>
        <w:numId w:val="24"/>
      </w:numPr>
      <w:tabs>
        <w:tab w:val="left" w:pos="4320"/>
      </w:tabs>
      <w:spacing w:after="120"/>
      <w:outlineLvl w:val="5"/>
    </w:pPr>
    <w:rPr>
      <w:b/>
    </w:rPr>
  </w:style>
  <w:style w:type="paragraph" w:styleId="Heading7">
    <w:name w:val="heading 7"/>
    <w:basedOn w:val="Normal"/>
    <w:next w:val="ParaNum"/>
    <w:qFormat/>
    <w:rsid w:val="00CD7E78"/>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CD7E78"/>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CD7E78"/>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7E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E7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CD7E78"/>
    <w:pPr>
      <w:numPr>
        <w:numId w:val="23"/>
      </w:numPr>
      <w:tabs>
        <w:tab w:val="clear" w:pos="1080"/>
        <w:tab w:val="num" w:pos="1440"/>
      </w:tabs>
      <w:spacing w:after="120"/>
    </w:pPr>
  </w:style>
  <w:style w:type="paragraph" w:styleId="FootnoteText">
    <w:name w:val="footnote text"/>
    <w:rsid w:val="00CD7E78"/>
    <w:pPr>
      <w:spacing w:after="120"/>
    </w:pPr>
  </w:style>
  <w:style w:type="paragraph" w:customStyle="1" w:styleId="Bullet">
    <w:name w:val="Bullet"/>
    <w:basedOn w:val="Normal"/>
    <w:rsid w:val="00CD7E78"/>
    <w:pPr>
      <w:tabs>
        <w:tab w:val="left" w:pos="2160"/>
      </w:tabs>
      <w:spacing w:after="220"/>
      <w:ind w:left="2160" w:hanging="720"/>
    </w:pPr>
  </w:style>
  <w:style w:type="paragraph" w:styleId="BlockText">
    <w:name w:val="Block Text"/>
    <w:basedOn w:val="Normal"/>
    <w:rsid w:val="00CD7E78"/>
    <w:pPr>
      <w:spacing w:after="240"/>
      <w:ind w:left="1440" w:right="1440"/>
    </w:pPr>
  </w:style>
  <w:style w:type="paragraph" w:customStyle="1" w:styleId="TableFormat">
    <w:name w:val="TableFormat"/>
    <w:basedOn w:val="Bullet"/>
    <w:rsid w:val="00CD7E78"/>
    <w:pPr>
      <w:tabs>
        <w:tab w:val="clear" w:pos="2160"/>
        <w:tab w:val="left" w:pos="5040"/>
      </w:tabs>
      <w:ind w:left="5040" w:hanging="3600"/>
    </w:pPr>
  </w:style>
  <w:style w:type="character" w:styleId="FootnoteReference">
    <w:name w:val="footnote reference"/>
    <w:rsid w:val="00CD7E78"/>
    <w:rPr>
      <w:rFonts w:ascii="Times New Roman" w:hAnsi="Times New Roman"/>
      <w:dstrike w:val="0"/>
      <w:color w:val="auto"/>
      <w:sz w:val="20"/>
      <w:vertAlign w:val="superscript"/>
    </w:rPr>
  </w:style>
  <w:style w:type="paragraph" w:styleId="Header">
    <w:name w:val="header"/>
    <w:basedOn w:val="Normal"/>
    <w:autoRedefine/>
    <w:rsid w:val="00CD7E78"/>
    <w:pPr>
      <w:tabs>
        <w:tab w:val="center" w:pos="4680"/>
        <w:tab w:val="right" w:pos="9360"/>
      </w:tabs>
    </w:pPr>
    <w:rPr>
      <w:b/>
    </w:rPr>
  </w:style>
  <w:style w:type="paragraph" w:styleId="Footer">
    <w:name w:val="footer"/>
    <w:basedOn w:val="Normal"/>
    <w:link w:val="FooterChar"/>
    <w:uiPriority w:val="99"/>
    <w:rsid w:val="00CD7E78"/>
    <w:pPr>
      <w:tabs>
        <w:tab w:val="center" w:pos="4320"/>
        <w:tab w:val="right" w:pos="8640"/>
      </w:tabs>
    </w:pPr>
  </w:style>
  <w:style w:type="paragraph" w:styleId="TOC2">
    <w:name w:val="toc 2"/>
    <w:basedOn w:val="Normal"/>
    <w:next w:val="Normal"/>
    <w:semiHidden/>
    <w:rsid w:val="00CD7E7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D7E7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D7E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7E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7E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7E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7E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7E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7E78"/>
    <w:pPr>
      <w:tabs>
        <w:tab w:val="left" w:pos="3240"/>
        <w:tab w:val="right" w:leader="dot" w:pos="9360"/>
      </w:tabs>
      <w:suppressAutoHyphens/>
      <w:ind w:left="3240" w:hanging="360"/>
    </w:pPr>
    <w:rPr>
      <w:noProof/>
    </w:rPr>
  </w:style>
  <w:style w:type="character" w:styleId="PageNumber">
    <w:name w:val="page number"/>
    <w:basedOn w:val="DefaultParagraphFont"/>
    <w:rsid w:val="00CD7E78"/>
  </w:style>
  <w:style w:type="paragraph" w:styleId="Title">
    <w:name w:val="Title"/>
    <w:basedOn w:val="Normal"/>
    <w:qFormat/>
    <w:pPr>
      <w:jc w:val="center"/>
    </w:pPr>
    <w:rPr>
      <w:b/>
    </w:rPr>
  </w:style>
  <w:style w:type="paragraph" w:styleId="EndnoteText">
    <w:name w:val="endnote text"/>
    <w:basedOn w:val="Normal"/>
    <w:link w:val="EndnoteTextChar"/>
    <w:rsid w:val="00CD7E78"/>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CD7E78"/>
    <w:rPr>
      <w:vertAlign w:val="superscript"/>
    </w:rPr>
  </w:style>
  <w:style w:type="paragraph" w:styleId="TOAHeading">
    <w:name w:val="toa heading"/>
    <w:basedOn w:val="Normal"/>
    <w:next w:val="Normal"/>
    <w:rsid w:val="00CD7E78"/>
    <w:pPr>
      <w:tabs>
        <w:tab w:val="right" w:pos="9360"/>
      </w:tabs>
      <w:suppressAutoHyphens/>
    </w:pPr>
  </w:style>
  <w:style w:type="character" w:customStyle="1" w:styleId="EquationCaption">
    <w:name w:val="_Equation Caption"/>
    <w:rsid w:val="00CD7E78"/>
  </w:style>
  <w:style w:type="paragraph" w:customStyle="1" w:styleId="Paratitle">
    <w:name w:val="Para title"/>
    <w:basedOn w:val="Normal"/>
    <w:rsid w:val="00CD7E78"/>
    <w:pPr>
      <w:tabs>
        <w:tab w:val="center" w:pos="9270"/>
      </w:tabs>
      <w:spacing w:after="240"/>
    </w:pPr>
    <w:rPr>
      <w:spacing w:val="-2"/>
    </w:rPr>
  </w:style>
  <w:style w:type="paragraph" w:customStyle="1" w:styleId="TOCTitle">
    <w:name w:val="TOC Title"/>
    <w:basedOn w:val="Normal"/>
    <w:rsid w:val="00CD7E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7E78"/>
    <w:pPr>
      <w:jc w:val="center"/>
    </w:pPr>
    <w:rPr>
      <w:rFonts w:ascii="Times New Roman Bold" w:hAnsi="Times New Roman Bold"/>
      <w:b/>
      <w:bCs/>
      <w:caps/>
      <w:szCs w:val="22"/>
    </w:rPr>
  </w:style>
  <w:style w:type="character" w:styleId="Hyperlink">
    <w:name w:val="Hyperlink"/>
    <w:rsid w:val="00CD7E78"/>
    <w:rPr>
      <w:color w:val="0000FF"/>
      <w:u w:val="single"/>
    </w:rPr>
  </w:style>
  <w:style w:type="character" w:customStyle="1" w:styleId="FooterChar">
    <w:name w:val="Footer Char"/>
    <w:link w:val="Footer"/>
    <w:uiPriority w:val="99"/>
    <w:rsid w:val="00CD7E78"/>
    <w:rPr>
      <w:snapToGrid w:val="0"/>
      <w:kern w:val="28"/>
      <w:sz w:val="22"/>
    </w:rPr>
  </w:style>
  <w:style w:type="paragraph" w:styleId="BalloonText">
    <w:name w:val="Balloon Text"/>
    <w:basedOn w:val="Normal"/>
    <w:link w:val="BalloonTextChar"/>
    <w:rsid w:val="0041676B"/>
    <w:rPr>
      <w:rFonts w:ascii="Segoe UI" w:hAnsi="Segoe UI" w:cs="Segoe UI"/>
      <w:sz w:val="18"/>
      <w:szCs w:val="18"/>
    </w:rPr>
  </w:style>
  <w:style w:type="character" w:customStyle="1" w:styleId="BalloonTextChar">
    <w:name w:val="Balloon Text Char"/>
    <w:basedOn w:val="DefaultParagraphFont"/>
    <w:link w:val="BalloonText"/>
    <w:rsid w:val="0041676B"/>
    <w:rPr>
      <w:rFonts w:ascii="Segoe UI" w:hAnsi="Segoe UI" w:cs="Segoe UI"/>
      <w:snapToGrid w:val="0"/>
      <w:kern w:val="28"/>
      <w:sz w:val="18"/>
      <w:szCs w:val="18"/>
    </w:rPr>
  </w:style>
  <w:style w:type="character" w:customStyle="1" w:styleId="ParaNumChar">
    <w:name w:val="ParaNum Char"/>
    <w:link w:val="ParaNum"/>
    <w:locked/>
    <w:rsid w:val="0041676B"/>
    <w:rPr>
      <w:snapToGrid w:val="0"/>
      <w:kern w:val="28"/>
      <w:sz w:val="22"/>
    </w:rPr>
  </w:style>
  <w:style w:type="character" w:styleId="CommentReference">
    <w:name w:val="annotation reference"/>
    <w:basedOn w:val="DefaultParagraphFont"/>
    <w:semiHidden/>
    <w:unhideWhenUsed/>
    <w:rsid w:val="0068369B"/>
    <w:rPr>
      <w:sz w:val="16"/>
      <w:szCs w:val="16"/>
    </w:rPr>
  </w:style>
  <w:style w:type="paragraph" w:styleId="CommentText">
    <w:name w:val="annotation text"/>
    <w:basedOn w:val="Normal"/>
    <w:link w:val="CommentTextChar"/>
    <w:semiHidden/>
    <w:unhideWhenUsed/>
    <w:rsid w:val="0068369B"/>
    <w:rPr>
      <w:sz w:val="20"/>
    </w:rPr>
  </w:style>
  <w:style w:type="character" w:customStyle="1" w:styleId="CommentTextChar">
    <w:name w:val="Comment Text Char"/>
    <w:basedOn w:val="DefaultParagraphFont"/>
    <w:link w:val="CommentText"/>
    <w:semiHidden/>
    <w:rsid w:val="0068369B"/>
    <w:rPr>
      <w:snapToGrid w:val="0"/>
      <w:kern w:val="28"/>
    </w:rPr>
  </w:style>
  <w:style w:type="paragraph" w:styleId="CommentSubject">
    <w:name w:val="annotation subject"/>
    <w:basedOn w:val="CommentText"/>
    <w:next w:val="CommentText"/>
    <w:link w:val="CommentSubjectChar"/>
    <w:semiHidden/>
    <w:unhideWhenUsed/>
    <w:rsid w:val="0068369B"/>
    <w:rPr>
      <w:b/>
      <w:bCs/>
    </w:rPr>
  </w:style>
  <w:style w:type="character" w:customStyle="1" w:styleId="CommentSubjectChar">
    <w:name w:val="Comment Subject Char"/>
    <w:basedOn w:val="CommentTextChar"/>
    <w:link w:val="CommentSubject"/>
    <w:semiHidden/>
    <w:rsid w:val="0068369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