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D30B0" w:rsidRPr="00BC6785" w:rsidP="00BC6785" w14:paraId="10AE1D93" w14:textId="77777777">
      <w:pPr>
        <w:rPr>
          <w:sz w:val="22"/>
          <w:szCs w:val="22"/>
        </w:rPr>
      </w:pPr>
      <w:bookmarkStart w:id="0" w:name="_Hlk37967926"/>
      <w:bookmarkStart w:id="1" w:name="_GoBack"/>
      <w:bookmarkEnd w:id="1"/>
    </w:p>
    <w:p w:rsidR="00204902" w:rsidRPr="00BC6785" w:rsidP="00BC6785" w14:paraId="506E1FE1" w14:textId="00FEBD76">
      <w:pPr>
        <w:jc w:val="center"/>
        <w:rPr>
          <w:b/>
          <w:sz w:val="22"/>
          <w:szCs w:val="22"/>
        </w:rPr>
      </w:pPr>
      <w:r w:rsidRPr="00BC6785">
        <w:rPr>
          <w:b/>
          <w:sz w:val="22"/>
          <w:szCs w:val="22"/>
        </w:rPr>
        <w:t xml:space="preserve">REMARKS OF FCC </w:t>
      </w:r>
      <w:r w:rsidRPr="00BC6785" w:rsidR="0077424C">
        <w:rPr>
          <w:b/>
          <w:sz w:val="22"/>
          <w:szCs w:val="22"/>
        </w:rPr>
        <w:t>CHIEF OF STAFF MATTHEW BERRY</w:t>
      </w:r>
    </w:p>
    <w:p w:rsidR="00204902" w:rsidRPr="00BC6785" w:rsidP="00BC6785" w14:paraId="0C82792D" w14:textId="7B94D2F6">
      <w:pPr>
        <w:spacing w:after="240"/>
        <w:jc w:val="center"/>
        <w:rPr>
          <w:b/>
          <w:bCs/>
          <w:sz w:val="22"/>
          <w:szCs w:val="22"/>
        </w:rPr>
      </w:pPr>
      <w:r w:rsidRPr="00BC6785">
        <w:rPr>
          <w:b/>
          <w:bCs/>
          <w:sz w:val="22"/>
          <w:szCs w:val="22"/>
        </w:rPr>
        <w:t xml:space="preserve">AT THE </w:t>
      </w:r>
      <w:r w:rsidRPr="00BC6785" w:rsidR="0077424C">
        <w:rPr>
          <w:b/>
          <w:bCs/>
          <w:sz w:val="22"/>
          <w:szCs w:val="22"/>
        </w:rPr>
        <w:t>9</w:t>
      </w:r>
      <w:r w:rsidRPr="00BC6785" w:rsidR="0077424C">
        <w:rPr>
          <w:b/>
          <w:bCs/>
          <w:sz w:val="22"/>
          <w:szCs w:val="22"/>
          <w:vertAlign w:val="superscript"/>
        </w:rPr>
        <w:t>th</w:t>
      </w:r>
      <w:r w:rsidRPr="00BC6785" w:rsidR="0077424C">
        <w:rPr>
          <w:b/>
          <w:bCs/>
          <w:sz w:val="22"/>
          <w:szCs w:val="22"/>
        </w:rPr>
        <w:t xml:space="preserve"> ANNUAL AMERICAS SPECTRUM MANAGEMENT CONFERENCE</w:t>
      </w:r>
      <w:r w:rsidRPr="00BC6785">
        <w:rPr>
          <w:b/>
          <w:bCs/>
          <w:sz w:val="22"/>
          <w:szCs w:val="22"/>
        </w:rPr>
        <w:t xml:space="preserve"> </w:t>
      </w:r>
    </w:p>
    <w:p w:rsidR="00C10DAD" w:rsidRPr="00BC6785" w:rsidP="00BC6785" w14:paraId="02680BFC" w14:textId="3C4841CC">
      <w:pPr>
        <w:jc w:val="center"/>
        <w:rPr>
          <w:b/>
          <w:sz w:val="22"/>
          <w:szCs w:val="22"/>
        </w:rPr>
      </w:pPr>
      <w:r w:rsidRPr="00BC6785">
        <w:rPr>
          <w:b/>
          <w:sz w:val="22"/>
          <w:szCs w:val="22"/>
        </w:rPr>
        <w:t>PANEL ON “COVID-19—WHAT IMPACT AND LESSONS FOR THE SPECTRUM COMMUNITY?”</w:t>
      </w:r>
      <w:r w:rsidRPr="00BC6785" w:rsidR="00674BCB">
        <w:rPr>
          <w:b/>
          <w:sz w:val="22"/>
          <w:szCs w:val="22"/>
        </w:rPr>
        <w:t xml:space="preserve"> </w:t>
      </w:r>
    </w:p>
    <w:p w:rsidR="00204902" w:rsidRPr="00BC6785" w:rsidP="00BC6785" w14:paraId="582F5D09" w14:textId="77777777">
      <w:pPr>
        <w:jc w:val="center"/>
        <w:rPr>
          <w:b/>
          <w:sz w:val="22"/>
          <w:szCs w:val="22"/>
        </w:rPr>
      </w:pPr>
    </w:p>
    <w:p w:rsidR="00D77F36" w:rsidRPr="00BC6785" w:rsidP="00BC6785" w14:paraId="0303DB6E" w14:textId="0DAFC470">
      <w:pPr>
        <w:spacing w:after="120"/>
        <w:jc w:val="center"/>
        <w:rPr>
          <w:b/>
          <w:sz w:val="22"/>
          <w:szCs w:val="22"/>
        </w:rPr>
      </w:pPr>
      <w:r w:rsidRPr="00BC6785">
        <w:rPr>
          <w:b/>
          <w:sz w:val="22"/>
          <w:szCs w:val="22"/>
        </w:rPr>
        <w:t>OCTOBER 12</w:t>
      </w:r>
      <w:r w:rsidRPr="00BC6785" w:rsidR="00674BCB">
        <w:rPr>
          <w:b/>
          <w:sz w:val="22"/>
          <w:szCs w:val="22"/>
        </w:rPr>
        <w:t>, 2020</w:t>
      </w:r>
    </w:p>
    <w:p w:rsidR="00D1124E" w:rsidP="00BC6785" w14:paraId="12A8E6B5" w14:textId="77777777">
      <w:pPr>
        <w:spacing w:after="120"/>
        <w:ind w:firstLine="720"/>
        <w:rPr>
          <w:sz w:val="22"/>
          <w:szCs w:val="22"/>
          <w:lang w:val="en-GB"/>
        </w:rPr>
      </w:pPr>
    </w:p>
    <w:p w:rsidR="005D3C09" w:rsidRPr="00BC6785" w:rsidP="00BC6785" w14:paraId="5FEE3A97" w14:textId="0C0D9EEF">
      <w:pPr>
        <w:spacing w:after="120"/>
        <w:ind w:firstLine="720"/>
        <w:rPr>
          <w:sz w:val="22"/>
          <w:szCs w:val="22"/>
          <w:lang w:val="en-GB"/>
        </w:rPr>
      </w:pPr>
      <w:r w:rsidRPr="00BC6785">
        <w:rPr>
          <w:sz w:val="22"/>
          <w:szCs w:val="22"/>
          <w:lang w:val="en-GB"/>
        </w:rPr>
        <w:t>Good morning.  Thank you</w:t>
      </w:r>
      <w:r w:rsidRPr="00BC6785" w:rsidR="0077424C">
        <w:rPr>
          <w:sz w:val="22"/>
          <w:szCs w:val="22"/>
          <w:lang w:val="en-GB"/>
        </w:rPr>
        <w:t>,</w:t>
      </w:r>
      <w:r w:rsidRPr="00BC6785">
        <w:rPr>
          <w:sz w:val="22"/>
          <w:szCs w:val="22"/>
          <w:lang w:val="en-GB"/>
        </w:rPr>
        <w:t xml:space="preserve"> Johanne</w:t>
      </w:r>
      <w:r w:rsidR="00D1124E">
        <w:rPr>
          <w:sz w:val="22"/>
          <w:szCs w:val="22"/>
          <w:lang w:val="en-GB"/>
        </w:rPr>
        <w:t xml:space="preserve">.  </w:t>
      </w:r>
      <w:r w:rsidRPr="00BC6785" w:rsidR="0077424C">
        <w:rPr>
          <w:sz w:val="22"/>
          <w:szCs w:val="22"/>
          <w:lang w:val="en-GB"/>
        </w:rPr>
        <w:t xml:space="preserve">It’s great to be with all of you, and </w:t>
      </w:r>
      <w:r w:rsidRPr="00BC6785" w:rsidR="00813557">
        <w:rPr>
          <w:sz w:val="22"/>
          <w:szCs w:val="22"/>
          <w:lang w:val="en-GB"/>
        </w:rPr>
        <w:t xml:space="preserve">I look forward to a lively discussion with my fellow </w:t>
      </w:r>
      <w:r w:rsidRPr="00BC6785" w:rsidR="00813557">
        <w:rPr>
          <w:sz w:val="22"/>
          <w:szCs w:val="22"/>
          <w:lang w:val="en-GB"/>
        </w:rPr>
        <w:t>panelists</w:t>
      </w:r>
      <w:r w:rsidRPr="00BC6785" w:rsidR="00813557">
        <w:rPr>
          <w:sz w:val="22"/>
          <w:szCs w:val="22"/>
          <w:lang w:val="en-GB"/>
        </w:rPr>
        <w:t xml:space="preserve"> </w:t>
      </w:r>
      <w:r w:rsidR="00D1124E">
        <w:rPr>
          <w:sz w:val="22"/>
          <w:szCs w:val="22"/>
          <w:lang w:val="en-GB"/>
        </w:rPr>
        <w:t>Miguel,</w:t>
      </w:r>
      <w:r w:rsidRPr="00BC6785" w:rsidR="00813557">
        <w:rPr>
          <w:sz w:val="22"/>
          <w:szCs w:val="22"/>
          <w:lang w:val="en-GB"/>
        </w:rPr>
        <w:t xml:space="preserve"> </w:t>
      </w:r>
      <w:r w:rsidR="006D58FE">
        <w:rPr>
          <w:sz w:val="22"/>
          <w:szCs w:val="22"/>
          <w:lang w:val="en-GB"/>
        </w:rPr>
        <w:t>Scott</w:t>
      </w:r>
      <w:r w:rsidR="00D1124E">
        <w:rPr>
          <w:sz w:val="22"/>
          <w:szCs w:val="22"/>
          <w:lang w:val="en-GB"/>
        </w:rPr>
        <w:t xml:space="preserve">, and </w:t>
      </w:r>
      <w:r w:rsidR="006D58FE">
        <w:rPr>
          <w:sz w:val="22"/>
          <w:szCs w:val="22"/>
          <w:lang w:val="en-GB"/>
        </w:rPr>
        <w:t>Tom.</w:t>
      </w:r>
    </w:p>
    <w:p w:rsidR="00693ECA" w:rsidRPr="00BC6785" w:rsidP="00BC6785" w14:paraId="000B5D31" w14:textId="7DEAAC25">
      <w:pPr>
        <w:spacing w:after="120"/>
        <w:ind w:firstLine="720"/>
        <w:rPr>
          <w:sz w:val="22"/>
          <w:szCs w:val="22"/>
          <w:lang w:val="en-GB"/>
        </w:rPr>
      </w:pPr>
      <w:r w:rsidRPr="00BC6785">
        <w:rPr>
          <w:sz w:val="22"/>
          <w:szCs w:val="22"/>
          <w:lang w:val="en-GB"/>
        </w:rPr>
        <w:t xml:space="preserve">Earlier this </w:t>
      </w:r>
      <w:r w:rsidRPr="00BC6785" w:rsidR="00DC6AE4">
        <w:rPr>
          <w:sz w:val="22"/>
          <w:szCs w:val="22"/>
          <w:lang w:val="en-GB"/>
        </w:rPr>
        <w:t xml:space="preserve">morning, </w:t>
      </w:r>
      <w:r w:rsidRPr="00BC6785">
        <w:rPr>
          <w:sz w:val="22"/>
          <w:szCs w:val="22"/>
          <w:lang w:val="en-GB"/>
        </w:rPr>
        <w:t xml:space="preserve">Chairman Pai </w:t>
      </w:r>
      <w:r w:rsidRPr="00BC6785" w:rsidR="00DC6AE4">
        <w:rPr>
          <w:sz w:val="22"/>
          <w:szCs w:val="22"/>
          <w:lang w:val="en-GB"/>
        </w:rPr>
        <w:t>kicked off this conference with</w:t>
      </w:r>
      <w:r w:rsidRPr="00BC6785">
        <w:rPr>
          <w:sz w:val="22"/>
          <w:szCs w:val="22"/>
          <w:lang w:val="en-GB"/>
        </w:rPr>
        <w:t xml:space="preserve"> a</w:t>
      </w:r>
      <w:r w:rsidRPr="00BC6785">
        <w:rPr>
          <w:sz w:val="22"/>
          <w:szCs w:val="22"/>
          <w:lang w:val="en-GB"/>
        </w:rPr>
        <w:t xml:space="preserve"> summary</w:t>
      </w:r>
      <w:r w:rsidRPr="00BC6785">
        <w:rPr>
          <w:sz w:val="22"/>
          <w:szCs w:val="22"/>
          <w:lang w:val="en-GB"/>
        </w:rPr>
        <w:t xml:space="preserve"> of the </w:t>
      </w:r>
      <w:r w:rsidRPr="00BC6785" w:rsidR="0040140F">
        <w:rPr>
          <w:sz w:val="22"/>
          <w:szCs w:val="22"/>
          <w:lang w:val="en-GB"/>
        </w:rPr>
        <w:t xml:space="preserve">Commission’s </w:t>
      </w:r>
      <w:r w:rsidRPr="00BC6785">
        <w:rPr>
          <w:sz w:val="22"/>
          <w:szCs w:val="22"/>
          <w:lang w:val="en-GB"/>
        </w:rPr>
        <w:t xml:space="preserve">efforts to promote </w:t>
      </w:r>
      <w:r w:rsidR="00D1124E">
        <w:rPr>
          <w:sz w:val="22"/>
          <w:szCs w:val="22"/>
          <w:lang w:val="en-GB"/>
        </w:rPr>
        <w:t>United States</w:t>
      </w:r>
      <w:r w:rsidRPr="00BC6785">
        <w:rPr>
          <w:sz w:val="22"/>
          <w:szCs w:val="22"/>
          <w:lang w:val="en-GB"/>
        </w:rPr>
        <w:t xml:space="preserve"> leadership in </w:t>
      </w:r>
      <w:r w:rsidRPr="00BC6785" w:rsidR="0040140F">
        <w:rPr>
          <w:sz w:val="22"/>
          <w:szCs w:val="22"/>
          <w:lang w:val="en-GB"/>
        </w:rPr>
        <w:t xml:space="preserve">5G.  He noted how </w:t>
      </w:r>
      <w:r w:rsidRPr="00BC6785" w:rsidR="0040140F">
        <w:rPr>
          <w:sz w:val="22"/>
          <w:szCs w:val="22"/>
          <w:lang w:val="en-GB"/>
        </w:rPr>
        <w:t>all of</w:t>
      </w:r>
      <w:r w:rsidRPr="00BC6785" w:rsidR="0040140F">
        <w:rPr>
          <w:sz w:val="22"/>
          <w:szCs w:val="22"/>
          <w:lang w:val="en-GB"/>
        </w:rPr>
        <w:t xml:space="preserve"> our major initiatives </w:t>
      </w:r>
      <w:r w:rsidRPr="00BC6785">
        <w:rPr>
          <w:sz w:val="22"/>
          <w:szCs w:val="22"/>
          <w:lang w:val="en-GB"/>
        </w:rPr>
        <w:t xml:space="preserve">over the past two years </w:t>
      </w:r>
      <w:r w:rsidRPr="00BC6785" w:rsidR="00DC6AE4">
        <w:rPr>
          <w:sz w:val="22"/>
          <w:szCs w:val="22"/>
          <w:lang w:val="en-GB"/>
        </w:rPr>
        <w:t>had been</w:t>
      </w:r>
      <w:r w:rsidRPr="00BC6785">
        <w:rPr>
          <w:sz w:val="22"/>
          <w:szCs w:val="22"/>
          <w:lang w:val="en-GB"/>
        </w:rPr>
        <w:t xml:space="preserve"> laid out in his 2018 remarks at this very conference.  </w:t>
      </w:r>
      <w:r w:rsidR="002819EA">
        <w:rPr>
          <w:sz w:val="22"/>
          <w:szCs w:val="22"/>
          <w:lang w:val="en-GB"/>
        </w:rPr>
        <w:t>But w</w:t>
      </w:r>
      <w:r w:rsidRPr="00BC6785">
        <w:rPr>
          <w:sz w:val="22"/>
          <w:szCs w:val="22"/>
          <w:lang w:val="en-GB"/>
        </w:rPr>
        <w:t>hile we knew</w:t>
      </w:r>
      <w:r w:rsidRPr="00BC6785" w:rsidR="00DC6AE4">
        <w:rPr>
          <w:sz w:val="22"/>
          <w:szCs w:val="22"/>
          <w:lang w:val="en-GB"/>
        </w:rPr>
        <w:t xml:space="preserve"> long ago </w:t>
      </w:r>
      <w:r w:rsidRPr="00BC6785">
        <w:rPr>
          <w:sz w:val="22"/>
          <w:szCs w:val="22"/>
          <w:lang w:val="en-GB"/>
        </w:rPr>
        <w:t xml:space="preserve">that we would be spending </w:t>
      </w:r>
      <w:r w:rsidRPr="00BC6785" w:rsidR="00DC6AE4">
        <w:rPr>
          <w:sz w:val="22"/>
          <w:szCs w:val="22"/>
          <w:lang w:val="en-GB"/>
        </w:rPr>
        <w:t xml:space="preserve">the past few years repurposing spectrum for commercial use and removing barriers to infrastructure </w:t>
      </w:r>
      <w:r w:rsidR="002819EA">
        <w:rPr>
          <w:sz w:val="22"/>
          <w:szCs w:val="22"/>
          <w:lang w:val="en-GB"/>
        </w:rPr>
        <w:t>deployment</w:t>
      </w:r>
      <w:r w:rsidRPr="00BC6785" w:rsidR="00DC6AE4">
        <w:rPr>
          <w:sz w:val="22"/>
          <w:szCs w:val="22"/>
          <w:lang w:val="en-GB"/>
        </w:rPr>
        <w:t xml:space="preserve">, I </w:t>
      </w:r>
      <w:r w:rsidR="00E604DF">
        <w:rPr>
          <w:sz w:val="22"/>
          <w:szCs w:val="22"/>
          <w:lang w:val="en-GB"/>
        </w:rPr>
        <w:t>did not foresee</w:t>
      </w:r>
      <w:r w:rsidRPr="00BC6785" w:rsidR="00DC6AE4">
        <w:rPr>
          <w:sz w:val="22"/>
          <w:szCs w:val="22"/>
          <w:lang w:val="en-GB"/>
        </w:rPr>
        <w:t xml:space="preserve"> that we would spend most of 2020 dealing with a once-in-a-century pandemic. </w:t>
      </w:r>
    </w:p>
    <w:p w:rsidR="002819EA" w:rsidP="00BC6785" w14:paraId="4A894BD4" w14:textId="47C48118">
      <w:pPr>
        <w:spacing w:after="120"/>
        <w:ind w:firstLine="720"/>
        <w:rPr>
          <w:sz w:val="22"/>
          <w:szCs w:val="22"/>
          <w:lang w:val="en-GB"/>
        </w:rPr>
      </w:pPr>
      <w:r>
        <w:rPr>
          <w:sz w:val="22"/>
          <w:szCs w:val="22"/>
          <w:lang w:val="en-GB"/>
        </w:rPr>
        <w:t xml:space="preserve">I’m proud of </w:t>
      </w:r>
      <w:r>
        <w:rPr>
          <w:sz w:val="22"/>
          <w:szCs w:val="22"/>
          <w:lang w:val="en-GB"/>
        </w:rPr>
        <w:t>all of</w:t>
      </w:r>
      <w:r>
        <w:rPr>
          <w:sz w:val="22"/>
          <w:szCs w:val="22"/>
          <w:lang w:val="en-GB"/>
        </w:rPr>
        <w:t xml:space="preserve"> the FCC’s efforts to keep Americans connected during this difficult time.  But this morning, given the topic of the panel, I’d like to focus on our work on the spectrum front.  When the pandemic hit, we </w:t>
      </w:r>
      <w:r w:rsidR="00321837">
        <w:rPr>
          <w:sz w:val="22"/>
          <w:szCs w:val="22"/>
          <w:lang w:val="en-GB"/>
        </w:rPr>
        <w:t>understood</w:t>
      </w:r>
      <w:r>
        <w:rPr>
          <w:sz w:val="22"/>
          <w:szCs w:val="22"/>
          <w:lang w:val="en-GB"/>
        </w:rPr>
        <w:t xml:space="preserve"> that increased demand would be placed on our nation’s broadband networks as Americans engaged in social distancing.  And with respect to wireless </w:t>
      </w:r>
      <w:r>
        <w:rPr>
          <w:sz w:val="22"/>
          <w:szCs w:val="22"/>
          <w:lang w:val="en-GB"/>
        </w:rPr>
        <w:t>broadband in particular, we</w:t>
      </w:r>
      <w:r>
        <w:rPr>
          <w:sz w:val="22"/>
          <w:szCs w:val="22"/>
          <w:lang w:val="en-GB"/>
        </w:rPr>
        <w:t xml:space="preserve"> quickly recognized that one of our most effective tools for meeting increased consumer demand would be </w:t>
      </w:r>
      <w:r w:rsidR="00E604DF">
        <w:rPr>
          <w:sz w:val="22"/>
          <w:szCs w:val="22"/>
          <w:lang w:val="en-GB"/>
        </w:rPr>
        <w:t>giving</w:t>
      </w:r>
      <w:r>
        <w:rPr>
          <w:sz w:val="22"/>
          <w:szCs w:val="22"/>
          <w:lang w:val="en-GB"/>
        </w:rPr>
        <w:t xml:space="preserve"> providers temporary access to additional spectrum.  </w:t>
      </w:r>
    </w:p>
    <w:p w:rsidR="004D42C6" w:rsidRPr="00BC6785" w:rsidP="00BC6785" w14:paraId="6FB5C971" w14:textId="26D07454">
      <w:pPr>
        <w:spacing w:after="120"/>
        <w:ind w:firstLine="720"/>
        <w:rPr>
          <w:sz w:val="22"/>
          <w:szCs w:val="22"/>
        </w:rPr>
      </w:pPr>
      <w:r>
        <w:rPr>
          <w:sz w:val="22"/>
          <w:szCs w:val="22"/>
          <w:lang w:val="en-GB"/>
        </w:rPr>
        <w:t>So o</w:t>
      </w:r>
      <w:r w:rsidR="002819EA">
        <w:rPr>
          <w:sz w:val="22"/>
          <w:szCs w:val="22"/>
          <w:lang w:val="en-GB"/>
        </w:rPr>
        <w:t xml:space="preserve">n </w:t>
      </w:r>
      <w:r w:rsidRPr="00BC6785">
        <w:rPr>
          <w:sz w:val="22"/>
          <w:szCs w:val="22"/>
        </w:rPr>
        <w:t xml:space="preserve">March 15, </w:t>
      </w:r>
      <w:r w:rsidR="002819EA">
        <w:rPr>
          <w:sz w:val="22"/>
          <w:szCs w:val="22"/>
        </w:rPr>
        <w:t xml:space="preserve">just two days after the President declared the COVID-19 outbreak to be a national emergency, </w:t>
      </w:r>
      <w:r w:rsidRPr="00BC6785">
        <w:rPr>
          <w:sz w:val="22"/>
          <w:szCs w:val="22"/>
        </w:rPr>
        <w:t xml:space="preserve">we granted our first Special Temporary Authority—or STA—to </w:t>
      </w:r>
      <w:r w:rsidR="00BC6FEA">
        <w:rPr>
          <w:sz w:val="22"/>
          <w:szCs w:val="22"/>
        </w:rPr>
        <w:t xml:space="preserve">respond to the crisis, allowing </w:t>
      </w:r>
      <w:r w:rsidRPr="00BC6785">
        <w:rPr>
          <w:sz w:val="22"/>
          <w:szCs w:val="22"/>
        </w:rPr>
        <w:t xml:space="preserve">T-Mobile to use additional spectrum in the 600 MHz Band.  </w:t>
      </w:r>
    </w:p>
    <w:p w:rsidR="00BC6FEA" w:rsidP="00BC6FEA" w14:paraId="14BCF041" w14:textId="390C8F9C">
      <w:pPr>
        <w:spacing w:after="120"/>
        <w:ind w:firstLine="720"/>
        <w:rPr>
          <w:sz w:val="22"/>
          <w:szCs w:val="22"/>
        </w:rPr>
      </w:pPr>
      <w:r>
        <w:rPr>
          <w:sz w:val="22"/>
          <w:szCs w:val="22"/>
        </w:rPr>
        <w:t>And that was just the beginning.  Our strategy was to grant access to additional spectrum wherever possible and wherever it could make a difference.</w:t>
      </w:r>
    </w:p>
    <w:p w:rsidR="00CA2690" w:rsidP="00BC6FEA" w14:paraId="69856505" w14:textId="22E180AF">
      <w:pPr>
        <w:spacing w:after="120"/>
        <w:ind w:firstLine="720"/>
        <w:rPr>
          <w:sz w:val="22"/>
          <w:szCs w:val="22"/>
        </w:rPr>
      </w:pPr>
      <w:r>
        <w:rPr>
          <w:sz w:val="22"/>
          <w:szCs w:val="22"/>
        </w:rPr>
        <w:t>So, for example,</w:t>
      </w:r>
      <w:r w:rsidRPr="00BC6FEA">
        <w:rPr>
          <w:sz w:val="22"/>
          <w:szCs w:val="22"/>
        </w:rPr>
        <w:t xml:space="preserve"> </w:t>
      </w:r>
      <w:r>
        <w:rPr>
          <w:sz w:val="22"/>
          <w:szCs w:val="22"/>
        </w:rPr>
        <w:t>since that first STA grant on March 15,</w:t>
      </w:r>
      <w:r w:rsidRPr="00BC6FEA">
        <w:rPr>
          <w:sz w:val="22"/>
          <w:szCs w:val="22"/>
        </w:rPr>
        <w:t xml:space="preserve"> we approved an additional 23 STAs </w:t>
      </w:r>
      <w:r>
        <w:rPr>
          <w:sz w:val="22"/>
          <w:szCs w:val="22"/>
        </w:rPr>
        <w:t xml:space="preserve">in </w:t>
      </w:r>
      <w:r w:rsidRPr="00BC6FEA">
        <w:rPr>
          <w:sz w:val="22"/>
          <w:szCs w:val="22"/>
        </w:rPr>
        <w:t xml:space="preserve">the 600 MHz band.  </w:t>
      </w:r>
    </w:p>
    <w:p w:rsidR="00BC6FEA" w:rsidRPr="00BC6FEA" w:rsidP="00BC6FEA" w14:paraId="66B842C0" w14:textId="77777777">
      <w:pPr>
        <w:spacing w:after="120"/>
        <w:ind w:firstLine="720"/>
        <w:rPr>
          <w:sz w:val="22"/>
          <w:szCs w:val="22"/>
        </w:rPr>
      </w:pPr>
      <w:r w:rsidRPr="00BC6FEA">
        <w:rPr>
          <w:sz w:val="22"/>
          <w:szCs w:val="22"/>
        </w:rPr>
        <w:t xml:space="preserve">We granted STAs to AT&amp;T, U.S. Cellular, and Verizon to use AWS-3 spectrum to expand the capacity of their networks.  </w:t>
      </w:r>
    </w:p>
    <w:p w:rsidR="00BC6FEA" w:rsidRPr="00BC6785" w:rsidP="00BC6FEA" w14:paraId="20763901" w14:textId="59E1F29A">
      <w:pPr>
        <w:spacing w:after="120"/>
        <w:ind w:firstLine="720"/>
        <w:rPr>
          <w:sz w:val="22"/>
          <w:szCs w:val="22"/>
        </w:rPr>
      </w:pPr>
      <w:r w:rsidRPr="00BC6FEA">
        <w:rPr>
          <w:sz w:val="22"/>
          <w:szCs w:val="22"/>
        </w:rPr>
        <w:t xml:space="preserve">We also granted AT&amp;T temporary authority to use spectrum licensed to DISH in the AWS-4 band for the purpose of boosting network coverage in Puerto Rico and the </w:t>
      </w:r>
      <w:r w:rsidR="00E604DF">
        <w:rPr>
          <w:sz w:val="22"/>
          <w:szCs w:val="22"/>
        </w:rPr>
        <w:t xml:space="preserve">U.S. </w:t>
      </w:r>
      <w:r w:rsidRPr="00BC6FEA">
        <w:rPr>
          <w:sz w:val="22"/>
          <w:szCs w:val="22"/>
        </w:rPr>
        <w:t>Virgin Islands.</w:t>
      </w:r>
    </w:p>
    <w:p w:rsidR="00521F1B" w:rsidRPr="00BC6785" w:rsidP="00BC6FEA" w14:paraId="641EF063" w14:textId="6C96EC76">
      <w:pPr>
        <w:spacing w:after="120"/>
        <w:ind w:firstLine="720"/>
        <w:rPr>
          <w:sz w:val="22"/>
          <w:szCs w:val="22"/>
        </w:rPr>
      </w:pPr>
      <w:r w:rsidRPr="00BC6785">
        <w:rPr>
          <w:sz w:val="22"/>
          <w:szCs w:val="22"/>
        </w:rPr>
        <w:t>W</w:t>
      </w:r>
      <w:r w:rsidRPr="00BC6785" w:rsidR="00CA2690">
        <w:rPr>
          <w:sz w:val="22"/>
          <w:szCs w:val="22"/>
        </w:rPr>
        <w:t xml:space="preserve">e </w:t>
      </w:r>
      <w:r w:rsidR="00BC6FEA">
        <w:rPr>
          <w:sz w:val="22"/>
          <w:szCs w:val="22"/>
        </w:rPr>
        <w:t>allowed</w:t>
      </w:r>
      <w:r w:rsidRPr="00BC6785" w:rsidR="00CA2690">
        <w:rPr>
          <w:sz w:val="22"/>
          <w:szCs w:val="22"/>
        </w:rPr>
        <w:t xml:space="preserve"> dozens of fixed wireless Internet service providers to use the lower 45 megahertz of spectrum in the 5.9 GHz band.</w:t>
      </w:r>
      <w:r w:rsidRPr="00BC6785" w:rsidR="00B93D10">
        <w:rPr>
          <w:sz w:val="22"/>
          <w:szCs w:val="22"/>
        </w:rPr>
        <w:t xml:space="preserve">  These WISPs</w:t>
      </w:r>
      <w:r w:rsidRPr="00BC6785" w:rsidR="00CA2690">
        <w:rPr>
          <w:sz w:val="22"/>
          <w:szCs w:val="22"/>
        </w:rPr>
        <w:t xml:space="preserve"> </w:t>
      </w:r>
      <w:r w:rsidRPr="00BC6785" w:rsidR="00B93D10">
        <w:rPr>
          <w:sz w:val="22"/>
          <w:szCs w:val="22"/>
        </w:rPr>
        <w:t>deliver Internet access to some of the hardest-to-connect rural communities in our country</w:t>
      </w:r>
      <w:r w:rsidR="00BC6FEA">
        <w:rPr>
          <w:sz w:val="22"/>
          <w:szCs w:val="22"/>
        </w:rPr>
        <w:t xml:space="preserve">, and these STAs have </w:t>
      </w:r>
      <w:r w:rsidR="00D8207F">
        <w:rPr>
          <w:sz w:val="22"/>
          <w:szCs w:val="22"/>
        </w:rPr>
        <w:t>made a difference</w:t>
      </w:r>
      <w:r w:rsidRPr="00BC6785" w:rsidR="00B93D10">
        <w:rPr>
          <w:sz w:val="22"/>
          <w:szCs w:val="22"/>
        </w:rPr>
        <w:t xml:space="preserve">.  </w:t>
      </w:r>
      <w:r w:rsidR="00BC6FEA">
        <w:rPr>
          <w:sz w:val="22"/>
          <w:szCs w:val="22"/>
        </w:rPr>
        <w:t>To give just two example</w:t>
      </w:r>
      <w:r w:rsidR="004D2C15">
        <w:rPr>
          <w:sz w:val="22"/>
          <w:szCs w:val="22"/>
        </w:rPr>
        <w:t>s</w:t>
      </w:r>
      <w:r w:rsidR="00BC6FEA">
        <w:rPr>
          <w:sz w:val="22"/>
          <w:szCs w:val="22"/>
        </w:rPr>
        <w:t xml:space="preserve">, </w:t>
      </w:r>
      <w:r w:rsidRPr="00BC6785" w:rsidR="00B93D10">
        <w:rPr>
          <w:sz w:val="22"/>
          <w:szCs w:val="22"/>
        </w:rPr>
        <w:t xml:space="preserve">Skynet360 in Florida City, Florida, used </w:t>
      </w:r>
      <w:r w:rsidR="00BC6FEA">
        <w:rPr>
          <w:sz w:val="22"/>
          <w:szCs w:val="22"/>
        </w:rPr>
        <w:t>a</w:t>
      </w:r>
      <w:r w:rsidRPr="00BC6785" w:rsidR="00B93D10">
        <w:rPr>
          <w:sz w:val="22"/>
          <w:szCs w:val="22"/>
        </w:rPr>
        <w:t xml:space="preserve"> 5.9 GHz STA to extend network access to over 100 homes in a rural area of the Florida Everglades.</w:t>
      </w:r>
      <w:r w:rsidRPr="00BC6785" w:rsidR="00B93D10">
        <w:rPr>
          <w:b/>
          <w:bCs/>
          <w:sz w:val="22"/>
          <w:szCs w:val="22"/>
        </w:rPr>
        <w:t xml:space="preserve">  </w:t>
      </w:r>
      <w:r w:rsidR="00BC6FEA">
        <w:rPr>
          <w:bCs/>
          <w:sz w:val="22"/>
          <w:szCs w:val="22"/>
        </w:rPr>
        <w:t>And</w:t>
      </w:r>
      <w:r w:rsidRPr="00BC6785" w:rsidR="00D63BC3">
        <w:rPr>
          <w:sz w:val="22"/>
          <w:szCs w:val="22"/>
        </w:rPr>
        <w:t xml:space="preserve"> </w:t>
      </w:r>
      <w:r w:rsidRPr="00BC6785" w:rsidR="00D63BC3">
        <w:rPr>
          <w:sz w:val="22"/>
          <w:szCs w:val="22"/>
        </w:rPr>
        <w:t>Amplex</w:t>
      </w:r>
      <w:r w:rsidRPr="00BC6785" w:rsidR="00D63BC3">
        <w:rPr>
          <w:sz w:val="22"/>
          <w:szCs w:val="22"/>
        </w:rPr>
        <w:t xml:space="preserve"> </w:t>
      </w:r>
      <w:r w:rsidR="00BC6FEA">
        <w:rPr>
          <w:sz w:val="22"/>
          <w:szCs w:val="22"/>
        </w:rPr>
        <w:t>i</w:t>
      </w:r>
      <w:r w:rsidR="00E604DF">
        <w:rPr>
          <w:sz w:val="22"/>
          <w:szCs w:val="22"/>
        </w:rPr>
        <w:t>n</w:t>
      </w:r>
      <w:r w:rsidRPr="00BC6785" w:rsidR="00D63BC3">
        <w:rPr>
          <w:sz w:val="22"/>
          <w:szCs w:val="22"/>
        </w:rPr>
        <w:t xml:space="preserve"> </w:t>
      </w:r>
      <w:r w:rsidRPr="00BC6785" w:rsidR="00D63BC3">
        <w:rPr>
          <w:sz w:val="22"/>
          <w:szCs w:val="22"/>
        </w:rPr>
        <w:t>Luckey</w:t>
      </w:r>
      <w:r w:rsidRPr="00BC6785" w:rsidR="00D63BC3">
        <w:rPr>
          <w:sz w:val="22"/>
          <w:szCs w:val="22"/>
        </w:rPr>
        <w:t xml:space="preserve">, Ohio, </w:t>
      </w:r>
      <w:r w:rsidR="00E604DF">
        <w:rPr>
          <w:sz w:val="22"/>
          <w:szCs w:val="22"/>
        </w:rPr>
        <w:t>reports</w:t>
      </w:r>
      <w:r w:rsidRPr="00BC6785" w:rsidR="00D63BC3">
        <w:rPr>
          <w:sz w:val="22"/>
          <w:szCs w:val="22"/>
        </w:rPr>
        <w:t xml:space="preserve"> that its 5.9 GHz STA helped</w:t>
      </w:r>
      <w:r w:rsidR="00357E1A">
        <w:rPr>
          <w:sz w:val="22"/>
          <w:szCs w:val="22"/>
        </w:rPr>
        <w:t xml:space="preserve"> </w:t>
      </w:r>
      <w:r w:rsidRPr="00BC6785" w:rsidR="00D63BC3">
        <w:rPr>
          <w:sz w:val="22"/>
          <w:szCs w:val="22"/>
        </w:rPr>
        <w:t xml:space="preserve">increase bandwidth across </w:t>
      </w:r>
      <w:r w:rsidR="00A53D32">
        <w:rPr>
          <w:sz w:val="22"/>
          <w:szCs w:val="22"/>
        </w:rPr>
        <w:t xml:space="preserve">its </w:t>
      </w:r>
      <w:r w:rsidRPr="00BC6785" w:rsidR="00D63BC3">
        <w:rPr>
          <w:sz w:val="22"/>
          <w:szCs w:val="22"/>
        </w:rPr>
        <w:t>network by 50% and handle a greater than 30% increase in traffic due to the pandemic.</w:t>
      </w:r>
      <w:r w:rsidR="00BC6FEA">
        <w:rPr>
          <w:sz w:val="22"/>
          <w:szCs w:val="22"/>
        </w:rPr>
        <w:t xml:space="preserve">  </w:t>
      </w:r>
      <w:r w:rsidRPr="00BC6785" w:rsidR="00B93D10">
        <w:rPr>
          <w:sz w:val="22"/>
          <w:szCs w:val="22"/>
        </w:rPr>
        <w:t>Altogether, the Commission has approved 160 STAs in the 5.</w:t>
      </w:r>
      <w:r w:rsidRPr="00BC6785">
        <w:rPr>
          <w:sz w:val="22"/>
          <w:szCs w:val="22"/>
        </w:rPr>
        <w:t xml:space="preserve">9 GHz band. </w:t>
      </w:r>
    </w:p>
    <w:p w:rsidR="004D42C6" w:rsidRPr="00BC6785" w:rsidP="00BC6785" w14:paraId="26B722E8" w14:textId="0F506065">
      <w:pPr>
        <w:spacing w:after="120"/>
        <w:ind w:firstLine="720"/>
        <w:rPr>
          <w:sz w:val="22"/>
          <w:szCs w:val="22"/>
        </w:rPr>
      </w:pPr>
      <w:r w:rsidRPr="00BC6785">
        <w:rPr>
          <w:sz w:val="22"/>
          <w:szCs w:val="22"/>
        </w:rPr>
        <w:t xml:space="preserve">Speaking of the hardest-to-serve communities, we approved the temporary use of unassigned 2.5 GHz spectrum to provide wireless broadband service over the reservation of the Pueblo of Zuni in New Mexico.  </w:t>
      </w:r>
      <w:r w:rsidR="00617EAA">
        <w:rPr>
          <w:sz w:val="22"/>
          <w:szCs w:val="22"/>
        </w:rPr>
        <w:t xml:space="preserve">We granted 2.5 GHz STAs </w:t>
      </w:r>
      <w:r w:rsidRPr="00617EAA" w:rsidR="00617EAA">
        <w:rPr>
          <w:sz w:val="22"/>
          <w:szCs w:val="22"/>
        </w:rPr>
        <w:t>to the Confederated Salish &amp; Kootenai Tribes, Santa Clara Pueblo, Lower Brule Sioux, Makah Tribe, and the Navajo Nation</w:t>
      </w:r>
      <w:r w:rsidR="00617EAA">
        <w:rPr>
          <w:sz w:val="22"/>
          <w:szCs w:val="22"/>
        </w:rPr>
        <w:t xml:space="preserve">.  </w:t>
      </w:r>
      <w:r w:rsidR="00BC6FEA">
        <w:rPr>
          <w:sz w:val="22"/>
          <w:szCs w:val="22"/>
        </w:rPr>
        <w:t>And w</w:t>
      </w:r>
      <w:r w:rsidRPr="00BC6785">
        <w:rPr>
          <w:sz w:val="22"/>
          <w:szCs w:val="22"/>
        </w:rPr>
        <w:t xml:space="preserve">e also approved temporary access to 2.5 </w:t>
      </w:r>
      <w:r w:rsidRPr="00BC6785">
        <w:rPr>
          <w:sz w:val="22"/>
          <w:szCs w:val="22"/>
        </w:rPr>
        <w:t xml:space="preserve">GHz spectrum to improve access to wireless broadband services in low-income, rural communities in Harlan County, Kentucky. </w:t>
      </w:r>
    </w:p>
    <w:p w:rsidR="00BC6785" w:rsidRPr="00BC6785" w:rsidP="00BC6785" w14:paraId="0311A1F8" w14:textId="7DED72AC">
      <w:pPr>
        <w:spacing w:after="120"/>
        <w:ind w:firstLine="720"/>
        <w:rPr>
          <w:sz w:val="22"/>
          <w:szCs w:val="22"/>
        </w:rPr>
      </w:pPr>
      <w:r>
        <w:rPr>
          <w:sz w:val="22"/>
          <w:szCs w:val="22"/>
        </w:rPr>
        <w:t>Of course, our efforts haven’t been limited to providing additional spectrum for use in</w:t>
      </w:r>
      <w:r w:rsidRPr="00BC6785">
        <w:rPr>
          <w:sz w:val="22"/>
          <w:szCs w:val="22"/>
        </w:rPr>
        <w:t xml:space="preserve"> remote areas.  </w:t>
      </w:r>
      <w:r>
        <w:rPr>
          <w:sz w:val="22"/>
          <w:szCs w:val="22"/>
        </w:rPr>
        <w:t>For example, w</w:t>
      </w:r>
      <w:r w:rsidRPr="00BC6785">
        <w:rPr>
          <w:sz w:val="22"/>
          <w:szCs w:val="22"/>
        </w:rPr>
        <w:t xml:space="preserve">e granted New York City </w:t>
      </w:r>
      <w:r>
        <w:rPr>
          <w:sz w:val="22"/>
          <w:szCs w:val="22"/>
        </w:rPr>
        <w:t>an STA</w:t>
      </w:r>
      <w:r w:rsidRPr="00BC6785">
        <w:rPr>
          <w:sz w:val="22"/>
          <w:szCs w:val="22"/>
        </w:rPr>
        <w:t xml:space="preserve"> to expand the capacity and coverage of </w:t>
      </w:r>
      <w:r>
        <w:rPr>
          <w:sz w:val="22"/>
          <w:szCs w:val="22"/>
        </w:rPr>
        <w:t>its Fire Department’s</w:t>
      </w:r>
      <w:r w:rsidRPr="00BC6785">
        <w:rPr>
          <w:sz w:val="22"/>
          <w:szCs w:val="22"/>
        </w:rPr>
        <w:t xml:space="preserve"> communications system using T-Band spectrum.  This increased bandwidth helped to support emergency medical dispatch operations during the coronavirus pandemic.  </w:t>
      </w:r>
    </w:p>
    <w:p w:rsidR="00D63BC3" w:rsidRPr="00BC6785" w:rsidP="00BC6785" w14:paraId="20BCBE8C" w14:textId="15D99818">
      <w:pPr>
        <w:spacing w:after="120"/>
        <w:ind w:firstLine="720"/>
        <w:rPr>
          <w:sz w:val="22"/>
          <w:szCs w:val="22"/>
        </w:rPr>
      </w:pPr>
      <w:r w:rsidRPr="00BC6785">
        <w:rPr>
          <w:sz w:val="22"/>
          <w:szCs w:val="22"/>
        </w:rPr>
        <w:t>We also approved 21 STAs for backhaul communications services in the 6 GHz, 11 GHz, 18 GHz, and 70/80/90 GHz bands.</w:t>
      </w:r>
    </w:p>
    <w:p w:rsidR="00D63BC3" w:rsidP="00BC6785" w14:paraId="1C145DAB" w14:textId="6A9A963B">
      <w:pPr>
        <w:spacing w:after="120"/>
        <w:rPr>
          <w:sz w:val="22"/>
          <w:szCs w:val="22"/>
        </w:rPr>
      </w:pPr>
      <w:r w:rsidRPr="00BC6785">
        <w:rPr>
          <w:sz w:val="22"/>
          <w:szCs w:val="22"/>
        </w:rPr>
        <w:tab/>
        <w:t xml:space="preserve">Add them all up, and the Commission has </w:t>
      </w:r>
      <w:r w:rsidR="00A53D32">
        <w:rPr>
          <w:sz w:val="22"/>
          <w:szCs w:val="22"/>
        </w:rPr>
        <w:t xml:space="preserve">so far </w:t>
      </w:r>
      <w:r w:rsidRPr="00BC6785">
        <w:rPr>
          <w:sz w:val="22"/>
          <w:szCs w:val="22"/>
        </w:rPr>
        <w:t>approved over 230 COVID</w:t>
      </w:r>
      <w:r w:rsidRPr="00BC6785" w:rsidR="00C37802">
        <w:rPr>
          <w:sz w:val="22"/>
          <w:szCs w:val="22"/>
        </w:rPr>
        <w:t>-</w:t>
      </w:r>
      <w:r w:rsidR="00E604DF">
        <w:rPr>
          <w:sz w:val="22"/>
          <w:szCs w:val="22"/>
        </w:rPr>
        <w:t xml:space="preserve">19 </w:t>
      </w:r>
      <w:r w:rsidRPr="00BC6785" w:rsidR="00C37802">
        <w:rPr>
          <w:sz w:val="22"/>
          <w:szCs w:val="22"/>
        </w:rPr>
        <w:t>related</w:t>
      </w:r>
      <w:r w:rsidRPr="00BC6785">
        <w:rPr>
          <w:sz w:val="22"/>
          <w:szCs w:val="22"/>
        </w:rPr>
        <w:t xml:space="preserve"> STAs.  That averages out to more than one-a-day since our first on March 15.</w:t>
      </w:r>
    </w:p>
    <w:p w:rsidR="00E604DF" w:rsidP="00BC6785" w14:paraId="2034DC26" w14:textId="10145824">
      <w:pPr>
        <w:spacing w:after="120"/>
        <w:rPr>
          <w:sz w:val="22"/>
          <w:szCs w:val="22"/>
        </w:rPr>
      </w:pPr>
      <w:r>
        <w:rPr>
          <w:sz w:val="22"/>
          <w:szCs w:val="22"/>
        </w:rPr>
        <w:tab/>
        <w:t xml:space="preserve">What has been the result?  During the pandemic, we’ve been very pleased by the performance of our nation’s wireless networks.  For example, according to </w:t>
      </w:r>
      <w:r>
        <w:rPr>
          <w:sz w:val="22"/>
          <w:szCs w:val="22"/>
        </w:rPr>
        <w:t>Ookla</w:t>
      </w:r>
      <w:r>
        <w:rPr>
          <w:sz w:val="22"/>
          <w:szCs w:val="22"/>
        </w:rPr>
        <w:t xml:space="preserve">, notwithstanding increased demand, in April average mobile broadband download speeds in the United States were </w:t>
      </w:r>
      <w:r w:rsidR="00F81970">
        <w:rPr>
          <w:sz w:val="22"/>
          <w:szCs w:val="22"/>
        </w:rPr>
        <w:t xml:space="preserve">actually </w:t>
      </w:r>
      <w:r>
        <w:rPr>
          <w:sz w:val="22"/>
          <w:szCs w:val="22"/>
        </w:rPr>
        <w:t xml:space="preserve">faster than they were in February, before the pandemic hit, and they’ve gotten faster since. </w:t>
      </w:r>
    </w:p>
    <w:p w:rsidR="00E604DF" w:rsidP="00BC6785" w14:paraId="2555648B" w14:textId="5E6EB50F">
      <w:pPr>
        <w:spacing w:after="120"/>
        <w:rPr>
          <w:sz w:val="22"/>
          <w:szCs w:val="22"/>
        </w:rPr>
      </w:pPr>
      <w:r>
        <w:rPr>
          <w:sz w:val="22"/>
          <w:szCs w:val="22"/>
        </w:rPr>
        <w:tab/>
      </w:r>
      <w:r w:rsidR="0008440F">
        <w:rPr>
          <w:sz w:val="22"/>
          <w:szCs w:val="22"/>
        </w:rPr>
        <w:t>I believe that m</w:t>
      </w:r>
      <w:r>
        <w:rPr>
          <w:sz w:val="22"/>
          <w:szCs w:val="22"/>
        </w:rPr>
        <w:t>uch of this success is due to the policies that we put in place well before the pandemic</w:t>
      </w:r>
      <w:r w:rsidR="0008440F">
        <w:rPr>
          <w:sz w:val="22"/>
          <w:szCs w:val="22"/>
        </w:rPr>
        <w:t xml:space="preserve">, market-based policies that encouraged investment in broadband networks and made it easier to deploy infrastructure.  But making more spectrum available during the pandemic has also </w:t>
      </w:r>
      <w:r w:rsidR="00F81970">
        <w:rPr>
          <w:sz w:val="22"/>
          <w:szCs w:val="22"/>
        </w:rPr>
        <w:t>made a positive impact</w:t>
      </w:r>
      <w:r w:rsidR="0008440F">
        <w:rPr>
          <w:sz w:val="22"/>
          <w:szCs w:val="22"/>
        </w:rPr>
        <w:t xml:space="preserve">.  For example, we’ve seen evidence that our 600 MHz STAs helped T-Mobile double the speed of its 4G LTE service in certain parts of the country.  </w:t>
      </w:r>
      <w:r>
        <w:rPr>
          <w:sz w:val="22"/>
          <w:szCs w:val="22"/>
        </w:rPr>
        <w:t xml:space="preserve">  </w:t>
      </w:r>
    </w:p>
    <w:p w:rsidR="00C37802" w:rsidRPr="00BC6785" w:rsidP="00BC6785" w14:paraId="44E94C41" w14:textId="353B23AF">
      <w:pPr>
        <w:spacing w:after="120"/>
        <w:rPr>
          <w:sz w:val="22"/>
          <w:szCs w:val="22"/>
          <w:lang w:val="en-GB"/>
        </w:rPr>
      </w:pPr>
      <w:r w:rsidRPr="00BC6785">
        <w:rPr>
          <w:sz w:val="22"/>
          <w:szCs w:val="22"/>
        </w:rPr>
        <w:tab/>
        <w:t>The last thing I want to say before I wrap up is that all this work was done on top of the Commission’s regular workload.  Even with all our COVID-</w:t>
      </w:r>
      <w:r w:rsidR="0008440F">
        <w:rPr>
          <w:sz w:val="22"/>
          <w:szCs w:val="22"/>
        </w:rPr>
        <w:t xml:space="preserve">19 </w:t>
      </w:r>
      <w:r w:rsidRPr="00BC6785">
        <w:rPr>
          <w:sz w:val="22"/>
          <w:szCs w:val="22"/>
        </w:rPr>
        <w:t>related activity, of which I only mentioned a fraction, the Commission was able to complete major proceedings like our order to make the entire 6 GHz band available for unlicensed use</w:t>
      </w:r>
      <w:r w:rsidRPr="00BC6785" w:rsidR="00BC6785">
        <w:rPr>
          <w:sz w:val="22"/>
          <w:szCs w:val="22"/>
        </w:rPr>
        <w:t>—all w</w:t>
      </w:r>
      <w:r w:rsidRPr="00BC6785">
        <w:rPr>
          <w:sz w:val="22"/>
          <w:szCs w:val="22"/>
        </w:rPr>
        <w:t xml:space="preserve">hile working remotely, I would add.  </w:t>
      </w:r>
      <w:r w:rsidRPr="00BC6785">
        <w:rPr>
          <w:sz w:val="22"/>
          <w:szCs w:val="22"/>
        </w:rPr>
        <w:t>So</w:t>
      </w:r>
      <w:r w:rsidRPr="00BC6785">
        <w:rPr>
          <w:sz w:val="22"/>
          <w:szCs w:val="22"/>
        </w:rPr>
        <w:t xml:space="preserve"> </w:t>
      </w:r>
      <w:r w:rsidR="00300877">
        <w:rPr>
          <w:sz w:val="22"/>
          <w:szCs w:val="22"/>
        </w:rPr>
        <w:t>if</w:t>
      </w:r>
      <w:r w:rsidRPr="00BC6785">
        <w:rPr>
          <w:sz w:val="22"/>
          <w:szCs w:val="22"/>
          <w:lang w:val="en-GB"/>
        </w:rPr>
        <w:t xml:space="preserve"> there’s one lesson I’ve learned </w:t>
      </w:r>
      <w:r w:rsidRPr="00BC6785" w:rsidR="00BC6785">
        <w:rPr>
          <w:sz w:val="22"/>
          <w:szCs w:val="22"/>
          <w:lang w:val="en-GB"/>
        </w:rPr>
        <w:t>about how best to deal with a crisis like a</w:t>
      </w:r>
      <w:r w:rsidRPr="00BC6785">
        <w:rPr>
          <w:sz w:val="22"/>
          <w:szCs w:val="22"/>
          <w:lang w:val="en-GB"/>
        </w:rPr>
        <w:t xml:space="preserve"> pandemic, it’s </w:t>
      </w:r>
      <w:r w:rsidR="0008440F">
        <w:rPr>
          <w:sz w:val="22"/>
          <w:szCs w:val="22"/>
          <w:lang w:val="en-GB"/>
        </w:rPr>
        <w:t xml:space="preserve">to </w:t>
      </w:r>
      <w:r w:rsidRPr="00BC6785">
        <w:rPr>
          <w:sz w:val="22"/>
          <w:szCs w:val="22"/>
          <w:lang w:val="en-GB"/>
        </w:rPr>
        <w:t>hire and nurture a staff as great as the FCC’s.</w:t>
      </w:r>
    </w:p>
    <w:p w:rsidR="00813557" w:rsidRPr="00BC6785" w:rsidP="00BC6785" w14:paraId="74411CE7" w14:textId="6F759311">
      <w:pPr>
        <w:spacing w:after="120"/>
        <w:rPr>
          <w:sz w:val="22"/>
          <w:szCs w:val="22"/>
        </w:rPr>
      </w:pPr>
      <w:r w:rsidRPr="00BC6785">
        <w:rPr>
          <w:sz w:val="22"/>
          <w:szCs w:val="22"/>
          <w:lang w:val="en-GB"/>
        </w:rPr>
        <w:tab/>
        <w:t>Thank</w:t>
      </w:r>
      <w:r w:rsidR="00300877">
        <w:rPr>
          <w:sz w:val="22"/>
          <w:szCs w:val="22"/>
          <w:lang w:val="en-GB"/>
        </w:rPr>
        <w:t xml:space="preserve"> you</w:t>
      </w:r>
      <w:r w:rsidRPr="00BC6785">
        <w:rPr>
          <w:sz w:val="22"/>
          <w:szCs w:val="22"/>
          <w:lang w:val="en-GB"/>
        </w:rPr>
        <w:t xml:space="preserve"> again for the opportunity to be here.  I look forward to </w:t>
      </w:r>
      <w:r w:rsidRPr="00BC6785" w:rsidR="00BC6785">
        <w:rPr>
          <w:sz w:val="22"/>
          <w:szCs w:val="22"/>
          <w:lang w:val="en-GB"/>
        </w:rPr>
        <w:t>th</w:t>
      </w:r>
      <w:r w:rsidR="00300877">
        <w:rPr>
          <w:sz w:val="22"/>
          <w:szCs w:val="22"/>
          <w:lang w:val="en-GB"/>
        </w:rPr>
        <w:t>e</w:t>
      </w:r>
      <w:r w:rsidRPr="00BC6785" w:rsidR="00BC6785">
        <w:rPr>
          <w:sz w:val="22"/>
          <w:szCs w:val="22"/>
          <w:lang w:val="en-GB"/>
        </w:rPr>
        <w:t xml:space="preserve"> discussion. </w:t>
      </w:r>
    </w:p>
    <w:p w:rsidR="00932C15" w:rsidRPr="00BC6785" w:rsidP="00E604DF" w14:paraId="7DC82C72" w14:textId="518EED2A">
      <w:pPr>
        <w:spacing w:after="120"/>
        <w:rPr>
          <w:sz w:val="22"/>
          <w:szCs w:val="22"/>
        </w:rPr>
      </w:pPr>
    </w:p>
    <w:bookmarkEnd w:id="0"/>
    <w:p w:rsidR="005D3C09" w:rsidRPr="00BC6785" w:rsidP="00BC6785" w14:paraId="5D186913" w14:textId="77777777">
      <w:pPr>
        <w:spacing w:after="120"/>
        <w:ind w:firstLine="720"/>
        <w:rPr>
          <w:sz w:val="22"/>
          <w:szCs w:val="22"/>
        </w:rPr>
      </w:pPr>
    </w:p>
    <w:sectPr w:rsidSect="000B078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BCB" w14:paraId="3BC131D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84FC8"/>
    <w:multiLevelType w:val="multilevel"/>
    <w:tmpl w:val="046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323C00"/>
    <w:multiLevelType w:val="multilevel"/>
    <w:tmpl w:val="13CAA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672A7995"/>
    <w:multiLevelType w:val="multilevel"/>
    <w:tmpl w:val="30D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1C575F"/>
    <w:multiLevelType w:val="multilevel"/>
    <w:tmpl w:val="3E909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69"/>
    <w:rsid w:val="000119F6"/>
    <w:rsid w:val="000265FD"/>
    <w:rsid w:val="00034242"/>
    <w:rsid w:val="00042B0F"/>
    <w:rsid w:val="00080870"/>
    <w:rsid w:val="0008440F"/>
    <w:rsid w:val="000B0787"/>
    <w:rsid w:val="000D44E5"/>
    <w:rsid w:val="000F0183"/>
    <w:rsid w:val="000F43C2"/>
    <w:rsid w:val="00110AAE"/>
    <w:rsid w:val="001608A0"/>
    <w:rsid w:val="00174FB0"/>
    <w:rsid w:val="001824BB"/>
    <w:rsid w:val="00196B71"/>
    <w:rsid w:val="001C37F3"/>
    <w:rsid w:val="00204902"/>
    <w:rsid w:val="00213932"/>
    <w:rsid w:val="00216D4D"/>
    <w:rsid w:val="0023595A"/>
    <w:rsid w:val="00255B11"/>
    <w:rsid w:val="00271FE3"/>
    <w:rsid w:val="002807D8"/>
    <w:rsid w:val="002819EA"/>
    <w:rsid w:val="002940B4"/>
    <w:rsid w:val="002A4242"/>
    <w:rsid w:val="002E73E3"/>
    <w:rsid w:val="002F7827"/>
    <w:rsid w:val="00300877"/>
    <w:rsid w:val="00302A25"/>
    <w:rsid w:val="00321837"/>
    <w:rsid w:val="003368CE"/>
    <w:rsid w:val="003444CA"/>
    <w:rsid w:val="00350DC6"/>
    <w:rsid w:val="00357E1A"/>
    <w:rsid w:val="003B700A"/>
    <w:rsid w:val="003D30B0"/>
    <w:rsid w:val="0040140F"/>
    <w:rsid w:val="00452971"/>
    <w:rsid w:val="004838DA"/>
    <w:rsid w:val="004B4AA1"/>
    <w:rsid w:val="004D1EAC"/>
    <w:rsid w:val="004D2C15"/>
    <w:rsid w:val="004D42C6"/>
    <w:rsid w:val="004F2C5D"/>
    <w:rsid w:val="00521F1B"/>
    <w:rsid w:val="00532290"/>
    <w:rsid w:val="005D3C09"/>
    <w:rsid w:val="005D5C71"/>
    <w:rsid w:val="00605C85"/>
    <w:rsid w:val="00617EAA"/>
    <w:rsid w:val="006264E9"/>
    <w:rsid w:val="00674BCB"/>
    <w:rsid w:val="00693ECA"/>
    <w:rsid w:val="006C1B32"/>
    <w:rsid w:val="006D58FE"/>
    <w:rsid w:val="00703D0B"/>
    <w:rsid w:val="00714D41"/>
    <w:rsid w:val="0073451D"/>
    <w:rsid w:val="00743383"/>
    <w:rsid w:val="00754D31"/>
    <w:rsid w:val="0077424C"/>
    <w:rsid w:val="00776A68"/>
    <w:rsid w:val="007E083A"/>
    <w:rsid w:val="007F0D97"/>
    <w:rsid w:val="00804F6E"/>
    <w:rsid w:val="00813557"/>
    <w:rsid w:val="00830F71"/>
    <w:rsid w:val="00834077"/>
    <w:rsid w:val="00855118"/>
    <w:rsid w:val="008B0AA7"/>
    <w:rsid w:val="008D7BB8"/>
    <w:rsid w:val="00900D03"/>
    <w:rsid w:val="00932C15"/>
    <w:rsid w:val="009542A4"/>
    <w:rsid w:val="00971698"/>
    <w:rsid w:val="009D1797"/>
    <w:rsid w:val="009F0174"/>
    <w:rsid w:val="00A07569"/>
    <w:rsid w:val="00A53D32"/>
    <w:rsid w:val="00A929B2"/>
    <w:rsid w:val="00A952AD"/>
    <w:rsid w:val="00AB2500"/>
    <w:rsid w:val="00AC6D42"/>
    <w:rsid w:val="00AE2E2F"/>
    <w:rsid w:val="00B2360E"/>
    <w:rsid w:val="00B8231A"/>
    <w:rsid w:val="00B929A6"/>
    <w:rsid w:val="00B93D10"/>
    <w:rsid w:val="00BA1186"/>
    <w:rsid w:val="00BA34B0"/>
    <w:rsid w:val="00BC6785"/>
    <w:rsid w:val="00BC6FEA"/>
    <w:rsid w:val="00BD5C69"/>
    <w:rsid w:val="00BF64E2"/>
    <w:rsid w:val="00C10DAD"/>
    <w:rsid w:val="00C158CC"/>
    <w:rsid w:val="00C37802"/>
    <w:rsid w:val="00C74B2F"/>
    <w:rsid w:val="00CA2690"/>
    <w:rsid w:val="00CF04FB"/>
    <w:rsid w:val="00D1124E"/>
    <w:rsid w:val="00D53A74"/>
    <w:rsid w:val="00D63BC3"/>
    <w:rsid w:val="00D77F36"/>
    <w:rsid w:val="00D8207F"/>
    <w:rsid w:val="00DC6AE4"/>
    <w:rsid w:val="00DF5D36"/>
    <w:rsid w:val="00E22B05"/>
    <w:rsid w:val="00E50E6D"/>
    <w:rsid w:val="00E604DF"/>
    <w:rsid w:val="00E82196"/>
    <w:rsid w:val="00EB24DB"/>
    <w:rsid w:val="00EC28C9"/>
    <w:rsid w:val="00ED58F4"/>
    <w:rsid w:val="00EE2277"/>
    <w:rsid w:val="00F06CA1"/>
    <w:rsid w:val="00F32F57"/>
    <w:rsid w:val="00F437EF"/>
    <w:rsid w:val="00F65D68"/>
    <w:rsid w:val="00F72CA6"/>
    <w:rsid w:val="00F75C46"/>
    <w:rsid w:val="00F81970"/>
    <w:rsid w:val="00FA231A"/>
    <w:rsid w:val="00FA3767"/>
    <w:rsid w:val="00FF54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8CA3BEC9-3F87-B14E-B7FC-7B7EF77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40B4"/>
    <w:rPr>
      <w:sz w:val="16"/>
      <w:szCs w:val="16"/>
    </w:rPr>
  </w:style>
  <w:style w:type="paragraph" w:styleId="CommentText">
    <w:name w:val="annotation text"/>
    <w:basedOn w:val="Normal"/>
    <w:link w:val="CommentTextChar"/>
    <w:uiPriority w:val="99"/>
    <w:semiHidden/>
    <w:unhideWhenUsed/>
    <w:rsid w:val="002940B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40B4"/>
    <w:rPr>
      <w:sz w:val="20"/>
      <w:szCs w:val="20"/>
    </w:rPr>
  </w:style>
  <w:style w:type="paragraph" w:styleId="BalloonText">
    <w:name w:val="Balloon Text"/>
    <w:basedOn w:val="Normal"/>
    <w:link w:val="BalloonTextChar"/>
    <w:uiPriority w:val="99"/>
    <w:semiHidden/>
    <w:unhideWhenUsed/>
    <w:rsid w:val="002940B4"/>
    <w:rPr>
      <w:rFonts w:eastAsiaTheme="minorHAnsi"/>
      <w:sz w:val="18"/>
      <w:szCs w:val="18"/>
    </w:rPr>
  </w:style>
  <w:style w:type="character" w:customStyle="1" w:styleId="BalloonTextChar">
    <w:name w:val="Balloon Text Char"/>
    <w:basedOn w:val="DefaultParagraphFont"/>
    <w:link w:val="BalloonText"/>
    <w:uiPriority w:val="99"/>
    <w:semiHidden/>
    <w:rsid w:val="002940B4"/>
    <w:rPr>
      <w:rFonts w:ascii="Times New Roman" w:hAnsi="Times New Roman" w:cs="Times New Roman"/>
      <w:sz w:val="18"/>
      <w:szCs w:val="18"/>
    </w:rPr>
  </w:style>
  <w:style w:type="character" w:styleId="Hyperlink">
    <w:name w:val="Hyperlink"/>
    <w:basedOn w:val="DefaultParagraphFont"/>
    <w:uiPriority w:val="99"/>
    <w:unhideWhenUsed/>
    <w:rsid w:val="00216D4D"/>
    <w:rPr>
      <w:color w:val="0563C1" w:themeColor="hyperlink"/>
      <w:u w:val="single"/>
    </w:rPr>
  </w:style>
  <w:style w:type="character" w:customStyle="1" w:styleId="UnresolvedMention1">
    <w:name w:val="Unresolved Mention1"/>
    <w:basedOn w:val="DefaultParagraphFont"/>
    <w:uiPriority w:val="99"/>
    <w:rsid w:val="00216D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490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490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74FB0"/>
    <w:pPr>
      <w:tabs>
        <w:tab w:val="center" w:pos="4680"/>
        <w:tab w:val="right" w:pos="9360"/>
      </w:tabs>
    </w:pPr>
  </w:style>
  <w:style w:type="character" w:customStyle="1" w:styleId="HeaderChar">
    <w:name w:val="Header Char"/>
    <w:basedOn w:val="DefaultParagraphFont"/>
    <w:link w:val="Header"/>
    <w:uiPriority w:val="99"/>
    <w:rsid w:val="00174FB0"/>
    <w:rPr>
      <w:rFonts w:ascii="Times New Roman" w:eastAsia="Times New Roman" w:hAnsi="Times New Roman" w:cs="Times New Roman"/>
    </w:rPr>
  </w:style>
  <w:style w:type="paragraph" w:styleId="Footer">
    <w:name w:val="footer"/>
    <w:basedOn w:val="Normal"/>
    <w:link w:val="FooterChar"/>
    <w:uiPriority w:val="99"/>
    <w:unhideWhenUsed/>
    <w:rsid w:val="00174FB0"/>
    <w:pPr>
      <w:tabs>
        <w:tab w:val="center" w:pos="4680"/>
        <w:tab w:val="right" w:pos="9360"/>
      </w:tabs>
    </w:pPr>
  </w:style>
  <w:style w:type="character" w:customStyle="1" w:styleId="FooterChar">
    <w:name w:val="Footer Char"/>
    <w:basedOn w:val="DefaultParagraphFont"/>
    <w:link w:val="Footer"/>
    <w:uiPriority w:val="99"/>
    <w:rsid w:val="00174FB0"/>
    <w:rPr>
      <w:rFonts w:ascii="Times New Roman" w:eastAsia="Times New Roman" w:hAnsi="Times New Roman" w:cs="Times New Roman"/>
    </w:rPr>
  </w:style>
  <w:style w:type="character" w:customStyle="1" w:styleId="UnresolvedMention">
    <w:name w:val="Unresolved Mention"/>
    <w:basedOn w:val="DefaultParagraphFont"/>
    <w:uiPriority w:val="99"/>
    <w:rsid w:val="005D3C09"/>
    <w:rPr>
      <w:color w:val="605E5C"/>
      <w:shd w:val="clear" w:color="auto" w:fill="E1DFDD"/>
    </w:rPr>
  </w:style>
  <w:style w:type="paragraph" w:styleId="NormalWeb">
    <w:name w:val="Normal (Web)"/>
    <w:basedOn w:val="Normal"/>
    <w:uiPriority w:val="99"/>
    <w:semiHidden/>
    <w:unhideWhenUsed/>
    <w:rsid w:val="005D3C09"/>
    <w:pPr>
      <w:spacing w:before="100" w:beforeAutospacing="1" w:after="100" w:afterAutospacing="1"/>
    </w:pPr>
  </w:style>
  <w:style w:type="paragraph" w:customStyle="1" w:styleId="ParaNum">
    <w:name w:val="ParaNum"/>
    <w:basedOn w:val="Normal"/>
    <w:link w:val="ParaNumChar"/>
    <w:rsid w:val="00932C15"/>
    <w:pPr>
      <w:widowControl w:val="0"/>
      <w:numPr>
        <w:numId w:val="5"/>
      </w:numPr>
      <w:tabs>
        <w:tab w:val="clear" w:pos="1080"/>
        <w:tab w:val="num" w:pos="1440"/>
      </w:tabs>
      <w:spacing w:after="120"/>
    </w:pPr>
    <w:rPr>
      <w:snapToGrid w:val="0"/>
      <w:kern w:val="28"/>
      <w:sz w:val="22"/>
      <w:szCs w:val="20"/>
    </w:rPr>
  </w:style>
  <w:style w:type="character" w:customStyle="1" w:styleId="ParaNumChar">
    <w:name w:val="ParaNum Char"/>
    <w:link w:val="ParaNum"/>
    <w:locked/>
    <w:rsid w:val="00932C15"/>
    <w:rPr>
      <w:rFonts w:ascii="Times New Roman" w:eastAsia="Times New Roman" w:hAnsi="Times New Roman" w:cs="Times New Roman"/>
      <w:snapToGrid w:val="0"/>
      <w:kern w:val="28"/>
      <w:sz w:val="22"/>
      <w:szCs w:val="20"/>
    </w:rPr>
  </w:style>
  <w:style w:type="paragraph" w:styleId="FootnoteText">
    <w:name w:val="footnote text"/>
    <w:link w:val="FootnoteTextChar"/>
    <w:semiHidden/>
    <w:rsid w:val="00932C15"/>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32C15"/>
    <w:rPr>
      <w:rFonts w:ascii="Times New Roman" w:eastAsia="Times New Roman" w:hAnsi="Times New Roman" w:cs="Times New Roman"/>
      <w:sz w:val="20"/>
      <w:szCs w:val="20"/>
    </w:rPr>
  </w:style>
  <w:style w:type="character" w:styleId="FootnoteReference">
    <w:name w:val="footnote reference"/>
    <w:semiHidden/>
    <w:rsid w:val="00932C15"/>
    <w:rPr>
      <w:rFonts w:ascii="Times New Roman" w:hAnsi="Times New Roman"/>
      <w:dstrike w:val="0"/>
      <w:color w:val="auto"/>
      <w:sz w:val="22"/>
      <w:vertAlign w:val="superscript"/>
    </w:rPr>
  </w:style>
  <w:style w:type="paragraph" w:styleId="ListParagraph">
    <w:name w:val="List Paragraph"/>
    <w:basedOn w:val="Normal"/>
    <w:uiPriority w:val="34"/>
    <w:qFormat/>
    <w:rsid w:val="00932C15"/>
    <w:pPr>
      <w:ind w:left="720"/>
      <w:contextualSpacing/>
    </w:pPr>
  </w:style>
  <w:style w:type="character" w:styleId="FollowedHyperlink">
    <w:name w:val="FollowedHyperlink"/>
    <w:basedOn w:val="DefaultParagraphFont"/>
    <w:uiPriority w:val="99"/>
    <w:semiHidden/>
    <w:unhideWhenUsed/>
    <w:rsid w:val="00532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