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2F9ED0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8F21C5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079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20F7C2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71B9CB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957240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F0E897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BBD9C4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42088F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F3412C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BC2017C" w14:textId="6A02EC3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Pr="000108FB" w:rsidR="001F546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Expands</w:t>
            </w:r>
            <w:r w:rsidRPr="00A413F0" w:rsidR="00A413F0">
              <w:rPr>
                <w:b/>
                <w:bCs/>
                <w:sz w:val="26"/>
                <w:szCs w:val="26"/>
              </w:rPr>
              <w:t xml:space="preserve"> UNLICENSED WIRELESS OPERATIONS IN TV WHITE SPACES</w:t>
            </w:r>
          </w:p>
          <w:p w:rsidR="00CC5E08" w:rsidRPr="008A3940" w:rsidP="00040127" w14:paraId="3CBFE909" w14:textId="34AEA6E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Rule Changes </w:t>
            </w:r>
            <w:r w:rsidR="00167E24">
              <w:rPr>
                <w:b/>
                <w:bCs/>
                <w:i/>
              </w:rPr>
              <w:t>Will Enhance Broadband</w:t>
            </w:r>
            <w:r>
              <w:rPr>
                <w:b/>
                <w:bCs/>
                <w:i/>
              </w:rPr>
              <w:t xml:space="preserve"> Connectivity in Rural Communities</w:t>
            </w:r>
          </w:p>
          <w:p w:rsidR="00F61155" w:rsidRPr="006B0A70" w:rsidP="00BB4E29" w14:paraId="295BC2D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404E2093" w14:textId="7B94554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413F0">
              <w:rPr>
                <w:sz w:val="22"/>
                <w:szCs w:val="22"/>
              </w:rPr>
              <w:t>October 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413F0">
              <w:rPr>
                <w:sz w:val="22"/>
                <w:szCs w:val="22"/>
              </w:rPr>
              <w:t xml:space="preserve">amended </w:t>
            </w:r>
            <w:r w:rsidR="00F254EC">
              <w:rPr>
                <w:sz w:val="22"/>
                <w:szCs w:val="22"/>
              </w:rPr>
              <w:t xml:space="preserve">its rules governing unlicensed wireless </w:t>
            </w:r>
            <w:r w:rsidR="000B6A92">
              <w:rPr>
                <w:sz w:val="22"/>
                <w:szCs w:val="22"/>
              </w:rPr>
              <w:t xml:space="preserve">services </w:t>
            </w:r>
            <w:r w:rsidR="008A39A9">
              <w:rPr>
                <w:sz w:val="22"/>
                <w:szCs w:val="22"/>
              </w:rPr>
              <w:t xml:space="preserve">provided </w:t>
            </w:r>
            <w:r w:rsidR="0083683D">
              <w:rPr>
                <w:sz w:val="22"/>
                <w:szCs w:val="22"/>
              </w:rPr>
              <w:t>over</w:t>
            </w:r>
            <w:r w:rsidR="000B6A92">
              <w:rPr>
                <w:sz w:val="22"/>
                <w:szCs w:val="22"/>
              </w:rPr>
              <w:t xml:space="preserve"> spectrum in</w:t>
            </w:r>
            <w:r w:rsidR="000B76A8">
              <w:rPr>
                <w:sz w:val="22"/>
                <w:szCs w:val="22"/>
              </w:rPr>
              <w:t xml:space="preserve"> the </w:t>
            </w:r>
            <w:r w:rsidR="000B6A92">
              <w:rPr>
                <w:sz w:val="22"/>
                <w:szCs w:val="22"/>
              </w:rPr>
              <w:t xml:space="preserve">television broadcasting bands – the so-called </w:t>
            </w:r>
            <w:r w:rsidR="0083683D">
              <w:rPr>
                <w:sz w:val="22"/>
                <w:szCs w:val="22"/>
              </w:rPr>
              <w:t xml:space="preserve">TV </w:t>
            </w:r>
            <w:r w:rsidR="000B6A92">
              <w:rPr>
                <w:sz w:val="22"/>
                <w:szCs w:val="22"/>
              </w:rPr>
              <w:t>white spaces.</w:t>
            </w:r>
            <w:r w:rsidR="00AE60B3">
              <w:rPr>
                <w:sz w:val="22"/>
                <w:szCs w:val="22"/>
              </w:rPr>
              <w:t xml:space="preserve">  The amended rules will allow for </w:t>
            </w:r>
            <w:r w:rsidR="0083683D">
              <w:rPr>
                <w:sz w:val="22"/>
                <w:szCs w:val="22"/>
              </w:rPr>
              <w:t>expanded use of</w:t>
            </w:r>
            <w:r w:rsidR="009A0472">
              <w:rPr>
                <w:sz w:val="22"/>
                <w:szCs w:val="22"/>
              </w:rPr>
              <w:t xml:space="preserve"> </w:t>
            </w:r>
            <w:r w:rsidR="00AE60B3">
              <w:rPr>
                <w:sz w:val="22"/>
                <w:szCs w:val="22"/>
              </w:rPr>
              <w:t xml:space="preserve">this spectrum </w:t>
            </w:r>
            <w:r w:rsidR="00FB6D48">
              <w:rPr>
                <w:sz w:val="22"/>
                <w:szCs w:val="22"/>
              </w:rPr>
              <w:t>for</w:t>
            </w:r>
            <w:r w:rsidR="00AE60B3">
              <w:rPr>
                <w:sz w:val="22"/>
                <w:szCs w:val="22"/>
              </w:rPr>
              <w:t xml:space="preserve"> </w:t>
            </w:r>
            <w:r w:rsidR="00C57554">
              <w:rPr>
                <w:sz w:val="22"/>
                <w:szCs w:val="22"/>
              </w:rPr>
              <w:t xml:space="preserve">the </w:t>
            </w:r>
            <w:r w:rsidR="0083683D">
              <w:rPr>
                <w:sz w:val="22"/>
                <w:szCs w:val="22"/>
              </w:rPr>
              <w:t xml:space="preserve">delivery of </w:t>
            </w:r>
            <w:r w:rsidR="00AE60B3">
              <w:rPr>
                <w:sz w:val="22"/>
                <w:szCs w:val="22"/>
              </w:rPr>
              <w:t xml:space="preserve">broadband services in rural </w:t>
            </w:r>
            <w:r w:rsidR="0083683D">
              <w:rPr>
                <w:sz w:val="22"/>
                <w:szCs w:val="22"/>
              </w:rPr>
              <w:t xml:space="preserve">and underserved </w:t>
            </w:r>
            <w:r w:rsidR="00AE60B3">
              <w:rPr>
                <w:sz w:val="22"/>
                <w:szCs w:val="22"/>
              </w:rPr>
              <w:t>communities</w:t>
            </w:r>
            <w:r w:rsidR="0083683D">
              <w:rPr>
                <w:sz w:val="22"/>
                <w:szCs w:val="22"/>
              </w:rPr>
              <w:t xml:space="preserve"> while protecting broadcast television stations and other licensed services from harmful interference</w:t>
            </w:r>
            <w:r w:rsidR="00AE60B3">
              <w:rPr>
                <w:sz w:val="22"/>
                <w:szCs w:val="22"/>
              </w:rPr>
              <w:t>.</w:t>
            </w:r>
          </w:p>
          <w:p w:rsidR="007318CD" w:rsidP="002E165B" w14:paraId="012D01C1" w14:textId="2B4C4F2F">
            <w:pPr>
              <w:rPr>
                <w:sz w:val="22"/>
                <w:szCs w:val="22"/>
              </w:rPr>
            </w:pPr>
          </w:p>
          <w:p w:rsidR="007318CD" w:rsidRPr="001B30E9" w:rsidP="007318CD" w14:paraId="0914DF62" w14:textId="320D9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and Order adopted by the Commission today </w:t>
            </w:r>
            <w:r w:rsidR="00C57554">
              <w:rPr>
                <w:sz w:val="22"/>
                <w:szCs w:val="22"/>
              </w:rPr>
              <w:t xml:space="preserve">amends </w:t>
            </w:r>
            <w:r>
              <w:rPr>
                <w:sz w:val="22"/>
                <w:szCs w:val="22"/>
              </w:rPr>
              <w:t>the FCC’s Part 15 rules</w:t>
            </w:r>
            <w:r w:rsidR="00C57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B6D48">
              <w:rPr>
                <w:sz w:val="22"/>
                <w:szCs w:val="22"/>
              </w:rPr>
              <w:t>which govern how</w:t>
            </w:r>
            <w:r w:rsidRPr="007318CD">
              <w:rPr>
                <w:sz w:val="22"/>
                <w:szCs w:val="22"/>
              </w:rPr>
              <w:t xml:space="preserve"> unlicensed white space devices operate </w:t>
            </w:r>
            <w:r w:rsidR="0004027F">
              <w:rPr>
                <w:sz w:val="22"/>
                <w:szCs w:val="22"/>
              </w:rPr>
              <w:t xml:space="preserve">over </w:t>
            </w:r>
            <w:r w:rsidR="00FB6D48">
              <w:rPr>
                <w:sz w:val="22"/>
                <w:szCs w:val="22"/>
              </w:rPr>
              <w:t>spectrum</w:t>
            </w:r>
            <w:r w:rsidRPr="007318CD">
              <w:rPr>
                <w:sz w:val="22"/>
                <w:szCs w:val="22"/>
              </w:rPr>
              <w:t xml:space="preserve"> not in use by licensed services or protected entities.</w:t>
            </w:r>
            <w:r w:rsidR="001F5469">
              <w:rPr>
                <w:sz w:val="22"/>
                <w:szCs w:val="22"/>
              </w:rPr>
              <w:t xml:space="preserve">  </w:t>
            </w:r>
            <w:r w:rsidRPr="007318CD" w:rsidR="001F5469">
              <w:rPr>
                <w:sz w:val="22"/>
                <w:szCs w:val="22"/>
              </w:rPr>
              <w:t>Wireless Internet Service</w:t>
            </w:r>
            <w:r w:rsidR="001F5469">
              <w:rPr>
                <w:sz w:val="22"/>
                <w:szCs w:val="22"/>
              </w:rPr>
              <w:t xml:space="preserve"> </w:t>
            </w:r>
            <w:r w:rsidRPr="007318CD" w:rsidR="001F5469">
              <w:rPr>
                <w:sz w:val="22"/>
                <w:szCs w:val="22"/>
              </w:rPr>
              <w:t xml:space="preserve">Providers </w:t>
            </w:r>
            <w:r w:rsidR="00F97A4E">
              <w:rPr>
                <w:sz w:val="22"/>
                <w:szCs w:val="22"/>
              </w:rPr>
              <w:t xml:space="preserve">currently </w:t>
            </w:r>
            <w:r w:rsidRPr="007318CD" w:rsidR="001F5469">
              <w:rPr>
                <w:sz w:val="22"/>
                <w:szCs w:val="22"/>
              </w:rPr>
              <w:t>use fixed white space devices to provide Internet connectivity to schools, libraries, and rural</w:t>
            </w:r>
            <w:r w:rsidR="001F5469">
              <w:rPr>
                <w:sz w:val="22"/>
                <w:szCs w:val="22"/>
              </w:rPr>
              <w:t xml:space="preserve"> </w:t>
            </w:r>
            <w:r w:rsidRPr="007318CD" w:rsidR="001F5469">
              <w:rPr>
                <w:sz w:val="22"/>
                <w:szCs w:val="22"/>
              </w:rPr>
              <w:t>households.</w:t>
            </w:r>
            <w:r w:rsidR="001F5469">
              <w:rPr>
                <w:sz w:val="22"/>
                <w:szCs w:val="22"/>
              </w:rPr>
              <w:t xml:space="preserve">  Today’s action will </w:t>
            </w:r>
            <w:r w:rsidR="00B02931">
              <w:rPr>
                <w:sz w:val="22"/>
                <w:szCs w:val="22"/>
              </w:rPr>
              <w:t>strengthen</w:t>
            </w:r>
            <w:r w:rsidRPr="001B30E9" w:rsidR="001F5469">
              <w:rPr>
                <w:sz w:val="22"/>
                <w:szCs w:val="22"/>
              </w:rPr>
              <w:t xml:space="preserve"> these efforts by </w:t>
            </w:r>
            <w:r w:rsidRPr="001B30E9" w:rsidR="00EC0415">
              <w:rPr>
                <w:sz w:val="22"/>
                <w:szCs w:val="22"/>
              </w:rPr>
              <w:t>allow</w:t>
            </w:r>
            <w:r w:rsidRPr="001B30E9" w:rsidR="001F5469">
              <w:rPr>
                <w:sz w:val="22"/>
                <w:szCs w:val="22"/>
              </w:rPr>
              <w:t>ing</w:t>
            </w:r>
            <w:r w:rsidRPr="001B30E9" w:rsidR="00EC0415">
              <w:rPr>
                <w:sz w:val="22"/>
                <w:szCs w:val="22"/>
              </w:rPr>
              <w:t xml:space="preserve"> for more flexibility in how wireless services are provided </w:t>
            </w:r>
            <w:r w:rsidRPr="001B30E9" w:rsidR="00FB6D48">
              <w:rPr>
                <w:sz w:val="22"/>
                <w:szCs w:val="22"/>
              </w:rPr>
              <w:t>with</w:t>
            </w:r>
            <w:r w:rsidRPr="001B30E9" w:rsidR="00EC0415">
              <w:rPr>
                <w:sz w:val="22"/>
                <w:szCs w:val="22"/>
              </w:rPr>
              <w:t>in white spaces, better reflecting technological and geographic realities.</w:t>
            </w:r>
            <w:r w:rsidRPr="001B30E9" w:rsidR="003A4F8A">
              <w:rPr>
                <w:sz w:val="22"/>
                <w:szCs w:val="22"/>
              </w:rPr>
              <w:t xml:space="preserve">  </w:t>
            </w:r>
          </w:p>
          <w:p w:rsidR="00EC0415" w:rsidRPr="001B30E9" w:rsidP="007318CD" w14:paraId="4F33EE9E" w14:textId="165607F4">
            <w:pPr>
              <w:rPr>
                <w:sz w:val="22"/>
                <w:szCs w:val="22"/>
              </w:rPr>
            </w:pPr>
          </w:p>
          <w:p w:rsidR="0004027F" w:rsidP="00EC0415" w14:paraId="7720A910" w14:textId="7399C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the Commission</w:t>
            </w:r>
            <w:r w:rsidR="00DF2AF5">
              <w:rPr>
                <w:sz w:val="22"/>
                <w:szCs w:val="22"/>
              </w:rPr>
              <w:t xml:space="preserve"> is increasing </w:t>
            </w:r>
            <w:r w:rsidRPr="001B30E9" w:rsidR="00EC0415">
              <w:rPr>
                <w:sz w:val="22"/>
                <w:szCs w:val="22"/>
              </w:rPr>
              <w:t xml:space="preserve">the maximum permissible power and antenna height for fixed white space devices operating in </w:t>
            </w:r>
            <w:r w:rsidRPr="001B30E9" w:rsidR="001F5469">
              <w:rPr>
                <w:sz w:val="22"/>
                <w:szCs w:val="22"/>
              </w:rPr>
              <w:t xml:space="preserve">“less congested” areas (generally rural and unserved areas) in </w:t>
            </w:r>
            <w:r w:rsidRPr="001B30E9" w:rsidR="00EC0415">
              <w:rPr>
                <w:sz w:val="22"/>
                <w:szCs w:val="22"/>
              </w:rPr>
              <w:t xml:space="preserve">the TV bands.  The amended rules </w:t>
            </w:r>
            <w:r w:rsidR="00DF2AF5">
              <w:rPr>
                <w:sz w:val="22"/>
                <w:szCs w:val="22"/>
              </w:rPr>
              <w:t xml:space="preserve">also </w:t>
            </w:r>
            <w:r w:rsidRPr="001B30E9" w:rsidR="00EC0415">
              <w:rPr>
                <w:sz w:val="22"/>
                <w:szCs w:val="22"/>
              </w:rPr>
              <w:t>increase the minimum required separation distances</w:t>
            </w:r>
            <w:r w:rsidRPr="001B30E9" w:rsidR="00E5792F">
              <w:rPr>
                <w:sz w:val="22"/>
                <w:szCs w:val="22"/>
              </w:rPr>
              <w:t xml:space="preserve"> between </w:t>
            </w:r>
            <w:r w:rsidRPr="001B30E9" w:rsidR="001F5469">
              <w:rPr>
                <w:sz w:val="22"/>
                <w:szCs w:val="22"/>
              </w:rPr>
              <w:t xml:space="preserve">protected services and entities operating in the band and </w:t>
            </w:r>
            <w:r w:rsidRPr="001B30E9" w:rsidR="00E5792F">
              <w:rPr>
                <w:sz w:val="22"/>
                <w:szCs w:val="22"/>
              </w:rPr>
              <w:t>white space devices operating at the new higher power</w:t>
            </w:r>
            <w:r w:rsidRPr="001B30E9" w:rsidR="00FB6D48">
              <w:rPr>
                <w:sz w:val="22"/>
                <w:szCs w:val="22"/>
              </w:rPr>
              <w:t xml:space="preserve"> levels</w:t>
            </w:r>
            <w:r w:rsidRPr="001B30E9" w:rsidR="00E5792F">
              <w:rPr>
                <w:sz w:val="22"/>
                <w:szCs w:val="22"/>
              </w:rPr>
              <w:t xml:space="preserve"> and </w:t>
            </w:r>
            <w:r w:rsidRPr="001B30E9" w:rsidR="001F5469">
              <w:rPr>
                <w:sz w:val="22"/>
                <w:szCs w:val="22"/>
              </w:rPr>
              <w:t xml:space="preserve">higher </w:t>
            </w:r>
            <w:r w:rsidRPr="001B30E9" w:rsidR="00E5792F">
              <w:rPr>
                <w:sz w:val="22"/>
                <w:szCs w:val="22"/>
              </w:rPr>
              <w:t>height</w:t>
            </w:r>
            <w:r w:rsidRPr="001B30E9" w:rsidR="00FB6D48">
              <w:rPr>
                <w:sz w:val="22"/>
                <w:szCs w:val="22"/>
              </w:rPr>
              <w:t>s</w:t>
            </w:r>
            <w:r w:rsidRPr="001B30E9" w:rsidR="00EC0415">
              <w:rPr>
                <w:sz w:val="22"/>
                <w:szCs w:val="22"/>
              </w:rPr>
              <w:t xml:space="preserve"> </w:t>
            </w:r>
            <w:r w:rsidRPr="001B30E9" w:rsidR="001F5469">
              <w:rPr>
                <w:sz w:val="22"/>
                <w:szCs w:val="22"/>
              </w:rPr>
              <w:t>above average terrain</w:t>
            </w:r>
            <w:r w:rsidR="007258A8">
              <w:rPr>
                <w:sz w:val="22"/>
                <w:szCs w:val="22"/>
              </w:rPr>
              <w:t xml:space="preserve"> in order to ensure that broadcast television stations are protected from harmful interference</w:t>
            </w:r>
            <w:r w:rsidRPr="001B30E9" w:rsidR="00E5792F">
              <w:rPr>
                <w:sz w:val="22"/>
                <w:szCs w:val="22"/>
              </w:rPr>
              <w:t>.</w:t>
            </w:r>
            <w:r w:rsidRPr="001B30E9" w:rsidR="001F5469">
              <w:rPr>
                <w:sz w:val="22"/>
                <w:szCs w:val="22"/>
              </w:rPr>
              <w:t xml:space="preserve">  In addition</w:t>
            </w:r>
            <w:r w:rsidRPr="001B30E9" w:rsidR="00C31112">
              <w:rPr>
                <w:sz w:val="22"/>
                <w:szCs w:val="22"/>
              </w:rPr>
              <w:t xml:space="preserve">, </w:t>
            </w:r>
            <w:r w:rsidR="003568FE">
              <w:rPr>
                <w:sz w:val="22"/>
                <w:szCs w:val="22"/>
              </w:rPr>
              <w:t>the Commission is permitting</w:t>
            </w:r>
            <w:r w:rsidRPr="001B30E9" w:rsidR="00C31112">
              <w:rPr>
                <w:sz w:val="22"/>
                <w:szCs w:val="22"/>
              </w:rPr>
              <w:t xml:space="preserve"> higher power mobile operations </w:t>
            </w:r>
            <w:r w:rsidR="00752E03">
              <w:rPr>
                <w:sz w:val="22"/>
                <w:szCs w:val="22"/>
              </w:rPr>
              <w:t xml:space="preserve">using white space devices </w:t>
            </w:r>
            <w:r w:rsidRPr="001B30E9" w:rsidR="00C31112">
              <w:rPr>
                <w:sz w:val="22"/>
                <w:szCs w:val="22"/>
              </w:rPr>
              <w:t>in “less congested” areas within defined geo-fenced areas, such as school bus routes or farm boundaries.</w:t>
            </w:r>
            <w:r w:rsidRPr="001B30E9" w:rsidR="00E5792F">
              <w:rPr>
                <w:sz w:val="22"/>
                <w:szCs w:val="22"/>
              </w:rPr>
              <w:t xml:space="preserve">  </w:t>
            </w:r>
            <w:r w:rsidRPr="001B30E9" w:rsidR="001F5469">
              <w:rPr>
                <w:sz w:val="22"/>
                <w:szCs w:val="22"/>
              </w:rPr>
              <w:t>The rule changes also</w:t>
            </w:r>
            <w:r w:rsidRPr="001B30E9" w:rsidR="00E5792F">
              <w:rPr>
                <w:sz w:val="22"/>
                <w:szCs w:val="22"/>
              </w:rPr>
              <w:t xml:space="preserve"> provide</w:t>
            </w:r>
            <w:r w:rsidRPr="001B30E9" w:rsidR="00EC0415">
              <w:rPr>
                <w:sz w:val="22"/>
                <w:szCs w:val="22"/>
              </w:rPr>
              <w:t xml:space="preserve"> flexibility for new and innovative narrowband white space devices</w:t>
            </w:r>
            <w:r w:rsidRPr="00EC0415" w:rsidR="00EC0415">
              <w:rPr>
                <w:sz w:val="22"/>
                <w:szCs w:val="22"/>
              </w:rPr>
              <w:t xml:space="preserve"> so that users can more fully benefit from Internet of Things applications.</w:t>
            </w:r>
            <w:r>
              <w:rPr>
                <w:sz w:val="22"/>
                <w:szCs w:val="22"/>
              </w:rPr>
              <w:t xml:space="preserve">  </w:t>
            </w:r>
          </w:p>
          <w:p w:rsidR="0004027F" w:rsidP="00EC0415" w14:paraId="7281493C" w14:textId="77777777">
            <w:pPr>
              <w:rPr>
                <w:sz w:val="22"/>
                <w:szCs w:val="22"/>
              </w:rPr>
            </w:pPr>
          </w:p>
          <w:p w:rsidR="00EC0415" w:rsidP="00EC0415" w14:paraId="109D6B73" w14:textId="520BA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Finally, t</w:t>
            </w:r>
            <w:r w:rsidRPr="00145F85" w:rsidR="00145F85">
              <w:rPr>
                <w:sz w:val="22"/>
                <w:szCs w:val="22"/>
              </w:rPr>
              <w:t xml:space="preserve">he Commission also adopted a Further Notice of Proposed Rulemaking to explore whether to modify </w:t>
            </w:r>
            <w:r>
              <w:rPr>
                <w:sz w:val="22"/>
                <w:szCs w:val="22"/>
              </w:rPr>
              <w:t>its</w:t>
            </w:r>
            <w:r w:rsidRPr="00145F85" w:rsidR="00145F85">
              <w:rPr>
                <w:sz w:val="22"/>
                <w:szCs w:val="22"/>
              </w:rPr>
              <w:t xml:space="preserve"> rules to permit the use of terrain-based models to determine available TV channels for white space devices.</w:t>
            </w:r>
          </w:p>
          <w:p w:rsidR="00CC61D0" w:rsidP="00EC0415" w14:paraId="23BDDDB5" w14:textId="45EF3A0D">
            <w:pPr>
              <w:rPr>
                <w:sz w:val="22"/>
                <w:szCs w:val="22"/>
              </w:rPr>
            </w:pPr>
          </w:p>
          <w:p w:rsidR="00CC61D0" w:rsidRPr="00CC61D0" w:rsidP="00CC61D0" w14:paraId="78EC8EDA" w14:textId="29A86CFA">
            <w:pPr>
              <w:rPr>
                <w:sz w:val="22"/>
                <w:szCs w:val="22"/>
              </w:rPr>
            </w:pPr>
            <w:r w:rsidRPr="00CC61D0">
              <w:rPr>
                <w:sz w:val="22"/>
                <w:szCs w:val="22"/>
              </w:rPr>
              <w:t>Action by the Commission October 27, 2020 by Report and Order and Further Notice of Proposed Rulemaking (FCC 20-156).  Chairman Pai, Commissioners O’Rielly, Carr, Rosenworcel, and Starks approving and issuing separate statements.</w:t>
            </w:r>
          </w:p>
          <w:p w:rsidR="00CC61D0" w:rsidRPr="00CC61D0" w:rsidP="00CC61D0" w14:paraId="26312FCB" w14:textId="77777777">
            <w:pPr>
              <w:rPr>
                <w:sz w:val="22"/>
                <w:szCs w:val="22"/>
              </w:rPr>
            </w:pPr>
          </w:p>
          <w:p w:rsidR="00CC61D0" w:rsidP="00CC61D0" w14:paraId="0592E1A3" w14:textId="4803361E">
            <w:pPr>
              <w:rPr>
                <w:sz w:val="22"/>
                <w:szCs w:val="22"/>
              </w:rPr>
            </w:pPr>
            <w:r w:rsidRPr="00CC61D0">
              <w:rPr>
                <w:sz w:val="22"/>
                <w:szCs w:val="22"/>
              </w:rPr>
              <w:t>ET Docket No. 20-36</w:t>
            </w:r>
          </w:p>
          <w:p w:rsidR="00BD19E8" w:rsidRPr="002E165B" w:rsidP="002E165B" w14:paraId="60E8B71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AC5B58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DD25F73" w14:textId="092353A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A4A35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91AC4B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9074776" w14:textId="77777777">
      <w:pPr>
        <w:rPr>
          <w:b/>
          <w:bCs/>
          <w:sz w:val="2"/>
          <w:szCs w:val="2"/>
        </w:rPr>
      </w:pPr>
    </w:p>
    <w:sectPr w:rsidSect="005931D1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08FB"/>
    <w:rsid w:val="0002500C"/>
    <w:rsid w:val="000311FC"/>
    <w:rsid w:val="00040127"/>
    <w:rsid w:val="0004027F"/>
    <w:rsid w:val="00065E2D"/>
    <w:rsid w:val="00081232"/>
    <w:rsid w:val="00083F56"/>
    <w:rsid w:val="00091E65"/>
    <w:rsid w:val="00096D4A"/>
    <w:rsid w:val="000A38EA"/>
    <w:rsid w:val="000B6A92"/>
    <w:rsid w:val="000B76A8"/>
    <w:rsid w:val="000C1E47"/>
    <w:rsid w:val="000C26F3"/>
    <w:rsid w:val="000E049E"/>
    <w:rsid w:val="0010799B"/>
    <w:rsid w:val="00117DB2"/>
    <w:rsid w:val="00123ED2"/>
    <w:rsid w:val="00125BE0"/>
    <w:rsid w:val="00142C13"/>
    <w:rsid w:val="00145F85"/>
    <w:rsid w:val="00152776"/>
    <w:rsid w:val="00153222"/>
    <w:rsid w:val="001577D3"/>
    <w:rsid w:val="00167E24"/>
    <w:rsid w:val="001733A6"/>
    <w:rsid w:val="001865A9"/>
    <w:rsid w:val="00187DB2"/>
    <w:rsid w:val="00192F10"/>
    <w:rsid w:val="001B20BB"/>
    <w:rsid w:val="001B30E9"/>
    <w:rsid w:val="001C4370"/>
    <w:rsid w:val="001D3779"/>
    <w:rsid w:val="001F0469"/>
    <w:rsid w:val="001F2491"/>
    <w:rsid w:val="001F5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2F4DF8"/>
    <w:rsid w:val="00300359"/>
    <w:rsid w:val="0031773E"/>
    <w:rsid w:val="00333871"/>
    <w:rsid w:val="00347716"/>
    <w:rsid w:val="003506E1"/>
    <w:rsid w:val="003568FE"/>
    <w:rsid w:val="003727E3"/>
    <w:rsid w:val="00385A93"/>
    <w:rsid w:val="003910F1"/>
    <w:rsid w:val="003A4F8A"/>
    <w:rsid w:val="003E42FC"/>
    <w:rsid w:val="003E5991"/>
    <w:rsid w:val="003F262C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768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D0A"/>
    <w:rsid w:val="0053684B"/>
    <w:rsid w:val="00545DAE"/>
    <w:rsid w:val="00571B83"/>
    <w:rsid w:val="00575A00"/>
    <w:rsid w:val="00586417"/>
    <w:rsid w:val="0058673C"/>
    <w:rsid w:val="005931D1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58A8"/>
    <w:rsid w:val="007318CD"/>
    <w:rsid w:val="0073414D"/>
    <w:rsid w:val="007475A1"/>
    <w:rsid w:val="0075235E"/>
    <w:rsid w:val="007528A5"/>
    <w:rsid w:val="00752E0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5796"/>
    <w:rsid w:val="00830FC6"/>
    <w:rsid w:val="0083683D"/>
    <w:rsid w:val="00850E26"/>
    <w:rsid w:val="00865EAA"/>
    <w:rsid w:val="00866F06"/>
    <w:rsid w:val="008728F5"/>
    <w:rsid w:val="008824C2"/>
    <w:rsid w:val="008960E4"/>
    <w:rsid w:val="008A3940"/>
    <w:rsid w:val="008A39A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0472"/>
    <w:rsid w:val="009B4B16"/>
    <w:rsid w:val="009E54A1"/>
    <w:rsid w:val="009F4E25"/>
    <w:rsid w:val="009F5B1F"/>
    <w:rsid w:val="00A225A9"/>
    <w:rsid w:val="00A3308E"/>
    <w:rsid w:val="00A35DFD"/>
    <w:rsid w:val="00A413F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60B3"/>
    <w:rsid w:val="00AF051B"/>
    <w:rsid w:val="00B02931"/>
    <w:rsid w:val="00B037A2"/>
    <w:rsid w:val="00B25655"/>
    <w:rsid w:val="00B31870"/>
    <w:rsid w:val="00B320B8"/>
    <w:rsid w:val="00B35EE2"/>
    <w:rsid w:val="00B36DEF"/>
    <w:rsid w:val="00B46E30"/>
    <w:rsid w:val="00B57131"/>
    <w:rsid w:val="00B62F2C"/>
    <w:rsid w:val="00B727C9"/>
    <w:rsid w:val="00B735C8"/>
    <w:rsid w:val="00B73BBB"/>
    <w:rsid w:val="00B76A63"/>
    <w:rsid w:val="00BA6350"/>
    <w:rsid w:val="00BB4E29"/>
    <w:rsid w:val="00BB74C9"/>
    <w:rsid w:val="00BC3AB6"/>
    <w:rsid w:val="00BD19E8"/>
    <w:rsid w:val="00BD4273"/>
    <w:rsid w:val="00C31112"/>
    <w:rsid w:val="00C31ED8"/>
    <w:rsid w:val="00C432E4"/>
    <w:rsid w:val="00C57554"/>
    <w:rsid w:val="00C70C26"/>
    <w:rsid w:val="00C72001"/>
    <w:rsid w:val="00C772B7"/>
    <w:rsid w:val="00C80347"/>
    <w:rsid w:val="00CB24D2"/>
    <w:rsid w:val="00CB7C1A"/>
    <w:rsid w:val="00CC5E08"/>
    <w:rsid w:val="00CC61D0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F5"/>
    <w:rsid w:val="00E349AA"/>
    <w:rsid w:val="00E41390"/>
    <w:rsid w:val="00E41CA0"/>
    <w:rsid w:val="00E4366B"/>
    <w:rsid w:val="00E50A4A"/>
    <w:rsid w:val="00E5792F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3F2"/>
    <w:rsid w:val="00EC0415"/>
    <w:rsid w:val="00EE0E90"/>
    <w:rsid w:val="00EF3BCA"/>
    <w:rsid w:val="00EF729B"/>
    <w:rsid w:val="00F01B0D"/>
    <w:rsid w:val="00F1238F"/>
    <w:rsid w:val="00F16485"/>
    <w:rsid w:val="00F228ED"/>
    <w:rsid w:val="00F254EC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7A4E"/>
    <w:rsid w:val="00FB6D48"/>
    <w:rsid w:val="00FC6C29"/>
    <w:rsid w:val="00FD58E0"/>
    <w:rsid w:val="00FD71AE"/>
    <w:rsid w:val="00FE0198"/>
    <w:rsid w:val="00FE3A7C"/>
    <w:rsid w:val="00FF1C0B"/>
    <w:rsid w:val="00FF232D"/>
    <w:rsid w:val="00FF57B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0D3D5C-56E9-4A61-9557-E3A6B547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6D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D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