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4FFC32D1" w14:textId="77777777" w:rsidTr="78B625E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2B1317" w:rsidP="009C46AC" w14:paraId="503BD44B" w14:textId="75D4FCF3">
            <w:pPr>
              <w:jc w:val="center"/>
              <w:rPr>
                <w:b/>
              </w:rPr>
            </w:pPr>
            <w:bookmarkStart w:id="0" w:name="_Hlk35518885"/>
            <w:bookmarkStart w:id="1" w:name="_GoBack"/>
            <w:bookmarkEnd w:id="1"/>
            <w:r>
              <w:rPr>
                <w:b/>
              </w:rPr>
              <w:t xml:space="preserve"> </w:t>
            </w:r>
            <w:r w:rsidR="00E95DA7"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68108003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524396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317" w:rsidRPr="004A729A" w:rsidP="009C46AC" w14:paraId="224C1FBC" w14:textId="77777777">
            <w:pPr>
              <w:rPr>
                <w:b/>
                <w:bCs/>
                <w:sz w:val="12"/>
                <w:szCs w:val="12"/>
              </w:rPr>
            </w:pPr>
          </w:p>
          <w:p w:rsidR="002B1317" w:rsidRPr="008A3940" w:rsidP="009C46AC" w14:paraId="5D6A24A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B1317" w:rsidP="009C46AC" w14:paraId="1E705F9B" w14:textId="5DE16E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="006955FC">
              <w:rPr>
                <w:bCs/>
                <w:sz w:val="22"/>
                <w:szCs w:val="22"/>
              </w:rPr>
              <w:t>, (202) 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6955FC" w:rsidRPr="008A3940" w:rsidP="009C46AC" w14:paraId="08C252CD" w14:textId="042942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>
              <w:rPr>
                <w:bCs/>
                <w:sz w:val="22"/>
                <w:szCs w:val="22"/>
              </w:rPr>
              <w:t>@fcc.gov</w:t>
            </w:r>
          </w:p>
          <w:p w:rsidR="002B1317" w:rsidRPr="008A3940" w:rsidP="009C46AC" w14:paraId="58106E89" w14:textId="77777777">
            <w:pPr>
              <w:rPr>
                <w:bCs/>
                <w:sz w:val="22"/>
                <w:szCs w:val="22"/>
              </w:rPr>
            </w:pPr>
          </w:p>
          <w:p w:rsidR="002B1317" w:rsidP="009C46AC" w14:paraId="096D6493" w14:textId="4838E14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6955FC" w:rsidRPr="008A3940" w:rsidP="009C46AC" w14:paraId="49279A2A" w14:textId="77777777">
            <w:pPr>
              <w:rPr>
                <w:b/>
                <w:sz w:val="22"/>
                <w:szCs w:val="22"/>
              </w:rPr>
            </w:pPr>
          </w:p>
          <w:p w:rsidR="002B1317" w:rsidP="00AC48B1" w14:paraId="65561171" w14:textId="28ED9B0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7D2A6A">
              <w:rPr>
                <w:b/>
                <w:bCs/>
                <w:sz w:val="26"/>
                <w:szCs w:val="26"/>
              </w:rPr>
              <w:t>MODERNIZ</w:t>
            </w:r>
            <w:r w:rsidR="00000D3D">
              <w:rPr>
                <w:b/>
                <w:bCs/>
                <w:sz w:val="26"/>
                <w:szCs w:val="26"/>
              </w:rPr>
              <w:t xml:space="preserve">ES OUTDATED REGULATIONS TO ENHANCE COMPETITION AND </w:t>
            </w:r>
            <w:r w:rsidR="00731CC6">
              <w:rPr>
                <w:b/>
                <w:bCs/>
                <w:sz w:val="26"/>
                <w:szCs w:val="26"/>
              </w:rPr>
              <w:t>BENEFIT</w:t>
            </w:r>
            <w:r w:rsidR="00000D3D">
              <w:rPr>
                <w:b/>
                <w:bCs/>
                <w:sz w:val="26"/>
                <w:szCs w:val="26"/>
              </w:rPr>
              <w:t xml:space="preserve"> CONSUMERS</w:t>
            </w:r>
          </w:p>
          <w:p w:rsidR="000C7D4B" w:rsidRPr="00601032" w:rsidP="009C46AC" w14:paraId="2D0A23E5" w14:textId="3446A549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601032">
              <w:rPr>
                <w:b/>
                <w:bCs/>
                <w:i/>
              </w:rPr>
              <w:t xml:space="preserve">Ends Rules That Stifle Broadband Deployment </w:t>
            </w:r>
            <w:r w:rsidRPr="00601032" w:rsidR="00731CC6">
              <w:rPr>
                <w:b/>
                <w:bCs/>
                <w:i/>
              </w:rPr>
              <w:t>Except in Areas Where They Are Still Necessary to Promote Competition</w:t>
            </w:r>
            <w:r w:rsidRPr="00601032" w:rsidR="00EA1B40">
              <w:rPr>
                <w:b/>
                <w:bCs/>
                <w:i/>
              </w:rPr>
              <w:t xml:space="preserve"> </w:t>
            </w:r>
          </w:p>
          <w:p w:rsidR="00A82CC6" w:rsidP="008706D1" w14:paraId="070CF891" w14:textId="77777777">
            <w:pPr>
              <w:rPr>
                <w:sz w:val="22"/>
                <w:szCs w:val="22"/>
              </w:rPr>
            </w:pPr>
          </w:p>
          <w:p w:rsidR="00A82CC6" w:rsidP="00A82CC6" w14:paraId="78B5BDFC" w14:textId="5A889B4A">
            <w:pPr>
              <w:rPr>
                <w:sz w:val="22"/>
                <w:szCs w:val="22"/>
              </w:rPr>
            </w:pPr>
            <w:r w:rsidRPr="78B625E5">
              <w:rPr>
                <w:sz w:val="22"/>
                <w:szCs w:val="22"/>
              </w:rPr>
              <w:t xml:space="preserve">WASHINGTON, </w:t>
            </w:r>
            <w:r w:rsidR="00772A11">
              <w:rPr>
                <w:sz w:val="22"/>
                <w:szCs w:val="22"/>
              </w:rPr>
              <w:t xml:space="preserve">October </w:t>
            </w:r>
            <w:r w:rsidR="00041E51">
              <w:rPr>
                <w:sz w:val="22"/>
                <w:szCs w:val="22"/>
              </w:rPr>
              <w:t>27</w:t>
            </w:r>
            <w:r w:rsidRPr="78B625E5">
              <w:rPr>
                <w:sz w:val="22"/>
                <w:szCs w:val="22"/>
              </w:rPr>
              <w:t>, 2020—</w:t>
            </w:r>
            <w:r w:rsidR="005D4E02">
              <w:rPr>
                <w:sz w:val="22"/>
                <w:szCs w:val="22"/>
              </w:rPr>
              <w:t xml:space="preserve">In light of increasing competition in the telecommunications marketplace, the Federal Communications Commission today eliminated </w:t>
            </w:r>
            <w:r w:rsidR="008D12EC">
              <w:rPr>
                <w:sz w:val="22"/>
                <w:szCs w:val="22"/>
              </w:rPr>
              <w:t xml:space="preserve">legacy </w:t>
            </w:r>
            <w:r>
              <w:rPr>
                <w:sz w:val="22"/>
                <w:szCs w:val="22"/>
              </w:rPr>
              <w:t xml:space="preserve">unbundling and resale rules </w:t>
            </w:r>
            <w:r w:rsidR="008D12EC">
              <w:rPr>
                <w:sz w:val="22"/>
                <w:szCs w:val="22"/>
              </w:rPr>
              <w:t xml:space="preserve">where they stifle technology transitions and broadband deployment.  </w:t>
            </w:r>
            <w:r>
              <w:rPr>
                <w:sz w:val="22"/>
                <w:szCs w:val="22"/>
              </w:rPr>
              <w:t xml:space="preserve">The </w:t>
            </w:r>
            <w:r w:rsidR="008D12EC">
              <w:rPr>
                <w:sz w:val="22"/>
                <w:szCs w:val="22"/>
              </w:rPr>
              <w:t xml:space="preserve">rules date back to </w:t>
            </w:r>
            <w:r w:rsidR="005D4E02">
              <w:rPr>
                <w:sz w:val="22"/>
                <w:szCs w:val="22"/>
              </w:rPr>
              <w:t>the Telecommunications Act of 1996</w:t>
            </w:r>
            <w:r w:rsidR="008D12EC">
              <w:rPr>
                <w:sz w:val="22"/>
                <w:szCs w:val="22"/>
              </w:rPr>
              <w:t xml:space="preserve">, which required monopoly local telephone companies to make portions of their networks </w:t>
            </w:r>
            <w:r>
              <w:rPr>
                <w:sz w:val="22"/>
                <w:szCs w:val="22"/>
              </w:rPr>
              <w:t xml:space="preserve">and services </w:t>
            </w:r>
            <w:r w:rsidR="008D12EC">
              <w:rPr>
                <w:sz w:val="22"/>
                <w:szCs w:val="22"/>
              </w:rPr>
              <w:t>available to competitors at regulated rates</w:t>
            </w:r>
            <w:r w:rsidR="00AF1129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Today’s Report and Order builds upon previous Commission action to adjust th</w:t>
            </w:r>
            <w:r w:rsidR="007F321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se </w:t>
            </w:r>
            <w:r w:rsidR="00BC1F96">
              <w:rPr>
                <w:sz w:val="22"/>
                <w:szCs w:val="22"/>
              </w:rPr>
              <w:t xml:space="preserve">rules </w:t>
            </w:r>
            <w:r>
              <w:rPr>
                <w:sz w:val="22"/>
                <w:szCs w:val="22"/>
              </w:rPr>
              <w:t xml:space="preserve">to keep pace with </w:t>
            </w:r>
            <w:r w:rsidR="007F3214">
              <w:rPr>
                <w:sz w:val="22"/>
                <w:szCs w:val="22"/>
              </w:rPr>
              <w:t xml:space="preserve">advances in the </w:t>
            </w:r>
            <w:r w:rsidR="00AF1129">
              <w:rPr>
                <w:sz w:val="22"/>
                <w:szCs w:val="22"/>
              </w:rPr>
              <w:t xml:space="preserve">marketplace </w:t>
            </w:r>
            <w:r w:rsidR="000102B6">
              <w:rPr>
                <w:sz w:val="22"/>
                <w:szCs w:val="22"/>
              </w:rPr>
              <w:t>since passage of the 1996 Act</w:t>
            </w:r>
            <w:r w:rsidR="00E715D9">
              <w:rPr>
                <w:sz w:val="22"/>
                <w:szCs w:val="22"/>
              </w:rPr>
              <w:t xml:space="preserve"> as it </w:t>
            </w:r>
            <w:r w:rsidR="00AC54B3">
              <w:rPr>
                <w:sz w:val="22"/>
                <w:szCs w:val="22"/>
              </w:rPr>
              <w:t xml:space="preserve">has </w:t>
            </w:r>
            <w:r w:rsidR="00E715D9">
              <w:rPr>
                <w:sz w:val="22"/>
                <w:szCs w:val="22"/>
              </w:rPr>
              <w:t>shift</w:t>
            </w:r>
            <w:r w:rsidR="00AC54B3">
              <w:rPr>
                <w:sz w:val="22"/>
                <w:szCs w:val="22"/>
              </w:rPr>
              <w:t>ed</w:t>
            </w:r>
            <w:r w:rsidR="00E715D9">
              <w:rPr>
                <w:sz w:val="22"/>
                <w:szCs w:val="22"/>
              </w:rPr>
              <w:t xml:space="preserve"> from</w:t>
            </w:r>
            <w:r w:rsidR="000102B6">
              <w:rPr>
                <w:sz w:val="22"/>
                <w:szCs w:val="22"/>
              </w:rPr>
              <w:t xml:space="preserve"> one </w:t>
            </w:r>
            <w:r w:rsidR="00AC54B3">
              <w:rPr>
                <w:sz w:val="22"/>
                <w:szCs w:val="22"/>
              </w:rPr>
              <w:t xml:space="preserve">dominated by </w:t>
            </w:r>
            <w:r w:rsidR="00AF1129">
              <w:rPr>
                <w:sz w:val="22"/>
                <w:szCs w:val="22"/>
              </w:rPr>
              <w:t>monopol</w:t>
            </w:r>
            <w:r w:rsidR="000102B6">
              <w:rPr>
                <w:sz w:val="22"/>
                <w:szCs w:val="22"/>
              </w:rPr>
              <w:t xml:space="preserve">y incumbents to </w:t>
            </w:r>
            <w:r w:rsidR="00AC54B3">
              <w:rPr>
                <w:sz w:val="22"/>
                <w:szCs w:val="22"/>
              </w:rPr>
              <w:t xml:space="preserve">one </w:t>
            </w:r>
            <w:r w:rsidR="00B6406F">
              <w:rPr>
                <w:sz w:val="22"/>
                <w:szCs w:val="22"/>
              </w:rPr>
              <w:t xml:space="preserve">characterized by </w:t>
            </w:r>
            <w:r w:rsidR="00AF1129">
              <w:rPr>
                <w:sz w:val="22"/>
                <w:szCs w:val="22"/>
              </w:rPr>
              <w:t>vigorous</w:t>
            </w:r>
            <w:r w:rsidR="000102B6">
              <w:rPr>
                <w:sz w:val="22"/>
                <w:szCs w:val="22"/>
              </w:rPr>
              <w:t>, intermodal</w:t>
            </w:r>
            <w:r w:rsidR="00AF1129">
              <w:rPr>
                <w:sz w:val="22"/>
                <w:szCs w:val="22"/>
              </w:rPr>
              <w:t xml:space="preserve"> competition. </w:t>
            </w:r>
          </w:p>
          <w:p w:rsidR="00C9463F" w:rsidP="00C9463F" w14:paraId="2616C1A3" w14:textId="77777777">
            <w:pPr>
              <w:pStyle w:val="xmsonormal"/>
            </w:pPr>
            <w:r>
              <w:t> </w:t>
            </w:r>
          </w:p>
          <w:p w:rsidR="00BB0F23" w:rsidP="008706D1" w14:paraId="1BF9E966" w14:textId="47114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Order</w:t>
            </w:r>
            <w:r w:rsidRPr="00DC5D6C">
              <w:rPr>
                <w:sz w:val="22"/>
                <w:szCs w:val="22"/>
              </w:rPr>
              <w:t xml:space="preserve"> adopted today eliminate</w:t>
            </w:r>
            <w:r>
              <w:rPr>
                <w:sz w:val="22"/>
                <w:szCs w:val="22"/>
              </w:rPr>
              <w:t>s</w:t>
            </w:r>
            <w:r w:rsidRPr="00DC5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="0096453A">
              <w:rPr>
                <w:sz w:val="22"/>
                <w:szCs w:val="22"/>
              </w:rPr>
              <w:t xml:space="preserve">ules requiring </w:t>
            </w:r>
            <w:r w:rsidR="0056328F">
              <w:rPr>
                <w:sz w:val="22"/>
                <w:szCs w:val="22"/>
              </w:rPr>
              <w:t xml:space="preserve">unbundling of the </w:t>
            </w:r>
            <w:r>
              <w:rPr>
                <w:sz w:val="22"/>
                <w:szCs w:val="22"/>
              </w:rPr>
              <w:t xml:space="preserve">following </w:t>
            </w:r>
            <w:r w:rsidRPr="00DC5D6C">
              <w:rPr>
                <w:sz w:val="22"/>
                <w:szCs w:val="22"/>
              </w:rPr>
              <w:t>network element</w:t>
            </w:r>
            <w:r>
              <w:rPr>
                <w:sz w:val="22"/>
                <w:szCs w:val="22"/>
              </w:rPr>
              <w:t xml:space="preserve">s, subject to </w:t>
            </w:r>
            <w:r w:rsidR="00C9463F">
              <w:rPr>
                <w:sz w:val="22"/>
                <w:szCs w:val="22"/>
              </w:rPr>
              <w:t>certain conditions and multiyear</w:t>
            </w:r>
            <w:r>
              <w:rPr>
                <w:sz w:val="22"/>
                <w:szCs w:val="22"/>
              </w:rPr>
              <w:t xml:space="preserve"> transition periods: </w:t>
            </w:r>
          </w:p>
          <w:p w:rsidR="00BB0F23" w:rsidP="008706D1" w14:paraId="3D4DBF11" w14:textId="6AA7BFCC">
            <w:pPr>
              <w:rPr>
                <w:sz w:val="22"/>
                <w:szCs w:val="22"/>
              </w:rPr>
            </w:pPr>
          </w:p>
          <w:p w:rsidR="00BB0F23" w:rsidP="00BB0F23" w14:paraId="05207478" w14:textId="143718E0">
            <w:pPr>
              <w:pStyle w:val="ListParagraph"/>
              <w:numPr>
                <w:ilvl w:val="0"/>
                <w:numId w:val="6"/>
              </w:numPr>
              <w:spacing w:after="220"/>
              <w:contextualSpacing w:val="0"/>
              <w:rPr>
                <w:sz w:val="22"/>
                <w:szCs w:val="22"/>
              </w:rPr>
            </w:pPr>
            <w:r w:rsidRPr="005C540C">
              <w:rPr>
                <w:i/>
                <w:sz w:val="22"/>
                <w:szCs w:val="22"/>
              </w:rPr>
              <w:t>DS1 and DS3 Loops</w:t>
            </w:r>
            <w:r>
              <w:rPr>
                <w:sz w:val="22"/>
                <w:szCs w:val="22"/>
              </w:rPr>
              <w:t>—These l</w:t>
            </w:r>
            <w:r w:rsidRPr="00DC5D6C">
              <w:rPr>
                <w:sz w:val="22"/>
                <w:szCs w:val="22"/>
              </w:rPr>
              <w:t xml:space="preserve">egacy last-mile lines </w:t>
            </w:r>
            <w:r>
              <w:rPr>
                <w:sz w:val="22"/>
                <w:szCs w:val="22"/>
              </w:rPr>
              <w:t xml:space="preserve">are </w:t>
            </w:r>
            <w:r w:rsidRPr="00DC5D6C">
              <w:rPr>
                <w:sz w:val="22"/>
                <w:szCs w:val="22"/>
              </w:rPr>
              <w:t xml:space="preserve">used </w:t>
            </w:r>
            <w:r w:rsidR="0040548C">
              <w:rPr>
                <w:sz w:val="22"/>
                <w:szCs w:val="22"/>
              </w:rPr>
              <w:t>primarily</w:t>
            </w:r>
            <w:r w:rsidRPr="00DC5D6C" w:rsidR="0040548C">
              <w:rPr>
                <w:sz w:val="22"/>
                <w:szCs w:val="22"/>
              </w:rPr>
              <w:t xml:space="preserve"> </w:t>
            </w:r>
            <w:r w:rsidRPr="00DC5D6C">
              <w:rPr>
                <w:sz w:val="22"/>
                <w:szCs w:val="22"/>
              </w:rPr>
              <w:t>by business customers</w:t>
            </w:r>
            <w:r>
              <w:rPr>
                <w:sz w:val="22"/>
                <w:szCs w:val="22"/>
              </w:rPr>
              <w:t xml:space="preserve"> and are </w:t>
            </w:r>
            <w:r w:rsidRPr="00DC5D6C">
              <w:rPr>
                <w:sz w:val="22"/>
                <w:szCs w:val="22"/>
              </w:rPr>
              <w:t xml:space="preserve">being </w:t>
            </w:r>
            <w:r>
              <w:rPr>
                <w:sz w:val="22"/>
                <w:szCs w:val="22"/>
              </w:rPr>
              <w:t>replaced</w:t>
            </w:r>
            <w:r w:rsidRPr="00DC5D6C">
              <w:rPr>
                <w:sz w:val="22"/>
                <w:szCs w:val="22"/>
              </w:rPr>
              <w:t xml:space="preserve"> by higher-speed</w:t>
            </w:r>
            <w:r w:rsidR="001A06F3">
              <w:rPr>
                <w:sz w:val="22"/>
                <w:szCs w:val="22"/>
              </w:rPr>
              <w:t>, packet-based</w:t>
            </w:r>
            <w:r>
              <w:rPr>
                <w:sz w:val="22"/>
                <w:szCs w:val="22"/>
              </w:rPr>
              <w:t xml:space="preserve"> s</w:t>
            </w:r>
            <w:r w:rsidRPr="00DC5D6C">
              <w:rPr>
                <w:sz w:val="22"/>
                <w:szCs w:val="22"/>
              </w:rPr>
              <w:t xml:space="preserve">ervices sold by incumbent </w:t>
            </w:r>
            <w:r>
              <w:rPr>
                <w:sz w:val="22"/>
                <w:szCs w:val="22"/>
              </w:rPr>
              <w:t>local exchange carriers (</w:t>
            </w:r>
            <w:r w:rsidRPr="00DC5D6C">
              <w:rPr>
                <w:sz w:val="22"/>
                <w:szCs w:val="22"/>
              </w:rPr>
              <w:t>LECs</w:t>
            </w:r>
            <w:r>
              <w:rPr>
                <w:sz w:val="22"/>
                <w:szCs w:val="22"/>
              </w:rPr>
              <w:t>)</w:t>
            </w:r>
            <w:r w:rsidRPr="00DC5D6C">
              <w:rPr>
                <w:sz w:val="22"/>
                <w:szCs w:val="22"/>
              </w:rPr>
              <w:t xml:space="preserve">, competitive LECs, cable providers, and other intermodal competitors. </w:t>
            </w:r>
            <w:r>
              <w:rPr>
                <w:sz w:val="22"/>
                <w:szCs w:val="22"/>
              </w:rPr>
              <w:t xml:space="preserve"> The Order ends these</w:t>
            </w:r>
            <w:r w:rsidR="005773AA">
              <w:rPr>
                <w:sz w:val="22"/>
                <w:szCs w:val="22"/>
              </w:rPr>
              <w:t xml:space="preserve"> unbundling</w:t>
            </w:r>
            <w:r>
              <w:rPr>
                <w:sz w:val="22"/>
                <w:szCs w:val="22"/>
              </w:rPr>
              <w:t xml:space="preserve"> requirement</w:t>
            </w:r>
            <w:r w:rsidR="0096453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in areas with sufficient evidence of competition</w:t>
            </w:r>
            <w:r w:rsidR="008F4E5C">
              <w:rPr>
                <w:sz w:val="22"/>
                <w:szCs w:val="22"/>
              </w:rPr>
              <w:t xml:space="preserve"> </w:t>
            </w:r>
            <w:r w:rsidR="0096453A">
              <w:rPr>
                <w:sz w:val="22"/>
                <w:szCs w:val="22"/>
              </w:rPr>
              <w:t xml:space="preserve">but </w:t>
            </w:r>
            <w:r w:rsidR="008F4E5C">
              <w:rPr>
                <w:sz w:val="22"/>
                <w:szCs w:val="22"/>
              </w:rPr>
              <w:t xml:space="preserve">keeps </w:t>
            </w:r>
            <w:r w:rsidR="005F2DE0">
              <w:rPr>
                <w:sz w:val="22"/>
                <w:szCs w:val="22"/>
              </w:rPr>
              <w:t>the</w:t>
            </w:r>
            <w:r w:rsidR="008F4E5C">
              <w:rPr>
                <w:sz w:val="22"/>
                <w:szCs w:val="22"/>
              </w:rPr>
              <w:t xml:space="preserve">m in place </w:t>
            </w:r>
            <w:r w:rsidR="004401B2">
              <w:rPr>
                <w:sz w:val="22"/>
                <w:szCs w:val="22"/>
              </w:rPr>
              <w:t xml:space="preserve">in </w:t>
            </w:r>
            <w:r w:rsidR="008F4E5C">
              <w:rPr>
                <w:sz w:val="22"/>
                <w:szCs w:val="22"/>
              </w:rPr>
              <w:t xml:space="preserve">areas that lack sufficient competition. </w:t>
            </w:r>
          </w:p>
          <w:p w:rsidR="0096453A" w:rsidP="0096453A" w14:paraId="53EBDE4F" w14:textId="55D3D0E5">
            <w:pPr>
              <w:pStyle w:val="ListParagraph"/>
              <w:numPr>
                <w:ilvl w:val="0"/>
                <w:numId w:val="6"/>
              </w:numPr>
              <w:spacing w:after="220"/>
              <w:contextualSpacing w:val="0"/>
              <w:rPr>
                <w:sz w:val="22"/>
                <w:szCs w:val="22"/>
              </w:rPr>
            </w:pPr>
            <w:r w:rsidRPr="005C540C">
              <w:rPr>
                <w:i/>
                <w:sz w:val="22"/>
                <w:szCs w:val="22"/>
              </w:rPr>
              <w:t>DS0 Loops</w:t>
            </w:r>
            <w:r>
              <w:rPr>
                <w:sz w:val="22"/>
                <w:szCs w:val="22"/>
              </w:rPr>
              <w:t>—These network elements are typically used to provide both voice and broadband service using various D</w:t>
            </w:r>
            <w:r w:rsidR="000102B6">
              <w:rPr>
                <w:sz w:val="22"/>
                <w:szCs w:val="22"/>
              </w:rPr>
              <w:t xml:space="preserve">igital </w:t>
            </w:r>
            <w:r>
              <w:rPr>
                <w:sz w:val="22"/>
                <w:szCs w:val="22"/>
              </w:rPr>
              <w:t>S</w:t>
            </w:r>
            <w:r w:rsidR="000102B6">
              <w:rPr>
                <w:sz w:val="22"/>
                <w:szCs w:val="22"/>
              </w:rPr>
              <w:t xml:space="preserve">ubscriber </w:t>
            </w:r>
            <w:r>
              <w:rPr>
                <w:sz w:val="22"/>
                <w:szCs w:val="22"/>
              </w:rPr>
              <w:t>L</w:t>
            </w:r>
            <w:r w:rsidR="000102B6">
              <w:rPr>
                <w:sz w:val="22"/>
                <w:szCs w:val="22"/>
              </w:rPr>
              <w:t>ine</w:t>
            </w:r>
            <w:r>
              <w:rPr>
                <w:sz w:val="22"/>
                <w:szCs w:val="22"/>
              </w:rPr>
              <w:t xml:space="preserve"> technologies.  The Order </w:t>
            </w:r>
            <w:r w:rsidR="00D72F98">
              <w:rPr>
                <w:sz w:val="22"/>
                <w:szCs w:val="22"/>
              </w:rPr>
              <w:t>elimin</w:t>
            </w:r>
            <w:r w:rsidR="00F05BED">
              <w:rPr>
                <w:sz w:val="22"/>
                <w:szCs w:val="22"/>
              </w:rPr>
              <w:t xml:space="preserve">ates </w:t>
            </w:r>
            <w:r w:rsidR="00DA099C">
              <w:rPr>
                <w:sz w:val="22"/>
                <w:szCs w:val="22"/>
              </w:rPr>
              <w:t xml:space="preserve">unbundling requirements for </w:t>
            </w:r>
            <w:r w:rsidR="00F05BED">
              <w:rPr>
                <w:sz w:val="22"/>
                <w:szCs w:val="22"/>
              </w:rPr>
              <w:t xml:space="preserve">these loops in </w:t>
            </w:r>
            <w:r w:rsidR="00C210A1">
              <w:rPr>
                <w:sz w:val="22"/>
                <w:szCs w:val="22"/>
              </w:rPr>
              <w:t xml:space="preserve">densely populated areas, </w:t>
            </w:r>
            <w:r w:rsidR="00D72B83">
              <w:rPr>
                <w:sz w:val="22"/>
                <w:szCs w:val="22"/>
              </w:rPr>
              <w:t>which t</w:t>
            </w:r>
            <w:r w:rsidR="00BE0F81">
              <w:rPr>
                <w:sz w:val="22"/>
                <w:szCs w:val="22"/>
              </w:rPr>
              <w:t xml:space="preserve">end to have </w:t>
            </w:r>
            <w:r w:rsidR="007861F8">
              <w:rPr>
                <w:sz w:val="22"/>
                <w:szCs w:val="22"/>
              </w:rPr>
              <w:t xml:space="preserve">more competitive options, </w:t>
            </w:r>
            <w:r w:rsidR="00C210A1">
              <w:rPr>
                <w:sz w:val="22"/>
                <w:szCs w:val="22"/>
              </w:rPr>
              <w:t xml:space="preserve">but </w:t>
            </w:r>
            <w:r>
              <w:rPr>
                <w:sz w:val="22"/>
                <w:szCs w:val="22"/>
              </w:rPr>
              <w:t xml:space="preserve">preserves unbundling requirements for DS0 loops in less densely populated areas. </w:t>
            </w:r>
          </w:p>
          <w:p w:rsidR="008F4E5C" w:rsidRPr="00DC5D6C" w:rsidP="008F4E5C" w14:paraId="456510AB" w14:textId="5CE1DF13">
            <w:pPr>
              <w:pStyle w:val="ListParagraph"/>
              <w:numPr>
                <w:ilvl w:val="0"/>
                <w:numId w:val="6"/>
              </w:numPr>
              <w:spacing w:after="220"/>
              <w:contextualSpacing w:val="0"/>
              <w:rPr>
                <w:sz w:val="22"/>
                <w:szCs w:val="22"/>
              </w:rPr>
            </w:pPr>
            <w:r w:rsidRPr="005C540C">
              <w:rPr>
                <w:i/>
                <w:sz w:val="22"/>
                <w:szCs w:val="22"/>
              </w:rPr>
              <w:t>Legacy Narrowband Voice-Grade Loops</w:t>
            </w:r>
            <w:r>
              <w:rPr>
                <w:sz w:val="22"/>
                <w:szCs w:val="22"/>
              </w:rPr>
              <w:t xml:space="preserve">—These network elements are used to provide </w:t>
            </w:r>
            <w:r w:rsidR="00821ED8">
              <w:rPr>
                <w:sz w:val="22"/>
                <w:szCs w:val="22"/>
              </w:rPr>
              <w:t xml:space="preserve">legacy </w:t>
            </w:r>
            <w:r>
              <w:rPr>
                <w:sz w:val="22"/>
                <w:szCs w:val="22"/>
              </w:rPr>
              <w:t>voice service and</w:t>
            </w:r>
            <w:r w:rsidRPr="00DC5D6C">
              <w:rPr>
                <w:sz w:val="22"/>
                <w:szCs w:val="22"/>
              </w:rPr>
              <w:t xml:space="preserve"> have no broadband service capability</w:t>
            </w:r>
            <w:r>
              <w:rPr>
                <w:sz w:val="22"/>
                <w:szCs w:val="22"/>
              </w:rPr>
              <w:t xml:space="preserve">.  Given </w:t>
            </w:r>
            <w:r w:rsidR="007F321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shift away from</w:t>
            </w:r>
            <w:r w:rsidRPr="00DC5D6C">
              <w:rPr>
                <w:sz w:val="22"/>
                <w:szCs w:val="22"/>
              </w:rPr>
              <w:t xml:space="preserve"> legacy voice services </w:t>
            </w:r>
            <w:r>
              <w:rPr>
                <w:sz w:val="22"/>
                <w:szCs w:val="22"/>
              </w:rPr>
              <w:t xml:space="preserve">to </w:t>
            </w:r>
            <w:r w:rsidRPr="00DC5D6C">
              <w:rPr>
                <w:sz w:val="22"/>
                <w:szCs w:val="22"/>
              </w:rPr>
              <w:t xml:space="preserve">IP-and wireless-based voice services </w:t>
            </w:r>
            <w:r>
              <w:rPr>
                <w:sz w:val="22"/>
                <w:szCs w:val="22"/>
              </w:rPr>
              <w:t xml:space="preserve">offered by </w:t>
            </w:r>
            <w:r w:rsidRPr="00DC5D6C">
              <w:rPr>
                <w:sz w:val="22"/>
                <w:szCs w:val="22"/>
              </w:rPr>
              <w:t>multiple providers</w:t>
            </w:r>
            <w:r>
              <w:rPr>
                <w:sz w:val="22"/>
                <w:szCs w:val="22"/>
              </w:rPr>
              <w:t>, the Order removes unbundling obligations for narrowband voice-grade loops nationwide</w:t>
            </w:r>
            <w:r w:rsidRPr="00DC5D6C">
              <w:rPr>
                <w:sz w:val="22"/>
                <w:szCs w:val="22"/>
              </w:rPr>
              <w:t xml:space="preserve">.  </w:t>
            </w:r>
          </w:p>
          <w:p w:rsidR="00B546FB" w:rsidRPr="00C9463F" w:rsidP="00EC7C10" w14:paraId="392EDB45" w14:textId="28FDF2D4">
            <w:pPr>
              <w:pStyle w:val="ListParagraph"/>
              <w:numPr>
                <w:ilvl w:val="0"/>
                <w:numId w:val="6"/>
              </w:numPr>
              <w:spacing w:after="220"/>
              <w:contextualSpacing w:val="0"/>
              <w:rPr>
                <w:sz w:val="22"/>
                <w:szCs w:val="22"/>
              </w:rPr>
            </w:pPr>
            <w:r w:rsidRPr="005C540C">
              <w:rPr>
                <w:i/>
                <w:sz w:val="22"/>
                <w:szCs w:val="22"/>
              </w:rPr>
              <w:t>Dark Fiber Transport</w:t>
            </w:r>
            <w:r>
              <w:rPr>
                <w:sz w:val="22"/>
                <w:szCs w:val="22"/>
              </w:rPr>
              <w:t>—</w:t>
            </w:r>
            <w:r w:rsidR="00020C19">
              <w:rPr>
                <w:sz w:val="22"/>
                <w:szCs w:val="22"/>
              </w:rPr>
              <w:t xml:space="preserve">These services </w:t>
            </w:r>
            <w:r w:rsidRPr="00DC5D6C">
              <w:rPr>
                <w:sz w:val="22"/>
                <w:szCs w:val="22"/>
              </w:rPr>
              <w:t xml:space="preserve">provide a connection between phone companies’ </w:t>
            </w:r>
            <w:r w:rsidR="006D3B56">
              <w:rPr>
                <w:sz w:val="22"/>
                <w:szCs w:val="22"/>
              </w:rPr>
              <w:t xml:space="preserve">local </w:t>
            </w:r>
            <w:r w:rsidRPr="00DC5D6C">
              <w:rPr>
                <w:sz w:val="22"/>
                <w:szCs w:val="22"/>
              </w:rPr>
              <w:t xml:space="preserve">wire centers.  </w:t>
            </w:r>
            <w:r w:rsidR="00020C19">
              <w:rPr>
                <w:sz w:val="22"/>
                <w:szCs w:val="22"/>
              </w:rPr>
              <w:t xml:space="preserve">The Order eliminates unbundling requirements for dark </w:t>
            </w:r>
            <w:r w:rsidR="00020C19">
              <w:rPr>
                <w:sz w:val="22"/>
                <w:szCs w:val="22"/>
              </w:rPr>
              <w:t xml:space="preserve">fiber </w:t>
            </w:r>
            <w:r w:rsidR="00173D6E">
              <w:rPr>
                <w:sz w:val="22"/>
                <w:szCs w:val="22"/>
              </w:rPr>
              <w:t xml:space="preserve">transport </w:t>
            </w:r>
            <w:r w:rsidR="00C113D5">
              <w:rPr>
                <w:sz w:val="22"/>
                <w:szCs w:val="22"/>
              </w:rPr>
              <w:t>origin</w:t>
            </w:r>
            <w:r w:rsidR="00173D6E">
              <w:rPr>
                <w:sz w:val="22"/>
                <w:szCs w:val="22"/>
              </w:rPr>
              <w:t>ating or terminating from a wire center</w:t>
            </w:r>
            <w:r w:rsidR="00C113D5">
              <w:rPr>
                <w:sz w:val="22"/>
                <w:szCs w:val="22"/>
              </w:rPr>
              <w:t xml:space="preserve"> </w:t>
            </w:r>
            <w:r w:rsidR="00020C19">
              <w:rPr>
                <w:sz w:val="22"/>
                <w:szCs w:val="22"/>
              </w:rPr>
              <w:t>within a half</w:t>
            </w:r>
            <w:r w:rsidR="00124AEE">
              <w:rPr>
                <w:sz w:val="22"/>
                <w:szCs w:val="22"/>
              </w:rPr>
              <w:t>-</w:t>
            </w:r>
            <w:r w:rsidR="00020C19">
              <w:rPr>
                <w:sz w:val="22"/>
                <w:szCs w:val="22"/>
              </w:rPr>
              <w:t xml:space="preserve">mile of competitive fiber networks.  </w:t>
            </w:r>
          </w:p>
          <w:p w:rsidR="00EC7C10" w:rsidP="00EC7C10" w14:paraId="733F1839" w14:textId="315985EF">
            <w:pPr>
              <w:rPr>
                <w:sz w:val="22"/>
                <w:szCs w:val="22"/>
              </w:rPr>
            </w:pPr>
            <w:r w:rsidRPr="00DC5D6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Order also discontinues</w:t>
            </w:r>
            <w:r w:rsidR="00412C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subject to a three-year transition period</w:t>
            </w:r>
            <w:r w:rsidR="00412C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 </w:t>
            </w:r>
            <w:r w:rsidRPr="00DC5D6C">
              <w:rPr>
                <w:sz w:val="22"/>
                <w:szCs w:val="22"/>
              </w:rPr>
              <w:t xml:space="preserve">requirement that </w:t>
            </w:r>
            <w:r>
              <w:rPr>
                <w:sz w:val="22"/>
                <w:szCs w:val="22"/>
              </w:rPr>
              <w:t xml:space="preserve">incumbent LECs </w:t>
            </w:r>
            <w:r w:rsidR="00792D82">
              <w:rPr>
                <w:sz w:val="22"/>
                <w:szCs w:val="22"/>
              </w:rPr>
              <w:t>make available for resale</w:t>
            </w:r>
            <w:r w:rsidRPr="00DC5D6C" w:rsidR="00792D82">
              <w:rPr>
                <w:sz w:val="22"/>
                <w:szCs w:val="22"/>
              </w:rPr>
              <w:t xml:space="preserve"> </w:t>
            </w:r>
            <w:r w:rsidRPr="00DC5D6C">
              <w:rPr>
                <w:sz w:val="22"/>
                <w:szCs w:val="22"/>
              </w:rPr>
              <w:t xml:space="preserve">their </w:t>
            </w:r>
            <w:r>
              <w:rPr>
                <w:sz w:val="22"/>
                <w:szCs w:val="22"/>
              </w:rPr>
              <w:t xml:space="preserve">retail </w:t>
            </w:r>
            <w:r w:rsidRPr="00DC5D6C">
              <w:rPr>
                <w:sz w:val="22"/>
                <w:szCs w:val="22"/>
              </w:rPr>
              <w:t xml:space="preserve">legacy telecommunications services at </w:t>
            </w:r>
            <w:r w:rsidR="00DC399E">
              <w:rPr>
                <w:sz w:val="22"/>
                <w:szCs w:val="22"/>
              </w:rPr>
              <w:t>cost-based</w:t>
            </w:r>
            <w:r w:rsidRPr="00DC5D6C">
              <w:rPr>
                <w:sz w:val="22"/>
                <w:szCs w:val="22"/>
              </w:rPr>
              <w:t xml:space="preserve"> rates</w:t>
            </w:r>
            <w:r>
              <w:rPr>
                <w:sz w:val="22"/>
                <w:szCs w:val="22"/>
              </w:rPr>
              <w:t>.  These services are predominantly used by competitive LECs to provide legacy voice services to business and government</w:t>
            </w:r>
            <w:r w:rsidR="004557C6">
              <w:rPr>
                <w:sz w:val="22"/>
                <w:szCs w:val="22"/>
              </w:rPr>
              <w:t xml:space="preserve"> customers</w:t>
            </w:r>
            <w:r>
              <w:rPr>
                <w:sz w:val="22"/>
                <w:szCs w:val="22"/>
              </w:rPr>
              <w:t>.</w:t>
            </w:r>
          </w:p>
          <w:p w:rsidR="001D6947" w:rsidP="0075218E" w14:paraId="31E21A6B" w14:textId="77777777">
            <w:pPr>
              <w:rPr>
                <w:sz w:val="22"/>
                <w:szCs w:val="22"/>
              </w:rPr>
            </w:pPr>
          </w:p>
          <w:p w:rsidR="00BC1F96" w:rsidP="0075218E" w14:paraId="6EB1CD56" w14:textId="22B91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Many elements of </w:t>
            </w:r>
            <w:r w:rsidR="00997F05">
              <w:rPr>
                <w:sz w:val="22"/>
                <w:szCs w:val="22"/>
              </w:rPr>
              <w:t xml:space="preserve">today’s </w:t>
            </w:r>
            <w:r>
              <w:rPr>
                <w:sz w:val="22"/>
                <w:szCs w:val="22"/>
              </w:rPr>
              <w:t>Report and Order</w:t>
            </w:r>
            <w:r w:rsidR="007318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are </w:t>
            </w:r>
            <w:r w:rsidR="00FA273C">
              <w:rPr>
                <w:sz w:val="22"/>
                <w:szCs w:val="22"/>
              </w:rPr>
              <w:t>consistent with</w:t>
            </w:r>
            <w:r>
              <w:rPr>
                <w:sz w:val="22"/>
                <w:szCs w:val="22"/>
              </w:rPr>
              <w:t xml:space="preserve"> a</w:t>
            </w:r>
            <w:r w:rsidR="00890C1E">
              <w:rPr>
                <w:sz w:val="22"/>
                <w:szCs w:val="22"/>
              </w:rPr>
              <w:t xml:space="preserve"> compromise proposal </w:t>
            </w:r>
            <w:r w:rsidRPr="009C4EEA">
              <w:rPr>
                <w:sz w:val="22"/>
                <w:szCs w:val="22"/>
              </w:rPr>
              <w:t>for determining the appropriate scope of the Commission’s unbundling rules</w:t>
            </w:r>
            <w:r w:rsidRPr="009C4EEA" w:rsidR="006D3B56">
              <w:rPr>
                <w:sz w:val="22"/>
                <w:szCs w:val="22"/>
              </w:rPr>
              <w:t xml:space="preserve"> in today’s marketplace</w:t>
            </w:r>
            <w:r w:rsidRPr="00C9463F" w:rsidR="009C4EEA">
              <w:rPr>
                <w:sz w:val="22"/>
                <w:szCs w:val="22"/>
              </w:rPr>
              <w:t xml:space="preserve"> that was </w:t>
            </w:r>
            <w:r w:rsidRPr="009C4EEA" w:rsidR="009C4EEA">
              <w:rPr>
                <w:sz w:val="22"/>
                <w:szCs w:val="22"/>
              </w:rPr>
              <w:t>reached by major industry buyers and sellers of unbundled network elements</w:t>
            </w:r>
            <w:r w:rsidRPr="009C4E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3297B" w:rsidP="00952CE9" w14:paraId="79BC4C10" w14:textId="36F67B6E">
            <w:pPr>
              <w:rPr>
                <w:sz w:val="22"/>
                <w:szCs w:val="22"/>
              </w:rPr>
            </w:pPr>
          </w:p>
          <w:p w:rsidR="001C069D" w:rsidRPr="001C069D" w:rsidP="001C069D" w14:paraId="37B0CEF6" w14:textId="58639E12">
            <w:pPr>
              <w:rPr>
                <w:sz w:val="22"/>
                <w:szCs w:val="22"/>
              </w:rPr>
            </w:pPr>
            <w:r w:rsidRPr="001C069D">
              <w:rPr>
                <w:sz w:val="22"/>
                <w:szCs w:val="22"/>
              </w:rPr>
              <w:t>Action by the Commission October 27, 2020 by Report and Order (FCC 20-152).  Chairman Pai, Commissioners O’Rielly</w:t>
            </w:r>
            <w:r>
              <w:rPr>
                <w:sz w:val="22"/>
                <w:szCs w:val="22"/>
              </w:rPr>
              <w:t xml:space="preserve"> and</w:t>
            </w:r>
            <w:r w:rsidRPr="001C069D">
              <w:rPr>
                <w:sz w:val="22"/>
                <w:szCs w:val="22"/>
              </w:rPr>
              <w:t xml:space="preserve"> Carr</w:t>
            </w:r>
            <w:r>
              <w:rPr>
                <w:sz w:val="22"/>
                <w:szCs w:val="22"/>
              </w:rPr>
              <w:t xml:space="preserve"> </w:t>
            </w:r>
            <w:r w:rsidRPr="001C069D">
              <w:rPr>
                <w:sz w:val="22"/>
                <w:szCs w:val="22"/>
              </w:rPr>
              <w:t xml:space="preserve">approving.  </w:t>
            </w:r>
            <w:r>
              <w:rPr>
                <w:sz w:val="22"/>
                <w:szCs w:val="22"/>
              </w:rPr>
              <w:t xml:space="preserve">Commissioners </w:t>
            </w:r>
            <w:r w:rsidRPr="001C069D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</w:t>
            </w:r>
            <w:r w:rsidRPr="001C069D">
              <w:rPr>
                <w:sz w:val="22"/>
                <w:szCs w:val="22"/>
              </w:rPr>
              <w:t xml:space="preserve">and Starks </w:t>
            </w:r>
            <w:r>
              <w:rPr>
                <w:sz w:val="22"/>
                <w:szCs w:val="22"/>
              </w:rPr>
              <w:t xml:space="preserve">approving in part and dissenting in part.  </w:t>
            </w:r>
            <w:r w:rsidRPr="001C069D">
              <w:rPr>
                <w:sz w:val="22"/>
                <w:szCs w:val="22"/>
              </w:rPr>
              <w:t>Chairman Pai, Commissioners Carr, Rosenworcel, and Starks issuing separate statements.</w:t>
            </w:r>
          </w:p>
          <w:p w:rsidR="001C069D" w:rsidRPr="001C069D" w:rsidP="001C069D" w14:paraId="15009500" w14:textId="77777777">
            <w:pPr>
              <w:rPr>
                <w:sz w:val="22"/>
                <w:szCs w:val="22"/>
              </w:rPr>
            </w:pPr>
          </w:p>
          <w:p w:rsidR="001C069D" w:rsidP="001C069D" w14:paraId="28E9FF8F" w14:textId="5260EE7A">
            <w:pPr>
              <w:rPr>
                <w:sz w:val="22"/>
                <w:szCs w:val="22"/>
              </w:rPr>
            </w:pPr>
            <w:r w:rsidRPr="001C069D">
              <w:rPr>
                <w:sz w:val="22"/>
                <w:szCs w:val="22"/>
              </w:rPr>
              <w:t>WC Docket No. 19-308</w:t>
            </w:r>
          </w:p>
          <w:p w:rsidR="001C069D" w:rsidRPr="002E165B" w:rsidP="00952CE9" w14:paraId="29CFB67C" w14:textId="77777777">
            <w:pPr>
              <w:rPr>
                <w:sz w:val="22"/>
                <w:szCs w:val="22"/>
              </w:rPr>
            </w:pPr>
          </w:p>
          <w:p w:rsidR="002B1317" w:rsidRPr="007475A1" w:rsidP="009C46AC" w14:paraId="1E7D00E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B1317" w:rsidRPr="0080486B" w:rsidP="009C46AC" w14:paraId="3C983346" w14:textId="2B309F88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2B1317" w:rsidRPr="00EE0E90" w:rsidP="009C46AC" w14:paraId="35F3D55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156A8" w:rsidP="009C46AC" w14:paraId="664CBE2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2B1317" w:rsidRPr="00EF729B" w:rsidP="009C46AC" w14:paraId="2926C91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bookmarkEnd w:id="0"/>
    </w:tbl>
    <w:p w:rsidR="002B1317" w:rsidRPr="007528A5" w:rsidP="002B1317" w14:paraId="19366B1F" w14:textId="77777777">
      <w:pPr>
        <w:rPr>
          <w:b/>
          <w:bCs/>
          <w:sz w:val="2"/>
          <w:szCs w:val="2"/>
        </w:rPr>
      </w:pPr>
    </w:p>
    <w:p w:rsidR="00D641D3" w14:paraId="57B84D04" w14:textId="77777777"/>
    <w:sectPr w:rsidSect="009C46AC">
      <w:headerReference w:type="default" r:id="rId5"/>
      <w:footerReference w:type="default" r:id="rId6"/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810" w14:paraId="201CF89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810" w14:paraId="3A570B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B65CEF"/>
    <w:multiLevelType w:val="hybridMultilevel"/>
    <w:tmpl w:val="2DDA6B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574"/>
    <w:multiLevelType w:val="hybridMultilevel"/>
    <w:tmpl w:val="ECBEC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55C08"/>
    <w:multiLevelType w:val="hybridMultilevel"/>
    <w:tmpl w:val="B52CD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76541"/>
    <w:multiLevelType w:val="hybridMultilevel"/>
    <w:tmpl w:val="8ED89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36EEA"/>
    <w:multiLevelType w:val="multilevel"/>
    <w:tmpl w:val="8852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7CD12F34"/>
    <w:multiLevelType w:val="hybridMultilevel"/>
    <w:tmpl w:val="3D149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7"/>
    <w:rsid w:val="00000D3D"/>
    <w:rsid w:val="000102B6"/>
    <w:rsid w:val="000148A1"/>
    <w:rsid w:val="00020591"/>
    <w:rsid w:val="00020C19"/>
    <w:rsid w:val="0002393D"/>
    <w:rsid w:val="000306D5"/>
    <w:rsid w:val="00030756"/>
    <w:rsid w:val="00032D73"/>
    <w:rsid w:val="000335B7"/>
    <w:rsid w:val="00034DDD"/>
    <w:rsid w:val="00037CA3"/>
    <w:rsid w:val="00041E51"/>
    <w:rsid w:val="0004373B"/>
    <w:rsid w:val="00044220"/>
    <w:rsid w:val="00044BF9"/>
    <w:rsid w:val="00045976"/>
    <w:rsid w:val="00054BA0"/>
    <w:rsid w:val="00055EBB"/>
    <w:rsid w:val="000578C1"/>
    <w:rsid w:val="00060514"/>
    <w:rsid w:val="000614BA"/>
    <w:rsid w:val="00065091"/>
    <w:rsid w:val="00070145"/>
    <w:rsid w:val="00071E7E"/>
    <w:rsid w:val="000740C1"/>
    <w:rsid w:val="00076F71"/>
    <w:rsid w:val="00077A15"/>
    <w:rsid w:val="00077C64"/>
    <w:rsid w:val="00077F3E"/>
    <w:rsid w:val="00084083"/>
    <w:rsid w:val="00084A2B"/>
    <w:rsid w:val="00087002"/>
    <w:rsid w:val="00093A4C"/>
    <w:rsid w:val="000973CF"/>
    <w:rsid w:val="000B55F3"/>
    <w:rsid w:val="000B68CA"/>
    <w:rsid w:val="000C4B5C"/>
    <w:rsid w:val="000C6C71"/>
    <w:rsid w:val="000C7D4B"/>
    <w:rsid w:val="000D0236"/>
    <w:rsid w:val="000D1F02"/>
    <w:rsid w:val="000D275D"/>
    <w:rsid w:val="000E1016"/>
    <w:rsid w:val="000E5566"/>
    <w:rsid w:val="000F08C6"/>
    <w:rsid w:val="000F21D6"/>
    <w:rsid w:val="000F2CDA"/>
    <w:rsid w:val="000F2DBC"/>
    <w:rsid w:val="000F5D23"/>
    <w:rsid w:val="000F6EE9"/>
    <w:rsid w:val="00100936"/>
    <w:rsid w:val="001015C6"/>
    <w:rsid w:val="001023DB"/>
    <w:rsid w:val="0010381E"/>
    <w:rsid w:val="00104185"/>
    <w:rsid w:val="00105E65"/>
    <w:rsid w:val="00107C2C"/>
    <w:rsid w:val="001111B0"/>
    <w:rsid w:val="00111714"/>
    <w:rsid w:val="00111BEB"/>
    <w:rsid w:val="00112206"/>
    <w:rsid w:val="00115C9F"/>
    <w:rsid w:val="00116A9E"/>
    <w:rsid w:val="00124AEE"/>
    <w:rsid w:val="0013245D"/>
    <w:rsid w:val="00133250"/>
    <w:rsid w:val="0013487A"/>
    <w:rsid w:val="001375ED"/>
    <w:rsid w:val="00141390"/>
    <w:rsid w:val="00141C3D"/>
    <w:rsid w:val="0014235A"/>
    <w:rsid w:val="00142D13"/>
    <w:rsid w:val="00145A93"/>
    <w:rsid w:val="00150EAB"/>
    <w:rsid w:val="00153052"/>
    <w:rsid w:val="001548C2"/>
    <w:rsid w:val="00155BA8"/>
    <w:rsid w:val="00173344"/>
    <w:rsid w:val="00173D6E"/>
    <w:rsid w:val="001817E0"/>
    <w:rsid w:val="001817F1"/>
    <w:rsid w:val="001828B1"/>
    <w:rsid w:val="00185348"/>
    <w:rsid w:val="0019026B"/>
    <w:rsid w:val="001930C5"/>
    <w:rsid w:val="00193903"/>
    <w:rsid w:val="00196B7C"/>
    <w:rsid w:val="001A06F3"/>
    <w:rsid w:val="001A2A72"/>
    <w:rsid w:val="001A42A7"/>
    <w:rsid w:val="001A446E"/>
    <w:rsid w:val="001B07BB"/>
    <w:rsid w:val="001B0890"/>
    <w:rsid w:val="001B093B"/>
    <w:rsid w:val="001B2435"/>
    <w:rsid w:val="001B2FA8"/>
    <w:rsid w:val="001B3303"/>
    <w:rsid w:val="001B4222"/>
    <w:rsid w:val="001B4B51"/>
    <w:rsid w:val="001C069D"/>
    <w:rsid w:val="001C22FF"/>
    <w:rsid w:val="001C33D0"/>
    <w:rsid w:val="001C4FB1"/>
    <w:rsid w:val="001D155B"/>
    <w:rsid w:val="001D22F8"/>
    <w:rsid w:val="001D6947"/>
    <w:rsid w:val="001D7EC4"/>
    <w:rsid w:val="001E2DE5"/>
    <w:rsid w:val="001E7B7E"/>
    <w:rsid w:val="001F2F5E"/>
    <w:rsid w:val="001F3375"/>
    <w:rsid w:val="001F5C16"/>
    <w:rsid w:val="001F6AC2"/>
    <w:rsid w:val="001F6C0B"/>
    <w:rsid w:val="001F6F19"/>
    <w:rsid w:val="001F74AF"/>
    <w:rsid w:val="001F7A4D"/>
    <w:rsid w:val="00200935"/>
    <w:rsid w:val="002064C7"/>
    <w:rsid w:val="002104B3"/>
    <w:rsid w:val="00213061"/>
    <w:rsid w:val="002218AD"/>
    <w:rsid w:val="00227CB4"/>
    <w:rsid w:val="00231406"/>
    <w:rsid w:val="00233701"/>
    <w:rsid w:val="00233BA3"/>
    <w:rsid w:val="002341F2"/>
    <w:rsid w:val="00237058"/>
    <w:rsid w:val="00242938"/>
    <w:rsid w:val="00251652"/>
    <w:rsid w:val="00253226"/>
    <w:rsid w:val="002675C4"/>
    <w:rsid w:val="002703B8"/>
    <w:rsid w:val="002708CF"/>
    <w:rsid w:val="0027120D"/>
    <w:rsid w:val="00275924"/>
    <w:rsid w:val="00276846"/>
    <w:rsid w:val="0028292D"/>
    <w:rsid w:val="002918B5"/>
    <w:rsid w:val="002A06E2"/>
    <w:rsid w:val="002A25A5"/>
    <w:rsid w:val="002A5198"/>
    <w:rsid w:val="002A7419"/>
    <w:rsid w:val="002B1317"/>
    <w:rsid w:val="002B6041"/>
    <w:rsid w:val="002C2700"/>
    <w:rsid w:val="002C37DF"/>
    <w:rsid w:val="002C5D17"/>
    <w:rsid w:val="002C71F7"/>
    <w:rsid w:val="002D17A2"/>
    <w:rsid w:val="002D72F4"/>
    <w:rsid w:val="002E0B8B"/>
    <w:rsid w:val="002E165B"/>
    <w:rsid w:val="002E2DBA"/>
    <w:rsid w:val="002E3CB4"/>
    <w:rsid w:val="002E558D"/>
    <w:rsid w:val="002F2B8D"/>
    <w:rsid w:val="00304597"/>
    <w:rsid w:val="003059C3"/>
    <w:rsid w:val="003127BE"/>
    <w:rsid w:val="00317394"/>
    <w:rsid w:val="00317D4D"/>
    <w:rsid w:val="003215C1"/>
    <w:rsid w:val="003220DA"/>
    <w:rsid w:val="003237BF"/>
    <w:rsid w:val="00323F08"/>
    <w:rsid w:val="00325827"/>
    <w:rsid w:val="00326885"/>
    <w:rsid w:val="0033104A"/>
    <w:rsid w:val="00331286"/>
    <w:rsid w:val="0033151E"/>
    <w:rsid w:val="0033390D"/>
    <w:rsid w:val="0033672D"/>
    <w:rsid w:val="003401EC"/>
    <w:rsid w:val="00344536"/>
    <w:rsid w:val="00347992"/>
    <w:rsid w:val="00351E6B"/>
    <w:rsid w:val="00361190"/>
    <w:rsid w:val="00364E84"/>
    <w:rsid w:val="00366A18"/>
    <w:rsid w:val="00383020"/>
    <w:rsid w:val="00383E9F"/>
    <w:rsid w:val="00384C1C"/>
    <w:rsid w:val="003877C4"/>
    <w:rsid w:val="0039028E"/>
    <w:rsid w:val="00390FEE"/>
    <w:rsid w:val="003A232A"/>
    <w:rsid w:val="003A51DA"/>
    <w:rsid w:val="003A5B99"/>
    <w:rsid w:val="003B0D9A"/>
    <w:rsid w:val="003B30A4"/>
    <w:rsid w:val="003C51E6"/>
    <w:rsid w:val="003D3FB5"/>
    <w:rsid w:val="003D75BB"/>
    <w:rsid w:val="003E4301"/>
    <w:rsid w:val="003E631E"/>
    <w:rsid w:val="003E7A90"/>
    <w:rsid w:val="003F1BBF"/>
    <w:rsid w:val="003F5592"/>
    <w:rsid w:val="003F6105"/>
    <w:rsid w:val="00400759"/>
    <w:rsid w:val="00400E59"/>
    <w:rsid w:val="00400E7B"/>
    <w:rsid w:val="0040548C"/>
    <w:rsid w:val="00407159"/>
    <w:rsid w:val="00407E4F"/>
    <w:rsid w:val="0041004C"/>
    <w:rsid w:val="00411A6A"/>
    <w:rsid w:val="00411EF6"/>
    <w:rsid w:val="00412CB4"/>
    <w:rsid w:val="00422721"/>
    <w:rsid w:val="00432CD3"/>
    <w:rsid w:val="00434DED"/>
    <w:rsid w:val="004401B2"/>
    <w:rsid w:val="004413D2"/>
    <w:rsid w:val="00446934"/>
    <w:rsid w:val="00453560"/>
    <w:rsid w:val="004557C6"/>
    <w:rsid w:val="00460686"/>
    <w:rsid w:val="00460A45"/>
    <w:rsid w:val="00462485"/>
    <w:rsid w:val="00462D2A"/>
    <w:rsid w:val="00463F82"/>
    <w:rsid w:val="00467377"/>
    <w:rsid w:val="00472D81"/>
    <w:rsid w:val="004747D3"/>
    <w:rsid w:val="00476F8B"/>
    <w:rsid w:val="00485EC4"/>
    <w:rsid w:val="004918A4"/>
    <w:rsid w:val="00497FC5"/>
    <w:rsid w:val="004A1A28"/>
    <w:rsid w:val="004A6CD7"/>
    <w:rsid w:val="004A729A"/>
    <w:rsid w:val="004B291B"/>
    <w:rsid w:val="004B532C"/>
    <w:rsid w:val="004B7D84"/>
    <w:rsid w:val="004C15BE"/>
    <w:rsid w:val="004C21DD"/>
    <w:rsid w:val="004C7BB6"/>
    <w:rsid w:val="004D1880"/>
    <w:rsid w:val="004D693C"/>
    <w:rsid w:val="004F1135"/>
    <w:rsid w:val="004F2ED3"/>
    <w:rsid w:val="004F5292"/>
    <w:rsid w:val="00504AD3"/>
    <w:rsid w:val="005174F9"/>
    <w:rsid w:val="005217E2"/>
    <w:rsid w:val="00521F4E"/>
    <w:rsid w:val="00522F40"/>
    <w:rsid w:val="0052398D"/>
    <w:rsid w:val="00525DBC"/>
    <w:rsid w:val="005263E6"/>
    <w:rsid w:val="005304D6"/>
    <w:rsid w:val="0053566E"/>
    <w:rsid w:val="00540C9A"/>
    <w:rsid w:val="0054466C"/>
    <w:rsid w:val="00544D12"/>
    <w:rsid w:val="00556B15"/>
    <w:rsid w:val="00562FFF"/>
    <w:rsid w:val="0056328F"/>
    <w:rsid w:val="0056743E"/>
    <w:rsid w:val="005741E6"/>
    <w:rsid w:val="00574A9D"/>
    <w:rsid w:val="0057646C"/>
    <w:rsid w:val="00576620"/>
    <w:rsid w:val="005773AA"/>
    <w:rsid w:val="00583016"/>
    <w:rsid w:val="00583B71"/>
    <w:rsid w:val="00586AC6"/>
    <w:rsid w:val="00587208"/>
    <w:rsid w:val="0058737D"/>
    <w:rsid w:val="00592D37"/>
    <w:rsid w:val="00596C45"/>
    <w:rsid w:val="00597A32"/>
    <w:rsid w:val="005A661A"/>
    <w:rsid w:val="005A7306"/>
    <w:rsid w:val="005B4E18"/>
    <w:rsid w:val="005B5A54"/>
    <w:rsid w:val="005C306D"/>
    <w:rsid w:val="005C540C"/>
    <w:rsid w:val="005C70C4"/>
    <w:rsid w:val="005D0E61"/>
    <w:rsid w:val="005D4E02"/>
    <w:rsid w:val="005D58C2"/>
    <w:rsid w:val="005E048E"/>
    <w:rsid w:val="005E2ABB"/>
    <w:rsid w:val="005E3B82"/>
    <w:rsid w:val="005E4587"/>
    <w:rsid w:val="005E6FA8"/>
    <w:rsid w:val="005F1015"/>
    <w:rsid w:val="005F2DE0"/>
    <w:rsid w:val="005F571C"/>
    <w:rsid w:val="00600564"/>
    <w:rsid w:val="00601032"/>
    <w:rsid w:val="00601A8C"/>
    <w:rsid w:val="006069A0"/>
    <w:rsid w:val="00611C36"/>
    <w:rsid w:val="0061205E"/>
    <w:rsid w:val="00613A99"/>
    <w:rsid w:val="00616D82"/>
    <w:rsid w:val="006249E1"/>
    <w:rsid w:val="00624DFA"/>
    <w:rsid w:val="006253BD"/>
    <w:rsid w:val="00625E33"/>
    <w:rsid w:val="00626671"/>
    <w:rsid w:val="00627625"/>
    <w:rsid w:val="006324C2"/>
    <w:rsid w:val="006401EE"/>
    <w:rsid w:val="00650F87"/>
    <w:rsid w:val="00651605"/>
    <w:rsid w:val="006534B5"/>
    <w:rsid w:val="00654003"/>
    <w:rsid w:val="006557B7"/>
    <w:rsid w:val="006602AA"/>
    <w:rsid w:val="00664FAB"/>
    <w:rsid w:val="0066734E"/>
    <w:rsid w:val="00670809"/>
    <w:rsid w:val="00672425"/>
    <w:rsid w:val="00674DAD"/>
    <w:rsid w:val="006772A9"/>
    <w:rsid w:val="00687BAB"/>
    <w:rsid w:val="00693E66"/>
    <w:rsid w:val="006955FC"/>
    <w:rsid w:val="006A2578"/>
    <w:rsid w:val="006A3D24"/>
    <w:rsid w:val="006C275A"/>
    <w:rsid w:val="006C2F69"/>
    <w:rsid w:val="006C328F"/>
    <w:rsid w:val="006D042B"/>
    <w:rsid w:val="006D176B"/>
    <w:rsid w:val="006D21A0"/>
    <w:rsid w:val="006D2988"/>
    <w:rsid w:val="006D2DF4"/>
    <w:rsid w:val="006D2F93"/>
    <w:rsid w:val="006D3B56"/>
    <w:rsid w:val="006D6A26"/>
    <w:rsid w:val="006E7E13"/>
    <w:rsid w:val="006F5920"/>
    <w:rsid w:val="006F752F"/>
    <w:rsid w:val="00703E5B"/>
    <w:rsid w:val="00710652"/>
    <w:rsid w:val="00710928"/>
    <w:rsid w:val="00713542"/>
    <w:rsid w:val="00715E66"/>
    <w:rsid w:val="0072037E"/>
    <w:rsid w:val="00725273"/>
    <w:rsid w:val="00725855"/>
    <w:rsid w:val="0072641E"/>
    <w:rsid w:val="00731810"/>
    <w:rsid w:val="00731CC6"/>
    <w:rsid w:val="00740B8C"/>
    <w:rsid w:val="007440B6"/>
    <w:rsid w:val="007475A1"/>
    <w:rsid w:val="00750E33"/>
    <w:rsid w:val="00751F98"/>
    <w:rsid w:val="0075218E"/>
    <w:rsid w:val="0075273E"/>
    <w:rsid w:val="007528A5"/>
    <w:rsid w:val="00753500"/>
    <w:rsid w:val="0076229F"/>
    <w:rsid w:val="00762CDE"/>
    <w:rsid w:val="00772A11"/>
    <w:rsid w:val="00781711"/>
    <w:rsid w:val="00784E61"/>
    <w:rsid w:val="007861F8"/>
    <w:rsid w:val="00792AEF"/>
    <w:rsid w:val="00792D82"/>
    <w:rsid w:val="007969BA"/>
    <w:rsid w:val="00797183"/>
    <w:rsid w:val="007A3010"/>
    <w:rsid w:val="007A4668"/>
    <w:rsid w:val="007A6CA7"/>
    <w:rsid w:val="007A7308"/>
    <w:rsid w:val="007B16C1"/>
    <w:rsid w:val="007B4941"/>
    <w:rsid w:val="007B6AEE"/>
    <w:rsid w:val="007D17D6"/>
    <w:rsid w:val="007D1B3F"/>
    <w:rsid w:val="007D2A6A"/>
    <w:rsid w:val="007D317D"/>
    <w:rsid w:val="007D3BF8"/>
    <w:rsid w:val="007E3C96"/>
    <w:rsid w:val="007E47F9"/>
    <w:rsid w:val="007E6AE5"/>
    <w:rsid w:val="007F1667"/>
    <w:rsid w:val="007F3214"/>
    <w:rsid w:val="007F794E"/>
    <w:rsid w:val="00800B23"/>
    <w:rsid w:val="00804592"/>
    <w:rsid w:val="0080486B"/>
    <w:rsid w:val="0080560D"/>
    <w:rsid w:val="00810C33"/>
    <w:rsid w:val="008118D4"/>
    <w:rsid w:val="00816B43"/>
    <w:rsid w:val="00816BD0"/>
    <w:rsid w:val="00821ED8"/>
    <w:rsid w:val="00826277"/>
    <w:rsid w:val="00827376"/>
    <w:rsid w:val="008376DC"/>
    <w:rsid w:val="00847ADD"/>
    <w:rsid w:val="00850E13"/>
    <w:rsid w:val="008516AF"/>
    <w:rsid w:val="008530CD"/>
    <w:rsid w:val="00864621"/>
    <w:rsid w:val="008706D1"/>
    <w:rsid w:val="008739C1"/>
    <w:rsid w:val="008766AB"/>
    <w:rsid w:val="00882E24"/>
    <w:rsid w:val="00890C1E"/>
    <w:rsid w:val="00891FA0"/>
    <w:rsid w:val="00894021"/>
    <w:rsid w:val="00894900"/>
    <w:rsid w:val="00894C04"/>
    <w:rsid w:val="00894DBB"/>
    <w:rsid w:val="00897B78"/>
    <w:rsid w:val="008A2C30"/>
    <w:rsid w:val="008A3940"/>
    <w:rsid w:val="008A57F5"/>
    <w:rsid w:val="008B7E0C"/>
    <w:rsid w:val="008C0101"/>
    <w:rsid w:val="008C2D7A"/>
    <w:rsid w:val="008C2EBA"/>
    <w:rsid w:val="008C3AEE"/>
    <w:rsid w:val="008C6F33"/>
    <w:rsid w:val="008C7A4D"/>
    <w:rsid w:val="008D08B6"/>
    <w:rsid w:val="008D12EC"/>
    <w:rsid w:val="008D3838"/>
    <w:rsid w:val="008E1B9E"/>
    <w:rsid w:val="008E41B3"/>
    <w:rsid w:val="008F1F0F"/>
    <w:rsid w:val="008F4E5C"/>
    <w:rsid w:val="008F631B"/>
    <w:rsid w:val="00900B13"/>
    <w:rsid w:val="009011A3"/>
    <w:rsid w:val="00901503"/>
    <w:rsid w:val="009027D8"/>
    <w:rsid w:val="00903C1A"/>
    <w:rsid w:val="00910390"/>
    <w:rsid w:val="009116DD"/>
    <w:rsid w:val="00917C07"/>
    <w:rsid w:val="00922187"/>
    <w:rsid w:val="009222BC"/>
    <w:rsid w:val="00937FC0"/>
    <w:rsid w:val="00950C1B"/>
    <w:rsid w:val="00952CE9"/>
    <w:rsid w:val="0095357B"/>
    <w:rsid w:val="00961B8E"/>
    <w:rsid w:val="0096453A"/>
    <w:rsid w:val="00966EAC"/>
    <w:rsid w:val="00970ADE"/>
    <w:rsid w:val="00972295"/>
    <w:rsid w:val="00973EE0"/>
    <w:rsid w:val="009811C2"/>
    <w:rsid w:val="00983272"/>
    <w:rsid w:val="009847F3"/>
    <w:rsid w:val="0098707F"/>
    <w:rsid w:val="00991E6C"/>
    <w:rsid w:val="0099240E"/>
    <w:rsid w:val="009975EE"/>
    <w:rsid w:val="00997F05"/>
    <w:rsid w:val="009A0AAF"/>
    <w:rsid w:val="009A50F8"/>
    <w:rsid w:val="009A6AE2"/>
    <w:rsid w:val="009B1BA5"/>
    <w:rsid w:val="009B48A5"/>
    <w:rsid w:val="009B4CF4"/>
    <w:rsid w:val="009B5F88"/>
    <w:rsid w:val="009B6157"/>
    <w:rsid w:val="009B7BB4"/>
    <w:rsid w:val="009C04F8"/>
    <w:rsid w:val="009C3987"/>
    <w:rsid w:val="009C46AC"/>
    <w:rsid w:val="009C4EEA"/>
    <w:rsid w:val="009D7B66"/>
    <w:rsid w:val="009E62CE"/>
    <w:rsid w:val="00A03E5D"/>
    <w:rsid w:val="00A065C2"/>
    <w:rsid w:val="00A11EA7"/>
    <w:rsid w:val="00A244B9"/>
    <w:rsid w:val="00A32EF2"/>
    <w:rsid w:val="00A36D45"/>
    <w:rsid w:val="00A41357"/>
    <w:rsid w:val="00A44A21"/>
    <w:rsid w:val="00A44A97"/>
    <w:rsid w:val="00A52BCB"/>
    <w:rsid w:val="00A55593"/>
    <w:rsid w:val="00A60C6F"/>
    <w:rsid w:val="00A61C00"/>
    <w:rsid w:val="00A7357D"/>
    <w:rsid w:val="00A7390F"/>
    <w:rsid w:val="00A812C2"/>
    <w:rsid w:val="00A82CC6"/>
    <w:rsid w:val="00A83C35"/>
    <w:rsid w:val="00A84589"/>
    <w:rsid w:val="00A84BE1"/>
    <w:rsid w:val="00A869A4"/>
    <w:rsid w:val="00A90E5B"/>
    <w:rsid w:val="00A915D5"/>
    <w:rsid w:val="00A94FD3"/>
    <w:rsid w:val="00A976C7"/>
    <w:rsid w:val="00AA11B3"/>
    <w:rsid w:val="00AA3CFE"/>
    <w:rsid w:val="00AA7EB9"/>
    <w:rsid w:val="00AB0919"/>
    <w:rsid w:val="00AB0A28"/>
    <w:rsid w:val="00AB302C"/>
    <w:rsid w:val="00AB3E91"/>
    <w:rsid w:val="00AB5467"/>
    <w:rsid w:val="00AC0128"/>
    <w:rsid w:val="00AC17B5"/>
    <w:rsid w:val="00AC48B1"/>
    <w:rsid w:val="00AC54B3"/>
    <w:rsid w:val="00AC6240"/>
    <w:rsid w:val="00AD55A8"/>
    <w:rsid w:val="00AE14FA"/>
    <w:rsid w:val="00AE337B"/>
    <w:rsid w:val="00AE723C"/>
    <w:rsid w:val="00AF05BE"/>
    <w:rsid w:val="00AF1129"/>
    <w:rsid w:val="00B0028D"/>
    <w:rsid w:val="00B0097B"/>
    <w:rsid w:val="00B04A22"/>
    <w:rsid w:val="00B04EC6"/>
    <w:rsid w:val="00B07455"/>
    <w:rsid w:val="00B123F9"/>
    <w:rsid w:val="00B20020"/>
    <w:rsid w:val="00B2072D"/>
    <w:rsid w:val="00B20785"/>
    <w:rsid w:val="00B246B8"/>
    <w:rsid w:val="00B33845"/>
    <w:rsid w:val="00B359A1"/>
    <w:rsid w:val="00B37E33"/>
    <w:rsid w:val="00B406EC"/>
    <w:rsid w:val="00B4240B"/>
    <w:rsid w:val="00B470AC"/>
    <w:rsid w:val="00B53720"/>
    <w:rsid w:val="00B5422D"/>
    <w:rsid w:val="00B546FB"/>
    <w:rsid w:val="00B601BA"/>
    <w:rsid w:val="00B63691"/>
    <w:rsid w:val="00B6406F"/>
    <w:rsid w:val="00B650A8"/>
    <w:rsid w:val="00B80E02"/>
    <w:rsid w:val="00B82584"/>
    <w:rsid w:val="00B83253"/>
    <w:rsid w:val="00B87E9E"/>
    <w:rsid w:val="00B906AE"/>
    <w:rsid w:val="00B94864"/>
    <w:rsid w:val="00B95552"/>
    <w:rsid w:val="00B961F8"/>
    <w:rsid w:val="00BA1605"/>
    <w:rsid w:val="00BA5549"/>
    <w:rsid w:val="00BB0F23"/>
    <w:rsid w:val="00BB3012"/>
    <w:rsid w:val="00BB641D"/>
    <w:rsid w:val="00BC0F00"/>
    <w:rsid w:val="00BC1F96"/>
    <w:rsid w:val="00BC3724"/>
    <w:rsid w:val="00BC46D2"/>
    <w:rsid w:val="00BC60DE"/>
    <w:rsid w:val="00BD60D6"/>
    <w:rsid w:val="00BE0F81"/>
    <w:rsid w:val="00BE26D1"/>
    <w:rsid w:val="00BE63FC"/>
    <w:rsid w:val="00BF0D52"/>
    <w:rsid w:val="00BF281C"/>
    <w:rsid w:val="00BF29DA"/>
    <w:rsid w:val="00C0073E"/>
    <w:rsid w:val="00C00FF0"/>
    <w:rsid w:val="00C113D5"/>
    <w:rsid w:val="00C15CB8"/>
    <w:rsid w:val="00C1726B"/>
    <w:rsid w:val="00C17F6C"/>
    <w:rsid w:val="00C210A1"/>
    <w:rsid w:val="00C222B1"/>
    <w:rsid w:val="00C265EA"/>
    <w:rsid w:val="00C3297B"/>
    <w:rsid w:val="00C4114F"/>
    <w:rsid w:val="00C427CE"/>
    <w:rsid w:val="00C45756"/>
    <w:rsid w:val="00C46331"/>
    <w:rsid w:val="00C50D18"/>
    <w:rsid w:val="00C67781"/>
    <w:rsid w:val="00C70310"/>
    <w:rsid w:val="00C704DA"/>
    <w:rsid w:val="00C77274"/>
    <w:rsid w:val="00C77986"/>
    <w:rsid w:val="00C82872"/>
    <w:rsid w:val="00C82C5B"/>
    <w:rsid w:val="00C9442F"/>
    <w:rsid w:val="00C9463F"/>
    <w:rsid w:val="00C94D2A"/>
    <w:rsid w:val="00C95AA0"/>
    <w:rsid w:val="00CA105E"/>
    <w:rsid w:val="00CA5B1C"/>
    <w:rsid w:val="00CA5CF6"/>
    <w:rsid w:val="00CA6E7C"/>
    <w:rsid w:val="00CA7F63"/>
    <w:rsid w:val="00CB594E"/>
    <w:rsid w:val="00CB5F99"/>
    <w:rsid w:val="00CC0E3B"/>
    <w:rsid w:val="00CC37B4"/>
    <w:rsid w:val="00CC41BC"/>
    <w:rsid w:val="00CC7078"/>
    <w:rsid w:val="00CD09E6"/>
    <w:rsid w:val="00CD7B9F"/>
    <w:rsid w:val="00CE0594"/>
    <w:rsid w:val="00CE2A11"/>
    <w:rsid w:val="00CE7522"/>
    <w:rsid w:val="00CE7DA2"/>
    <w:rsid w:val="00CF1906"/>
    <w:rsid w:val="00CF3D1E"/>
    <w:rsid w:val="00CF5AA6"/>
    <w:rsid w:val="00CF7B21"/>
    <w:rsid w:val="00D0056D"/>
    <w:rsid w:val="00D02C46"/>
    <w:rsid w:val="00D03D1A"/>
    <w:rsid w:val="00D07296"/>
    <w:rsid w:val="00D10179"/>
    <w:rsid w:val="00D11C59"/>
    <w:rsid w:val="00D14510"/>
    <w:rsid w:val="00D14E63"/>
    <w:rsid w:val="00D2334E"/>
    <w:rsid w:val="00D24F21"/>
    <w:rsid w:val="00D30C76"/>
    <w:rsid w:val="00D32497"/>
    <w:rsid w:val="00D333C2"/>
    <w:rsid w:val="00D34A18"/>
    <w:rsid w:val="00D34E41"/>
    <w:rsid w:val="00D3684D"/>
    <w:rsid w:val="00D371B5"/>
    <w:rsid w:val="00D374BD"/>
    <w:rsid w:val="00D37F38"/>
    <w:rsid w:val="00D42AAA"/>
    <w:rsid w:val="00D44BCF"/>
    <w:rsid w:val="00D523BD"/>
    <w:rsid w:val="00D543DD"/>
    <w:rsid w:val="00D60C1D"/>
    <w:rsid w:val="00D641D3"/>
    <w:rsid w:val="00D72B83"/>
    <w:rsid w:val="00D72F98"/>
    <w:rsid w:val="00D75CFF"/>
    <w:rsid w:val="00D763F1"/>
    <w:rsid w:val="00D8466F"/>
    <w:rsid w:val="00D854F2"/>
    <w:rsid w:val="00D900E4"/>
    <w:rsid w:val="00D915D5"/>
    <w:rsid w:val="00D94AF9"/>
    <w:rsid w:val="00D964B5"/>
    <w:rsid w:val="00D975A2"/>
    <w:rsid w:val="00DA099C"/>
    <w:rsid w:val="00DA3573"/>
    <w:rsid w:val="00DA4760"/>
    <w:rsid w:val="00DA54C4"/>
    <w:rsid w:val="00DA7EB8"/>
    <w:rsid w:val="00DB19DB"/>
    <w:rsid w:val="00DB5282"/>
    <w:rsid w:val="00DB64C6"/>
    <w:rsid w:val="00DB6E9C"/>
    <w:rsid w:val="00DC1780"/>
    <w:rsid w:val="00DC27A7"/>
    <w:rsid w:val="00DC399E"/>
    <w:rsid w:val="00DC5D6C"/>
    <w:rsid w:val="00DC6047"/>
    <w:rsid w:val="00DC6AFF"/>
    <w:rsid w:val="00DD16C9"/>
    <w:rsid w:val="00DD1E76"/>
    <w:rsid w:val="00DE3BFA"/>
    <w:rsid w:val="00DF4302"/>
    <w:rsid w:val="00E002C8"/>
    <w:rsid w:val="00E00835"/>
    <w:rsid w:val="00E0179A"/>
    <w:rsid w:val="00E028C3"/>
    <w:rsid w:val="00E04086"/>
    <w:rsid w:val="00E0627A"/>
    <w:rsid w:val="00E10ED8"/>
    <w:rsid w:val="00E12FA0"/>
    <w:rsid w:val="00E13FD4"/>
    <w:rsid w:val="00E14005"/>
    <w:rsid w:val="00E1568D"/>
    <w:rsid w:val="00E156A8"/>
    <w:rsid w:val="00E16BF0"/>
    <w:rsid w:val="00E215C3"/>
    <w:rsid w:val="00E22FE9"/>
    <w:rsid w:val="00E24B0B"/>
    <w:rsid w:val="00E2786D"/>
    <w:rsid w:val="00E301A0"/>
    <w:rsid w:val="00E32834"/>
    <w:rsid w:val="00E33157"/>
    <w:rsid w:val="00E33810"/>
    <w:rsid w:val="00E37988"/>
    <w:rsid w:val="00E504AB"/>
    <w:rsid w:val="00E50F0C"/>
    <w:rsid w:val="00E5437D"/>
    <w:rsid w:val="00E5671E"/>
    <w:rsid w:val="00E618F5"/>
    <w:rsid w:val="00E63783"/>
    <w:rsid w:val="00E638A0"/>
    <w:rsid w:val="00E715D9"/>
    <w:rsid w:val="00E74780"/>
    <w:rsid w:val="00E81049"/>
    <w:rsid w:val="00E8299B"/>
    <w:rsid w:val="00E86E2D"/>
    <w:rsid w:val="00E93702"/>
    <w:rsid w:val="00E93CC2"/>
    <w:rsid w:val="00E93D22"/>
    <w:rsid w:val="00E94DF4"/>
    <w:rsid w:val="00E95DA7"/>
    <w:rsid w:val="00E97759"/>
    <w:rsid w:val="00E97995"/>
    <w:rsid w:val="00EA1B40"/>
    <w:rsid w:val="00EA3906"/>
    <w:rsid w:val="00EA7042"/>
    <w:rsid w:val="00EB2CFD"/>
    <w:rsid w:val="00EB35EE"/>
    <w:rsid w:val="00EB368B"/>
    <w:rsid w:val="00EB5FDF"/>
    <w:rsid w:val="00EC3CB0"/>
    <w:rsid w:val="00EC5460"/>
    <w:rsid w:val="00EC7C10"/>
    <w:rsid w:val="00ED1A1D"/>
    <w:rsid w:val="00EE0E90"/>
    <w:rsid w:val="00EE7998"/>
    <w:rsid w:val="00EF6564"/>
    <w:rsid w:val="00EF729B"/>
    <w:rsid w:val="00F05BED"/>
    <w:rsid w:val="00F248F0"/>
    <w:rsid w:val="00F2551F"/>
    <w:rsid w:val="00F25A89"/>
    <w:rsid w:val="00F26FDC"/>
    <w:rsid w:val="00F33386"/>
    <w:rsid w:val="00F3778D"/>
    <w:rsid w:val="00F403AB"/>
    <w:rsid w:val="00F40A7C"/>
    <w:rsid w:val="00F45C0B"/>
    <w:rsid w:val="00F5122E"/>
    <w:rsid w:val="00F52100"/>
    <w:rsid w:val="00F62C8C"/>
    <w:rsid w:val="00F64D64"/>
    <w:rsid w:val="00F7128B"/>
    <w:rsid w:val="00F755A9"/>
    <w:rsid w:val="00F765E8"/>
    <w:rsid w:val="00F773A6"/>
    <w:rsid w:val="00F864F5"/>
    <w:rsid w:val="00F874B0"/>
    <w:rsid w:val="00F91606"/>
    <w:rsid w:val="00F92069"/>
    <w:rsid w:val="00F93015"/>
    <w:rsid w:val="00FA1948"/>
    <w:rsid w:val="00FA1A34"/>
    <w:rsid w:val="00FA273C"/>
    <w:rsid w:val="00FA3563"/>
    <w:rsid w:val="00FA3937"/>
    <w:rsid w:val="00FA413A"/>
    <w:rsid w:val="00FA41C7"/>
    <w:rsid w:val="00FB1254"/>
    <w:rsid w:val="00FB659F"/>
    <w:rsid w:val="00FB70F1"/>
    <w:rsid w:val="00FC3089"/>
    <w:rsid w:val="00FC521E"/>
    <w:rsid w:val="00FC5451"/>
    <w:rsid w:val="00FD0C54"/>
    <w:rsid w:val="00FD3AF3"/>
    <w:rsid w:val="00FD48EA"/>
    <w:rsid w:val="00FD4E45"/>
    <w:rsid w:val="00FE57F9"/>
    <w:rsid w:val="00FF3FE7"/>
    <w:rsid w:val="023836B9"/>
    <w:rsid w:val="0DA6985F"/>
    <w:rsid w:val="25CDC718"/>
    <w:rsid w:val="33B5C15B"/>
    <w:rsid w:val="4B16592C"/>
    <w:rsid w:val="4F41BC6C"/>
    <w:rsid w:val="6086DE82"/>
    <w:rsid w:val="667C14DC"/>
    <w:rsid w:val="7425CEB1"/>
    <w:rsid w:val="78B625E5"/>
    <w:rsid w:val="79894FB8"/>
    <w:rsid w:val="7CDD8855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22AA2B-7A51-48C5-863B-9A276E5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13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A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8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99240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9240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591"/>
    <w:pPr>
      <w:ind w:left="720"/>
      <w:contextualSpacing/>
    </w:pPr>
  </w:style>
  <w:style w:type="paragraph" w:customStyle="1" w:styleId="ParaNum">
    <w:name w:val="ParaNum"/>
    <w:basedOn w:val="Normal"/>
    <w:link w:val="ParaNumCharChar1"/>
    <w:rsid w:val="00613A99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paragraph" w:styleId="FootnoteText">
    <w:name w:val="footnote text"/>
    <w:aliases w:val="ALTS FOOTNOTE,ALTS FOOTNOTE Char,FOOT,Footnote Text Char Char... + Italic,Footnote Text Char2 Char,Footnote Text Char2 Char1 Char1 Char,Footnote Text Char2 Char1 Char1 Char Char Char,Footnote Text Char3 Char1 Char,Styl,f,fn,fn ,fn Char1,ft"/>
    <w:link w:val="FootnoteTextChar"/>
    <w:rsid w:val="00613A9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ALTS FOOTNOTE Char Char,ALTS FOOTNOTE Char1,FOOT Char,Footnote Text Char Char... + Italic Char,Footnote Text Char2 Char Char,Footnote Text Char2 Char1 Char1 Char Char,Footnote Text Char2 Char1 Char1 Char Char Char Char,Styl Char"/>
    <w:basedOn w:val="DefaultParagraphFont"/>
    <w:link w:val="FootnoteText"/>
    <w:rsid w:val="00613A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sid w:val="00613A99"/>
    <w:rPr>
      <w:rFonts w:ascii="Times New Roman" w:hAnsi="Times New Roman"/>
      <w:dstrike w:val="0"/>
      <w:color w:val="auto"/>
      <w:sz w:val="20"/>
      <w:vertAlign w:val="superscript"/>
    </w:rPr>
  </w:style>
  <w:style w:type="character" w:customStyle="1" w:styleId="ParaNumCharChar1">
    <w:name w:val="ParaNum Char Char1"/>
    <w:link w:val="ParaNum"/>
    <w:locked/>
    <w:rsid w:val="00613A99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UnresolvedMention">
    <w:name w:val="Unresolved Mention"/>
    <w:basedOn w:val="DefaultParagraphFont"/>
    <w:uiPriority w:val="99"/>
    <w:rsid w:val="00504AD3"/>
    <w:rPr>
      <w:color w:val="605E5C"/>
      <w:shd w:val="clear" w:color="auto" w:fill="E1DFDD"/>
    </w:rPr>
  </w:style>
  <w:style w:type="paragraph" w:customStyle="1" w:styleId="Default">
    <w:name w:val="Default"/>
    <w:rsid w:val="00BC1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C9463F"/>
    <w:rPr>
      <w:rFonts w:ascii="Calibri" w:hAnsi="Calibri" w:eastAsiaTheme="minorHAnsi" w:cs="Calibri"/>
      <w:sz w:val="22"/>
      <w:szCs w:val="22"/>
    </w:rPr>
  </w:style>
  <w:style w:type="paragraph" w:customStyle="1" w:styleId="xmsolistparagraph">
    <w:name w:val="x_msolistparagraph"/>
    <w:basedOn w:val="Normal"/>
    <w:rsid w:val="00C9463F"/>
    <w:pPr>
      <w:ind w:left="720"/>
    </w:pPr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