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23CD4" w:rsidP="00CC7ACD" w14:paraId="79C52DCC" w14:textId="77777777">
      <w:pPr>
        <w:pStyle w:val="Title"/>
        <w:rPr>
          <w:szCs w:val="22"/>
        </w:rPr>
      </w:pPr>
      <w:bookmarkStart w:id="0" w:name="_GoBack"/>
      <w:bookmarkEnd w:id="0"/>
      <w:r w:rsidRPr="00F046EC">
        <w:rPr>
          <w:szCs w:val="22"/>
        </w:rPr>
        <w:t xml:space="preserve">WIRELINE COMPETITION BUREAU </w:t>
      </w:r>
      <w:r>
        <w:rPr>
          <w:szCs w:val="22"/>
        </w:rPr>
        <w:t xml:space="preserve">SHORT TERM </w:t>
      </w:r>
      <w:r w:rsidRPr="00F046EC">
        <w:rPr>
          <w:szCs w:val="22"/>
        </w:rPr>
        <w:t>NETWORK CHANGE NOTIFICATION</w:t>
      </w:r>
      <w:r>
        <w:rPr>
          <w:szCs w:val="22"/>
        </w:rPr>
        <w:t xml:space="preserve"> </w:t>
      </w:r>
      <w:r w:rsidRPr="00F046EC">
        <w:rPr>
          <w:szCs w:val="22"/>
        </w:rPr>
        <w:t xml:space="preserve">FILED BY </w:t>
      </w:r>
      <w:r w:rsidR="00E55FE3">
        <w:rPr>
          <w:szCs w:val="22"/>
        </w:rPr>
        <w:t>VERIZON NEW YORK INC.</w:t>
      </w:r>
    </w:p>
    <w:p w:rsidR="00AC191A" w:rsidP="00AC191A" w14:paraId="1C7AE818" w14:textId="77777777">
      <w:pPr>
        <w:pStyle w:val="Title"/>
        <w:jc w:val="left"/>
        <w:rPr>
          <w:szCs w:val="22"/>
        </w:rPr>
      </w:pPr>
    </w:p>
    <w:p w:rsidR="00BB6E7C" w:rsidP="00585588" w14:paraId="3226934C" w14:textId="1B0820B0">
      <w:pPr>
        <w:pStyle w:val="Title"/>
        <w:jc w:val="left"/>
        <w:rPr>
          <w:szCs w:val="22"/>
        </w:rPr>
      </w:pPr>
      <w:r>
        <w:rPr>
          <w:szCs w:val="22"/>
        </w:rPr>
        <w:t xml:space="preserve">WC Docket No. </w:t>
      </w:r>
      <w:r w:rsidR="00DB6EC2">
        <w:rPr>
          <w:szCs w:val="22"/>
        </w:rPr>
        <w:t>20-</w:t>
      </w:r>
      <w:r w:rsidR="00E61630">
        <w:rPr>
          <w:szCs w:val="22"/>
        </w:rPr>
        <w:t>347</w:t>
      </w:r>
      <w:r>
        <w:rPr>
          <w:szCs w:val="22"/>
        </w:rPr>
        <w:tab/>
      </w:r>
      <w:r>
        <w:rPr>
          <w:szCs w:val="22"/>
        </w:rPr>
        <w:tab/>
      </w:r>
      <w:r>
        <w:rPr>
          <w:szCs w:val="22"/>
        </w:rPr>
        <w:tab/>
      </w:r>
      <w:r>
        <w:rPr>
          <w:szCs w:val="22"/>
        </w:rPr>
        <w:tab/>
      </w:r>
      <w:r>
        <w:rPr>
          <w:szCs w:val="22"/>
        </w:rPr>
        <w:tab/>
        <w:t xml:space="preserve">   </w:t>
      </w:r>
      <w:r w:rsidR="00E856F7">
        <w:rPr>
          <w:szCs w:val="22"/>
        </w:rPr>
        <w:t xml:space="preserve">  </w:t>
      </w:r>
      <w:r w:rsidR="00630E1B">
        <w:rPr>
          <w:szCs w:val="22"/>
        </w:rPr>
        <w:t xml:space="preserve">   November 6</w:t>
      </w:r>
      <w:r>
        <w:rPr>
          <w:szCs w:val="22"/>
        </w:rPr>
        <w:t>, 20</w:t>
      </w:r>
      <w:r w:rsidR="00DB6EC2">
        <w:rPr>
          <w:szCs w:val="22"/>
        </w:rPr>
        <w:t>20</w:t>
      </w:r>
    </w:p>
    <w:p w:rsidR="008961DF" w:rsidP="00585588" w14:paraId="0CED9564" w14:textId="38AE8AFB">
      <w:pPr>
        <w:pStyle w:val="Title"/>
        <w:jc w:val="left"/>
        <w:rPr>
          <w:szCs w:val="22"/>
        </w:rPr>
      </w:pPr>
      <w:r w:rsidRPr="00F046EC">
        <w:rPr>
          <w:szCs w:val="22"/>
        </w:rPr>
        <w:t xml:space="preserve">Report No. </w:t>
      </w:r>
      <w:r>
        <w:rPr>
          <w:szCs w:val="22"/>
        </w:rPr>
        <w:t>NCD-</w:t>
      </w:r>
      <w:r w:rsidR="00DB6EC2">
        <w:rPr>
          <w:szCs w:val="22"/>
        </w:rPr>
        <w:t>3</w:t>
      </w:r>
      <w:r w:rsidR="00EC5BD0">
        <w:rPr>
          <w:szCs w:val="22"/>
        </w:rPr>
        <w:t>1</w:t>
      </w:r>
      <w:r w:rsidR="00417F4E">
        <w:rPr>
          <w:szCs w:val="22"/>
        </w:rPr>
        <w:t>27</w:t>
      </w:r>
    </w:p>
    <w:p w:rsidR="008961DF" w:rsidRPr="00F046EC" w:rsidP="00AC191A" w14:paraId="1188DB72" w14:textId="77777777">
      <w:pPr>
        <w:pStyle w:val="Title"/>
        <w:jc w:val="left"/>
        <w:rPr>
          <w:szCs w:val="22"/>
        </w:rPr>
      </w:pPr>
    </w:p>
    <w:p w:rsidR="00385B67" w:rsidP="00385B67" w14:paraId="4A576E25" w14:textId="77777777">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Pr>
          <w:szCs w:val="22"/>
        </w:rPr>
        <w:t>CERTIFICATION</w:t>
      </w:r>
      <w:r w:rsidRPr="00F046EC">
        <w:rPr>
          <w:szCs w:val="22"/>
        </w:rPr>
        <w:t xml:space="preserve"> RECEIVED</w:t>
      </w:r>
    </w:p>
    <w:p w:rsidR="00385B67" w:rsidRPr="00F046EC" w:rsidP="00385B67" w14:paraId="17295118" w14:textId="77777777">
      <w:pPr>
        <w:tabs>
          <w:tab w:val="left" w:pos="-720"/>
        </w:tabs>
        <w:suppressAutoHyphens/>
        <w:rPr>
          <w:szCs w:val="22"/>
        </w:rPr>
      </w:pPr>
    </w:p>
    <w:p w:rsidR="00385B67" w:rsidRPr="003E5A1D" w:rsidP="00385B67" w14:paraId="2718BC6B" w14:textId="77777777">
      <w:pPr>
        <w:tabs>
          <w:tab w:val="left" w:pos="-720"/>
        </w:tabs>
        <w:suppressAutoHyphens/>
        <w:rPr>
          <w:b/>
          <w:color w:val="000000" w:themeColor="text1"/>
          <w:szCs w:val="22"/>
        </w:rPr>
      </w:pPr>
      <w:r>
        <w:rPr>
          <w:szCs w:val="22"/>
        </w:rPr>
        <w:tab/>
      </w:r>
      <w:r w:rsidR="00E55FE3">
        <w:rPr>
          <w:szCs w:val="22"/>
        </w:rPr>
        <w:t>Verizon New York Inc.</w:t>
      </w:r>
      <w:r w:rsidRPr="00F77BCA" w:rsidR="00F77BCA">
        <w:rPr>
          <w:szCs w:val="22"/>
        </w:rPr>
        <w:t xml:space="preserve"> (</w:t>
      </w:r>
      <w:r w:rsidR="00E55FE3">
        <w:rPr>
          <w:szCs w:val="22"/>
        </w:rPr>
        <w:t>Verizon</w:t>
      </w:r>
      <w:r w:rsidRPr="00F77BCA" w:rsidR="00F77BCA">
        <w:rPr>
          <w:szCs w:val="22"/>
        </w:rPr>
        <w:t>)</w:t>
      </w:r>
      <w:r w:rsidRPr="009C555B">
        <w:rPr>
          <w:szCs w:val="22"/>
        </w:rPr>
        <w:t>, an incumbent</w:t>
      </w:r>
      <w:r>
        <w:rPr>
          <w:szCs w:val="22"/>
        </w:rPr>
        <w:t xml:space="preserve"> </w:t>
      </w:r>
      <w:r w:rsidRPr="009C555B">
        <w:rPr>
          <w:szCs w:val="22"/>
        </w:rPr>
        <w:t xml:space="preserve">local exchange carrier (LEC), </w:t>
      </w:r>
      <w:r w:rsidRPr="00F046EC">
        <w:rPr>
          <w:szCs w:val="22"/>
        </w:rPr>
        <w:t xml:space="preserve">has filed certification that </w:t>
      </w:r>
      <w:r>
        <w:rPr>
          <w:szCs w:val="22"/>
        </w:rPr>
        <w:t>short term public notice of network change(s) has been provided through its publicly accessible Internet site, as required by section 51.329(a)</w:t>
      </w:r>
      <w:r w:rsidR="00F77BCA">
        <w:rPr>
          <w:szCs w:val="22"/>
        </w:rPr>
        <w:t>(2)</w:t>
      </w:r>
      <w:r>
        <w:rPr>
          <w:szCs w:val="22"/>
        </w:rPr>
        <w:t xml:space="preserve"> of the rules of the Federal Communications Commission (FCC or Commission),</w:t>
      </w:r>
      <w:r>
        <w:rPr>
          <w:rStyle w:val="FootnoteReference"/>
          <w:szCs w:val="22"/>
        </w:rPr>
        <w:footnoteReference w:id="2"/>
      </w:r>
      <w:r>
        <w:rPr>
          <w:szCs w:val="22"/>
        </w:rPr>
        <w:t xml:space="preserve"> together with certification of service on identified interconnecting </w:t>
      </w:r>
      <w:r w:rsidRPr="001E555C">
        <w:rPr>
          <w:szCs w:val="22"/>
        </w:rPr>
        <w:t>telephone exchange service providers</w:t>
      </w:r>
      <w:r>
        <w:rPr>
          <w:szCs w:val="22"/>
        </w:rPr>
        <w:t>, as required by section 51.333(a).</w:t>
      </w:r>
      <w:r>
        <w:rPr>
          <w:rStyle w:val="FootnoteReference"/>
          <w:szCs w:val="22"/>
        </w:rPr>
        <w:footnoteReference w:id="3"/>
      </w:r>
      <w:r>
        <w:rPr>
          <w:szCs w:val="22"/>
        </w:rPr>
        <w:t xml:space="preserve">  </w:t>
      </w:r>
      <w:r w:rsidRPr="009C555B">
        <w:rPr>
          <w:szCs w:val="22"/>
        </w:rPr>
        <w:t>Upon initial review the filing appears to be complete.</w:t>
      </w:r>
      <w:r>
        <w:rPr>
          <w:rStyle w:val="FootnoteReference"/>
          <w:szCs w:val="22"/>
        </w:rPr>
        <w:footnoteReference w:id="4"/>
      </w:r>
      <w:r>
        <w:rPr>
          <w:szCs w:val="22"/>
        </w:rPr>
        <w:t xml:space="preserve">  </w:t>
      </w:r>
      <w:r w:rsidRPr="00E25608">
        <w:rPr>
          <w:szCs w:val="22"/>
        </w:rPr>
        <w:t xml:space="preserve">Specific network change information can be obtained on the Internet at:  </w:t>
      </w:r>
      <w:hyperlink r:id="rId5" w:history="1">
        <w:hyperlink r:id="rId5" w:history="1">
          <w:r w:rsidRPr="003D683B" w:rsidR="00A60F54">
            <w:rPr>
              <w:rStyle w:val="Hyperlink"/>
              <w:szCs w:val="22"/>
            </w:rPr>
            <w:t>https://www.verizon.com/about/terms-conditions/network-disclosures</w:t>
          </w:r>
        </w:hyperlink>
      </w:hyperlink>
      <w:r>
        <w:rPr>
          <w:color w:val="000000" w:themeColor="text1"/>
          <w:szCs w:val="22"/>
        </w:rPr>
        <w:t>.</w:t>
      </w:r>
    </w:p>
    <w:p w:rsidR="00A60F54" w:rsidRPr="00E25608" w:rsidP="00A60F54" w14:paraId="7B011F46"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3780"/>
        <w:gridCol w:w="2880"/>
      </w:tblGrid>
      <w:tr w14:paraId="726C3D37" w14:textId="77777777" w:rsidTr="003D379B">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700" w:type="dxa"/>
            <w:shd w:val="clear" w:color="auto" w:fill="auto"/>
          </w:tcPr>
          <w:p w:rsidR="00A60F54" w:rsidRPr="00E25608" w:rsidP="00D13FAF" w14:paraId="7519A86D" w14:textId="77777777">
            <w:pPr>
              <w:tabs>
                <w:tab w:val="left" w:pos="0"/>
              </w:tabs>
              <w:suppressAutoHyphens/>
              <w:rPr>
                <w:b/>
                <w:szCs w:val="22"/>
              </w:rPr>
            </w:pPr>
            <w:r w:rsidRPr="00E25608">
              <w:rPr>
                <w:b/>
                <w:szCs w:val="22"/>
              </w:rPr>
              <w:t>Type of Change(s)</w:t>
            </w:r>
          </w:p>
        </w:tc>
        <w:tc>
          <w:tcPr>
            <w:tcW w:w="3780" w:type="dxa"/>
            <w:shd w:val="clear" w:color="auto" w:fill="auto"/>
          </w:tcPr>
          <w:p w:rsidR="00A60F54" w:rsidRPr="00E25608" w:rsidP="00D13FAF" w14:paraId="745F624B" w14:textId="77777777">
            <w:pPr>
              <w:tabs>
                <w:tab w:val="left" w:pos="0"/>
              </w:tabs>
              <w:suppressAutoHyphens/>
              <w:rPr>
                <w:b/>
                <w:szCs w:val="22"/>
              </w:rPr>
            </w:pPr>
            <w:r w:rsidRPr="00E25608">
              <w:rPr>
                <w:b/>
                <w:szCs w:val="22"/>
              </w:rPr>
              <w:t>Location of Change(s)</w:t>
            </w:r>
          </w:p>
        </w:tc>
        <w:tc>
          <w:tcPr>
            <w:tcW w:w="2880" w:type="dxa"/>
            <w:shd w:val="clear" w:color="auto" w:fill="auto"/>
          </w:tcPr>
          <w:p w:rsidR="00A60F54" w:rsidRPr="00E25608" w:rsidP="00D13FAF" w14:paraId="0A4ACB77" w14:textId="77777777">
            <w:pPr>
              <w:tabs>
                <w:tab w:val="left" w:pos="0"/>
              </w:tabs>
              <w:suppressAutoHyphens/>
              <w:rPr>
                <w:b/>
                <w:szCs w:val="22"/>
              </w:rPr>
            </w:pPr>
            <w:r w:rsidRPr="00E25608">
              <w:rPr>
                <w:b/>
                <w:szCs w:val="22"/>
              </w:rPr>
              <w:t>Planned Implementation Date(s)</w:t>
            </w:r>
          </w:p>
        </w:tc>
      </w:tr>
      <w:tr w14:paraId="214BB897" w14:textId="77777777" w:rsidTr="003D379B">
        <w:tblPrEx>
          <w:tblW w:w="9360" w:type="dxa"/>
          <w:tblInd w:w="108" w:type="dxa"/>
          <w:tblLayout w:type="fixed"/>
          <w:tblLook w:val="01E0"/>
        </w:tblPrEx>
        <w:trPr>
          <w:trHeight w:val="1682"/>
        </w:trPr>
        <w:tc>
          <w:tcPr>
            <w:tcW w:w="2700" w:type="dxa"/>
            <w:shd w:val="clear" w:color="auto" w:fill="auto"/>
          </w:tcPr>
          <w:p w:rsidR="00A60F54" w:rsidRPr="00E25608" w:rsidP="00D13FAF" w14:paraId="3D754E88" w14:textId="2C0765E2">
            <w:pPr>
              <w:autoSpaceDE w:val="0"/>
              <w:autoSpaceDN w:val="0"/>
              <w:adjustRightInd w:val="0"/>
              <w:rPr>
                <w:color w:val="000000"/>
                <w:szCs w:val="22"/>
              </w:rPr>
            </w:pPr>
            <w:r w:rsidRPr="00E25608">
              <w:rPr>
                <w:color w:val="000000"/>
                <w:szCs w:val="22"/>
              </w:rPr>
              <w:t xml:space="preserve">Verizon plans to retire and remove the </w:t>
            </w:r>
            <w:r w:rsidR="000D5261">
              <w:rPr>
                <w:color w:val="000000"/>
                <w:szCs w:val="22"/>
              </w:rPr>
              <w:t>Cherry Creek</w:t>
            </w:r>
            <w:r>
              <w:rPr>
                <w:color w:val="000000"/>
                <w:szCs w:val="22"/>
              </w:rPr>
              <w:t xml:space="preserve"> NY DMS10</w:t>
            </w:r>
            <w:r w:rsidRPr="001B204B">
              <w:rPr>
                <w:color w:val="000000"/>
                <w:szCs w:val="22"/>
              </w:rPr>
              <w:t xml:space="preserve"> switch after it migrates all traffic served by the switch to the </w:t>
            </w:r>
            <w:r w:rsidR="00A43D01">
              <w:rPr>
                <w:color w:val="000000"/>
                <w:szCs w:val="22"/>
              </w:rPr>
              <w:t>Buffalo</w:t>
            </w:r>
            <w:r>
              <w:rPr>
                <w:color w:val="000000"/>
                <w:szCs w:val="22"/>
              </w:rPr>
              <w:t xml:space="preserve"> NY Packet End Office (PEO) </w:t>
            </w:r>
            <w:r w:rsidRPr="001B204B">
              <w:rPr>
                <w:color w:val="000000"/>
                <w:szCs w:val="22"/>
              </w:rPr>
              <w:t>switch</w:t>
            </w:r>
            <w:r w:rsidRPr="00E25608">
              <w:rPr>
                <w:color w:val="000000"/>
                <w:szCs w:val="22"/>
              </w:rPr>
              <w:t>.</w:t>
            </w:r>
          </w:p>
        </w:tc>
        <w:tc>
          <w:tcPr>
            <w:tcW w:w="3780" w:type="dxa"/>
            <w:shd w:val="clear" w:color="auto" w:fill="auto"/>
          </w:tcPr>
          <w:p w:rsidR="00A60F54" w:rsidRPr="00417F4E" w:rsidP="00D13FAF" w14:paraId="58529271" w14:textId="340FA31D">
            <w:pPr>
              <w:autoSpaceDE w:val="0"/>
              <w:autoSpaceDN w:val="0"/>
              <w:adjustRightInd w:val="0"/>
              <w:rPr>
                <w:b/>
                <w:bCs/>
                <w:color w:val="000000"/>
                <w:sz w:val="23"/>
                <w:szCs w:val="23"/>
              </w:rPr>
            </w:pPr>
            <w:r w:rsidRPr="00E25608">
              <w:rPr>
                <w:color w:val="000000"/>
                <w:sz w:val="23"/>
                <w:szCs w:val="23"/>
              </w:rPr>
              <w:t xml:space="preserve">Verizon Central Offices for the </w:t>
            </w:r>
            <w:r w:rsidRPr="00EB4729" w:rsidR="00EB4729">
              <w:rPr>
                <w:color w:val="000000"/>
                <w:szCs w:val="22"/>
              </w:rPr>
              <w:t>Cherry Creek NY</w:t>
            </w:r>
            <w:r w:rsidRPr="002E5258">
              <w:rPr>
                <w:color w:val="000000"/>
                <w:szCs w:val="22"/>
              </w:rPr>
              <w:t xml:space="preserve"> DMS10</w:t>
            </w:r>
            <w:r w:rsidRPr="00E25608">
              <w:rPr>
                <w:color w:val="000000"/>
                <w:szCs w:val="22"/>
              </w:rPr>
              <w:t xml:space="preserve"> switch</w:t>
            </w:r>
            <w:r w:rsidRPr="00E25608">
              <w:rPr>
                <w:color w:val="000000"/>
                <w:sz w:val="23"/>
                <w:szCs w:val="23"/>
              </w:rPr>
              <w:t xml:space="preserve"> located at </w:t>
            </w:r>
            <w:r w:rsidR="00EB4729">
              <w:rPr>
                <w:color w:val="000000"/>
                <w:sz w:val="23"/>
                <w:szCs w:val="23"/>
              </w:rPr>
              <w:t>North Side Center</w:t>
            </w:r>
            <w:r>
              <w:rPr>
                <w:color w:val="000000"/>
                <w:sz w:val="23"/>
                <w:szCs w:val="23"/>
              </w:rPr>
              <w:t xml:space="preserve"> St., </w:t>
            </w:r>
            <w:r w:rsidR="00EB4729">
              <w:rPr>
                <w:color w:val="000000"/>
                <w:sz w:val="23"/>
                <w:szCs w:val="23"/>
              </w:rPr>
              <w:t>Cherry Creek</w:t>
            </w:r>
            <w:r>
              <w:rPr>
                <w:color w:val="000000"/>
                <w:sz w:val="23"/>
                <w:szCs w:val="23"/>
              </w:rPr>
              <w:t xml:space="preserve">, NY </w:t>
            </w:r>
            <w:r w:rsidR="00EB4729">
              <w:rPr>
                <w:color w:val="000000"/>
                <w:sz w:val="23"/>
                <w:szCs w:val="23"/>
              </w:rPr>
              <w:t>14723</w:t>
            </w:r>
            <w:r w:rsidRPr="00E25608">
              <w:rPr>
                <w:color w:val="000000"/>
                <w:sz w:val="23"/>
                <w:szCs w:val="23"/>
              </w:rPr>
              <w:t xml:space="preserve"> (</w:t>
            </w:r>
            <w:r w:rsidR="00EB4729">
              <w:rPr>
                <w:color w:val="000000"/>
                <w:sz w:val="23"/>
                <w:szCs w:val="23"/>
              </w:rPr>
              <w:t>CHCKNYCEDS0</w:t>
            </w:r>
            <w:r>
              <w:rPr>
                <w:color w:val="000000"/>
                <w:sz w:val="23"/>
                <w:szCs w:val="23"/>
              </w:rPr>
              <w:t>) a</w:t>
            </w:r>
            <w:r w:rsidRPr="00E25608">
              <w:rPr>
                <w:color w:val="000000"/>
                <w:sz w:val="23"/>
                <w:szCs w:val="23"/>
              </w:rPr>
              <w:t xml:space="preserve">nd the </w:t>
            </w:r>
            <w:r w:rsidR="00A43D01">
              <w:rPr>
                <w:color w:val="000000"/>
                <w:sz w:val="23"/>
                <w:szCs w:val="23"/>
              </w:rPr>
              <w:t>Buffalo</w:t>
            </w:r>
            <w:r>
              <w:rPr>
                <w:color w:val="000000"/>
                <w:sz w:val="23"/>
                <w:szCs w:val="23"/>
              </w:rPr>
              <w:t xml:space="preserve"> NY PEO</w:t>
            </w:r>
            <w:r>
              <w:rPr>
                <w:color w:val="000000"/>
                <w:szCs w:val="22"/>
              </w:rPr>
              <w:t xml:space="preserve"> </w:t>
            </w:r>
            <w:r w:rsidRPr="00E25608">
              <w:rPr>
                <w:color w:val="000000"/>
                <w:szCs w:val="22"/>
              </w:rPr>
              <w:t>switch</w:t>
            </w:r>
            <w:r w:rsidRPr="00E25608">
              <w:rPr>
                <w:color w:val="000000"/>
                <w:sz w:val="23"/>
                <w:szCs w:val="23"/>
              </w:rPr>
              <w:t xml:space="preserve"> located at </w:t>
            </w:r>
            <w:r w:rsidR="00A43D01">
              <w:rPr>
                <w:color w:val="000000"/>
                <w:sz w:val="23"/>
                <w:szCs w:val="23"/>
              </w:rPr>
              <w:t xml:space="preserve">65 Franklin </w:t>
            </w:r>
            <w:r>
              <w:rPr>
                <w:color w:val="000000"/>
                <w:sz w:val="23"/>
                <w:szCs w:val="23"/>
              </w:rPr>
              <w:t xml:space="preserve">St., </w:t>
            </w:r>
            <w:r w:rsidR="00A43D01">
              <w:rPr>
                <w:color w:val="000000"/>
                <w:sz w:val="23"/>
                <w:szCs w:val="23"/>
              </w:rPr>
              <w:t>Buffalo</w:t>
            </w:r>
            <w:r>
              <w:rPr>
                <w:color w:val="000000"/>
                <w:sz w:val="23"/>
                <w:szCs w:val="23"/>
              </w:rPr>
              <w:t xml:space="preserve">, NY </w:t>
            </w:r>
            <w:r w:rsidR="00A43D01">
              <w:rPr>
                <w:color w:val="000000"/>
                <w:sz w:val="23"/>
                <w:szCs w:val="23"/>
              </w:rPr>
              <w:t>14202</w:t>
            </w:r>
            <w:r w:rsidRPr="00E25608">
              <w:rPr>
                <w:color w:val="000000"/>
                <w:sz w:val="23"/>
                <w:szCs w:val="23"/>
              </w:rPr>
              <w:t xml:space="preserve"> (</w:t>
            </w:r>
            <w:r w:rsidR="00A43D01">
              <w:rPr>
                <w:color w:val="000000"/>
                <w:sz w:val="23"/>
                <w:szCs w:val="23"/>
              </w:rPr>
              <w:t>BFLONYFRPS0</w:t>
            </w:r>
            <w:r w:rsidRPr="00E25608">
              <w:rPr>
                <w:color w:val="000000"/>
                <w:sz w:val="23"/>
                <w:szCs w:val="23"/>
              </w:rPr>
              <w:t>).</w:t>
            </w:r>
          </w:p>
        </w:tc>
        <w:tc>
          <w:tcPr>
            <w:tcW w:w="2880" w:type="dxa"/>
            <w:shd w:val="clear" w:color="auto" w:fill="auto"/>
          </w:tcPr>
          <w:p w:rsidR="00A60F54" w:rsidRPr="00981C64" w:rsidP="00D13FAF" w14:paraId="72C8ED7D" w14:textId="7E06BD42">
            <w:pPr>
              <w:tabs>
                <w:tab w:val="left" w:pos="0"/>
              </w:tabs>
              <w:suppressAutoHyphens/>
              <w:rPr>
                <w:b/>
                <w:bCs/>
                <w:szCs w:val="22"/>
              </w:rPr>
            </w:pPr>
            <w:r w:rsidRPr="00E25608">
              <w:rPr>
                <w:szCs w:val="22"/>
              </w:rPr>
              <w:t xml:space="preserve">On or after </w:t>
            </w:r>
            <w:r w:rsidR="00417F4E">
              <w:rPr>
                <w:szCs w:val="22"/>
              </w:rPr>
              <w:t>December 1</w:t>
            </w:r>
            <w:r>
              <w:rPr>
                <w:szCs w:val="22"/>
              </w:rPr>
              <w:t>, 2020</w:t>
            </w:r>
          </w:p>
        </w:tc>
      </w:tr>
    </w:tbl>
    <w:p w:rsidR="00A60F54" w:rsidRPr="00E25608" w:rsidP="00A60F54" w14:paraId="70F54D26" w14:textId="77777777">
      <w:pPr>
        <w:tabs>
          <w:tab w:val="left" w:pos="0"/>
        </w:tabs>
        <w:suppressAutoHyphens/>
        <w:rPr>
          <w:szCs w:val="22"/>
          <w:lang w:val="de-DE"/>
        </w:rPr>
      </w:pPr>
    </w:p>
    <w:p w:rsidR="00A60F54" w:rsidRPr="00E25608" w:rsidP="00A60F54" w14:paraId="0D9D91E9" w14:textId="77777777">
      <w:pPr>
        <w:tabs>
          <w:tab w:val="left" w:pos="0"/>
        </w:tabs>
        <w:suppressAutoHyphens/>
        <w:rPr>
          <w:szCs w:val="22"/>
        </w:rPr>
      </w:pPr>
      <w:r w:rsidRPr="00E25608">
        <w:rPr>
          <w:szCs w:val="22"/>
        </w:rPr>
        <w:t>Incumbent LEC contact:</w:t>
      </w:r>
    </w:p>
    <w:p w:rsidR="00A60F54" w:rsidRPr="00E25608" w:rsidP="00A60F54" w14:paraId="70F348B8" w14:textId="77777777">
      <w:pPr>
        <w:rPr>
          <w:szCs w:val="22"/>
        </w:rPr>
      </w:pPr>
      <w:r>
        <w:rPr>
          <w:szCs w:val="22"/>
        </w:rPr>
        <w:t>Jennifer E. Pelzman</w:t>
      </w:r>
    </w:p>
    <w:p w:rsidR="00A60F54" w:rsidRPr="00E25608" w:rsidP="00A60F54" w14:paraId="4039BA13" w14:textId="77777777">
      <w:pPr>
        <w:rPr>
          <w:szCs w:val="22"/>
        </w:rPr>
      </w:pPr>
      <w:r>
        <w:rPr>
          <w:szCs w:val="22"/>
        </w:rPr>
        <w:t>Manager, Legal Support</w:t>
      </w:r>
      <w:r w:rsidRPr="00E25608">
        <w:rPr>
          <w:szCs w:val="22"/>
        </w:rPr>
        <w:t xml:space="preserve"> – Federal Regulatory and Legal Affairs</w:t>
      </w:r>
    </w:p>
    <w:p w:rsidR="00A60F54" w:rsidRPr="00E25608" w:rsidP="00A60F54" w14:paraId="01A42EDE" w14:textId="77777777">
      <w:pPr>
        <w:rPr>
          <w:szCs w:val="22"/>
        </w:rPr>
      </w:pPr>
      <w:r w:rsidRPr="00E25608">
        <w:rPr>
          <w:szCs w:val="22"/>
        </w:rPr>
        <w:t>Verizon</w:t>
      </w:r>
    </w:p>
    <w:p w:rsidR="00A60F54" w:rsidRPr="00E25608" w:rsidP="00A60F54" w14:paraId="12A6A476" w14:textId="37B310EC">
      <w:pPr>
        <w:rPr>
          <w:szCs w:val="22"/>
        </w:rPr>
      </w:pPr>
      <w:r w:rsidRPr="00E25608">
        <w:rPr>
          <w:szCs w:val="22"/>
        </w:rPr>
        <w:t>1300 I Street, NW, Suite 500 East</w:t>
      </w:r>
    </w:p>
    <w:p w:rsidR="00A60F54" w:rsidRPr="00E25608" w:rsidP="00A60F54" w14:paraId="1E0003FC" w14:textId="77777777">
      <w:pPr>
        <w:tabs>
          <w:tab w:val="left" w:pos="0"/>
        </w:tabs>
        <w:suppressAutoHyphens/>
        <w:rPr>
          <w:szCs w:val="22"/>
        </w:rPr>
      </w:pPr>
      <w:r w:rsidRPr="00E25608">
        <w:rPr>
          <w:szCs w:val="22"/>
        </w:rPr>
        <w:t>Washington, D.C. 20005</w:t>
      </w:r>
    </w:p>
    <w:p w:rsidR="00A60F54" w:rsidRPr="000B4CC4" w:rsidP="00A60F54" w14:paraId="01A5939C" w14:textId="77777777">
      <w:pPr>
        <w:tabs>
          <w:tab w:val="left" w:pos="0"/>
        </w:tabs>
        <w:suppressAutoHyphens/>
        <w:rPr>
          <w:b/>
          <w:szCs w:val="22"/>
        </w:rPr>
      </w:pPr>
      <w:r w:rsidRPr="00E25608">
        <w:rPr>
          <w:szCs w:val="22"/>
        </w:rPr>
        <w:t>Phone:  (202) 515-24</w:t>
      </w:r>
      <w:r>
        <w:rPr>
          <w:szCs w:val="22"/>
        </w:rPr>
        <w:t>63</w:t>
      </w:r>
    </w:p>
    <w:p w:rsidR="00A60F54" w:rsidP="00A60F54" w14:paraId="481C7437" w14:textId="77777777">
      <w:pPr>
        <w:rPr>
          <w:szCs w:val="22"/>
        </w:rPr>
      </w:pPr>
    </w:p>
    <w:p w:rsidR="009D4CB5" w:rsidRPr="00E00109" w:rsidP="008E67B6" w14:paraId="06A34E72" w14:textId="77777777">
      <w:pPr>
        <w:ind w:firstLine="720"/>
        <w:rPr>
          <w:b/>
          <w:bCs/>
          <w:szCs w:val="22"/>
        </w:rPr>
      </w:pPr>
      <w:r w:rsidRPr="00546004">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w:t>
      </w:r>
      <w:r w:rsidRPr="00546004">
        <w:rPr>
          <w:szCs w:val="22"/>
        </w:rPr>
        <w:t>than the ninth business day following the release of this Public Notice.</w:t>
      </w:r>
      <w:r>
        <w:rPr>
          <w:rStyle w:val="FootnoteReference"/>
          <w:szCs w:val="22"/>
        </w:rPr>
        <w:footnoteReference w:id="5"/>
      </w:r>
      <w:r w:rsidRPr="00546004">
        <w:rPr>
          <w:szCs w:val="22"/>
        </w:rPr>
        <w:t xml:space="preserve">  The effective implementation date</w:t>
      </w:r>
      <w:r w:rsidR="00226476">
        <w:rPr>
          <w:szCs w:val="22"/>
        </w:rPr>
        <w:t>(s)</w:t>
      </w:r>
      <w:r w:rsidRPr="00546004">
        <w:rPr>
          <w:szCs w:val="22"/>
        </w:rPr>
        <w:t xml:space="preserve"> of </w:t>
      </w:r>
      <w:r w:rsidR="00226476">
        <w:rPr>
          <w:szCs w:val="22"/>
        </w:rPr>
        <w:t xml:space="preserve">network </w:t>
      </w:r>
      <w:r w:rsidRPr="00546004">
        <w:rPr>
          <w:szCs w:val="22"/>
        </w:rPr>
        <w:t xml:space="preserve">changes </w:t>
      </w:r>
      <w:r w:rsidR="00226476">
        <w:rPr>
          <w:szCs w:val="22"/>
        </w:rPr>
        <w:t>referenced in short term notices are</w:t>
      </w:r>
      <w:r w:rsidRPr="00546004">
        <w:rPr>
          <w:szCs w:val="22"/>
        </w:rPr>
        <w:t xml:space="preserve"> subject to the FCC public notice period </w:t>
      </w:r>
      <w:r w:rsidR="008A7F68">
        <w:rPr>
          <w:szCs w:val="22"/>
        </w:rPr>
        <w:t xml:space="preserve">described </w:t>
      </w:r>
      <w:r w:rsidRPr="00546004">
        <w:rPr>
          <w:szCs w:val="22"/>
        </w:rPr>
        <w:t>under section 51.333(b)</w:t>
      </w:r>
      <w:r w:rsidR="003E5668">
        <w:rPr>
          <w:szCs w:val="22"/>
        </w:rPr>
        <w:t>(1)</w:t>
      </w:r>
      <w:r w:rsidRPr="00546004">
        <w:rPr>
          <w:szCs w:val="22"/>
        </w:rPr>
        <w:t>.</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9D4CB5" w:rsidRPr="007F510F" w:rsidP="009D4CB5" w14:paraId="42051453" w14:textId="77777777">
      <w:pPr>
        <w:rPr>
          <w:szCs w:val="22"/>
        </w:rPr>
      </w:pPr>
    </w:p>
    <w:p w:rsidR="009D4CB5" w:rsidRPr="00D45146" w:rsidP="008E67B6" w14:paraId="57E994BC"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9D4CB5" w:rsidP="009D4CB5" w14:paraId="36FBCF4F" w14:textId="77777777">
      <w:pPr>
        <w:tabs>
          <w:tab w:val="left" w:pos="0"/>
        </w:tabs>
        <w:suppressAutoHyphens/>
        <w:rPr>
          <w:szCs w:val="22"/>
        </w:rPr>
      </w:pPr>
    </w:p>
    <w:p w:rsidR="009D4CB5" w:rsidRPr="0051070E" w:rsidP="009D4CB5" w14:paraId="754CC976" w14:textId="5C31D70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Pr>
          <w:szCs w:val="22"/>
        </w:rPr>
        <w:tab/>
      </w:r>
      <w:r w:rsidR="00E00109">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E00109">
        <w:rPr>
          <w:szCs w:val="22"/>
        </w:rPr>
        <w:t xml:space="preserve">  All filings must be addressed to the Commission’s Secretary, Office of the Secretary, Federal Communications Commission.  Commercial overnight mail </w:t>
      </w:r>
      <w:r w:rsidR="001E2485">
        <w:rPr>
          <w:szCs w:val="22"/>
        </w:rPr>
        <w:t>and U.S. Postal Service first-class, Express, and Priority mail</w:t>
      </w:r>
      <w:r w:rsidR="00E00109">
        <w:rPr>
          <w:szCs w:val="22"/>
        </w:rPr>
        <w:t xml:space="preserve"> must be sent to </w:t>
      </w:r>
      <w:r w:rsidRPr="00C2582B" w:rsidR="00E00109">
        <w:rPr>
          <w:szCs w:val="22"/>
        </w:rPr>
        <w:t>9050 Junction Drive, Annapolis Junction, MD 20701</w:t>
      </w:r>
      <w:r w:rsidR="00E00109">
        <w:rPr>
          <w:szCs w:val="22"/>
        </w:rPr>
        <w:t>.</w:t>
      </w:r>
    </w:p>
    <w:p w:rsidR="009D4CB5" w:rsidP="009D4CB5" w14:paraId="1DD9A3D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416E246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AE1FE0">
        <w:rPr>
          <w:szCs w:val="22"/>
        </w:rPr>
        <w:t xml:space="preserve">This proceeding is considered a “permit but disclose” proceeding for purposes of the Commission’s ex </w:t>
      </w:r>
      <w:r w:rsidR="00AE1FE0">
        <w:rPr>
          <w:szCs w:val="22"/>
        </w:rPr>
        <w:t>parte</w:t>
      </w:r>
      <w:r w:rsidR="00AE1FE0">
        <w:rPr>
          <w:szCs w:val="22"/>
        </w:rPr>
        <w:t xml:space="preserve"> rules.</w:t>
      </w:r>
      <w:r>
        <w:rPr>
          <w:rStyle w:val="FootnoteReference"/>
          <w:szCs w:val="22"/>
        </w:rPr>
        <w:footnoteReference w:id="8"/>
      </w:r>
      <w:r w:rsidR="00AE1FE0">
        <w:rPr>
          <w:szCs w:val="22"/>
        </w:rPr>
        <w:t xml:space="preserve">  </w:t>
      </w:r>
      <w:r w:rsidR="00AE1FE0">
        <w:t xml:space="preserve">Participants in this proceeding should familiarize themselves with the Commission’s </w:t>
      </w:r>
      <w:r w:rsidR="00AE1FE0">
        <w:rPr>
          <w:i/>
          <w:iCs/>
        </w:rPr>
        <w:t xml:space="preserve">ex </w:t>
      </w:r>
      <w:r w:rsidR="00AE1FE0">
        <w:rPr>
          <w:i/>
          <w:iCs/>
        </w:rPr>
        <w:t>parte</w:t>
      </w:r>
      <w:r w:rsidR="00AE1FE0">
        <w:rPr>
          <w:i/>
          <w:iCs/>
        </w:rPr>
        <w:t xml:space="preserve"> </w:t>
      </w:r>
      <w:r w:rsidR="00AE1FE0">
        <w:t xml:space="preserve">rules.  Persons making </w:t>
      </w:r>
      <w:r w:rsidR="00AE1FE0">
        <w:rPr>
          <w:i/>
        </w:rPr>
        <w:t xml:space="preserve">ex </w:t>
      </w:r>
      <w:r w:rsidR="00AE1FE0">
        <w:rPr>
          <w:i/>
        </w:rPr>
        <w:t>parte</w:t>
      </w:r>
      <w:r w:rsidR="00AE1FE0">
        <w:rPr>
          <w:i/>
        </w:rPr>
        <w:t xml:space="preserve"> </w:t>
      </w:r>
      <w:r w:rsidR="00AE1FE0">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AE1FE0">
        <w:rPr>
          <w:i/>
          <w:iCs/>
        </w:rPr>
        <w:t xml:space="preserve">ex </w:t>
      </w:r>
      <w:r w:rsidR="00AE1FE0">
        <w:rPr>
          <w:i/>
          <w:iCs/>
        </w:rPr>
        <w:t>parte</w:t>
      </w:r>
      <w:r w:rsidR="00AE1FE0">
        <w:rPr>
          <w:i/>
          <w:iCs/>
        </w:rPr>
        <w:t xml:space="preserve"> </w:t>
      </w:r>
      <w:r w:rsidR="00AE1FE0">
        <w:t xml:space="preserve">presentations are reminded that memoranda summarizing the presentation must (1) list all persons attending or otherwise participating in the meeting at which the </w:t>
      </w:r>
      <w:r w:rsidR="00AE1FE0">
        <w:rPr>
          <w:i/>
          <w:iCs/>
        </w:rPr>
        <w:t xml:space="preserve">ex </w:t>
      </w:r>
      <w:r w:rsidR="00AE1FE0">
        <w:rPr>
          <w:i/>
          <w:iCs/>
        </w:rPr>
        <w:t>parte</w:t>
      </w:r>
      <w:r w:rsidR="00AE1FE0">
        <w:rPr>
          <w:i/>
          <w:iCs/>
        </w:rPr>
        <w:t xml:space="preserve"> </w:t>
      </w:r>
      <w:r w:rsidR="00AE1FE0">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w:t>
      </w:r>
      <w:r w:rsidR="00AE1FE0">
        <w:t xml:space="preserve">in the memorandum.  Documents shown or given to Commission staff during </w:t>
      </w:r>
      <w:r w:rsidR="00AE1FE0">
        <w:rPr>
          <w:i/>
          <w:iCs/>
        </w:rPr>
        <w:t xml:space="preserve">ex </w:t>
      </w:r>
      <w:r w:rsidR="00AE1FE0">
        <w:rPr>
          <w:i/>
          <w:iCs/>
        </w:rPr>
        <w:t>parte</w:t>
      </w:r>
      <w:r w:rsidR="00AE1FE0">
        <w:rPr>
          <w:i/>
          <w:iCs/>
        </w:rPr>
        <w:t xml:space="preserve"> </w:t>
      </w:r>
      <w:r w:rsidR="00AE1FE0">
        <w:t xml:space="preserve">meetings are deemed to be written </w:t>
      </w:r>
      <w:r w:rsidR="00AE1FE0">
        <w:rPr>
          <w:i/>
          <w:iCs/>
        </w:rPr>
        <w:t xml:space="preserve">ex </w:t>
      </w:r>
      <w:r w:rsidR="00AE1FE0">
        <w:rPr>
          <w:i/>
          <w:iCs/>
        </w:rPr>
        <w:t>parte</w:t>
      </w:r>
      <w:r w:rsidR="00AE1FE0">
        <w:t xml:space="preserve"> presentations and must be filed consistent with rule 1.1206(b).</w:t>
      </w:r>
    </w:p>
    <w:p w:rsidR="009D4CB5" w:rsidP="009D4CB5" w14:paraId="3978367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53CEA7B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AE1FE0">
        <w:rPr>
          <w:szCs w:val="22"/>
        </w:rPr>
        <w:t xml:space="preserve">People with Disabilities:  To request materials in accessible formats for people with disabilities (Braille, large print, electronic files, audio format), send an e-mail to </w:t>
      </w:r>
      <w:hyperlink r:id="rId8" w:history="1">
        <w:r w:rsidRPr="00903DBD" w:rsidR="00AE1FE0">
          <w:rPr>
            <w:rStyle w:val="Hyperlink"/>
            <w:szCs w:val="22"/>
          </w:rPr>
          <w:t>fcc504@fcc.gov</w:t>
        </w:r>
      </w:hyperlink>
      <w:r w:rsidR="00AE1FE0">
        <w:rPr>
          <w:szCs w:val="22"/>
        </w:rPr>
        <w:t xml:space="preserve"> or call the Consumer &amp; Governmental Affairs Bureau at (202) 418-0530 (voice), (888) 835-5322 (</w:t>
      </w:r>
      <w:r w:rsidR="00AE1FE0">
        <w:rPr>
          <w:szCs w:val="22"/>
        </w:rPr>
        <w:t>tty</w:t>
      </w:r>
      <w:r w:rsidR="00AE1FE0">
        <w:rPr>
          <w:szCs w:val="22"/>
        </w:rPr>
        <w:t>).</w:t>
      </w:r>
    </w:p>
    <w:p w:rsidR="009D4CB5" w:rsidP="009D4CB5" w14:paraId="3A05A0B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04F3D9B7" w14:textId="77777777">
      <w:pPr>
        <w:tabs>
          <w:tab w:val="left" w:pos="0"/>
        </w:tabs>
        <w:suppressAutoHyphens/>
        <w:rPr>
          <w:color w:val="000000"/>
          <w:szCs w:val="22"/>
        </w:rPr>
      </w:pPr>
      <w:r>
        <w:rPr>
          <w:color w:val="000000"/>
          <w:szCs w:val="22"/>
        </w:rPr>
        <w:tab/>
      </w:r>
      <w:r w:rsidR="00E00109">
        <w:rPr>
          <w:color w:val="000000"/>
          <w:szCs w:val="22"/>
        </w:rPr>
        <w:t xml:space="preserve">For further information, please contact Rodney McDonald at (202) 418-7513, email: </w:t>
      </w:r>
      <w:hyperlink r:id="rId9" w:history="1">
        <w:r w:rsidRPr="00E60345" w:rsidR="00E00109">
          <w:rPr>
            <w:rStyle w:val="Hyperlink"/>
            <w:szCs w:val="22"/>
          </w:rPr>
          <w:t>Rodney.McDonald@fcc.gov</w:t>
        </w:r>
      </w:hyperlink>
      <w:r w:rsidR="00E00109">
        <w:rPr>
          <w:color w:val="000000"/>
          <w:szCs w:val="22"/>
        </w:rPr>
        <w:t xml:space="preserve"> or Carmell Weathers at (202) 418-2325, email: </w:t>
      </w:r>
      <w:hyperlink r:id="rId10" w:history="1">
        <w:r w:rsidRPr="00E60345" w:rsidR="00E00109">
          <w:rPr>
            <w:rStyle w:val="Hyperlink"/>
            <w:szCs w:val="22"/>
          </w:rPr>
          <w:t>Carmell.Weathers@fcc.gov</w:t>
        </w:r>
      </w:hyperlink>
      <w:r w:rsidR="00E00109">
        <w:rPr>
          <w:color w:val="000000"/>
          <w:szCs w:val="22"/>
        </w:rPr>
        <w:t xml:space="preserve">, in the Competition Policy Division, Wireline Competition Bureau.  The </w:t>
      </w:r>
      <w:r w:rsidR="00E00109">
        <w:rPr>
          <w:color w:val="000000"/>
          <w:szCs w:val="22"/>
        </w:rPr>
        <w:t>tty</w:t>
      </w:r>
      <w:r w:rsidR="00E00109">
        <w:rPr>
          <w:color w:val="000000"/>
          <w:szCs w:val="22"/>
        </w:rPr>
        <w:t xml:space="preserve"> number is (888) 835-5322.</w:t>
      </w:r>
    </w:p>
    <w:p w:rsidR="009D4CB5" w:rsidP="009D4CB5" w14:paraId="19F3E24D" w14:textId="77777777">
      <w:pPr>
        <w:tabs>
          <w:tab w:val="left" w:pos="0"/>
        </w:tabs>
        <w:suppressAutoHyphens/>
        <w:rPr>
          <w:b/>
          <w:szCs w:val="22"/>
        </w:rPr>
      </w:pPr>
    </w:p>
    <w:p w:rsidR="008961DF" w:rsidRPr="00EC7DC8" w:rsidP="009D4CB5" w14:paraId="3C3D6CE1" w14:textId="77777777">
      <w:pPr>
        <w:tabs>
          <w:tab w:val="left" w:pos="0"/>
        </w:tabs>
        <w:suppressAutoHyphens/>
        <w:jc w:val="center"/>
        <w:rPr>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CBC807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5699777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1FC5E6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14:paraId="49BDDAD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1B86C377" w14:textId="77777777">
      <w:r>
        <w:separator/>
      </w:r>
    </w:p>
  </w:footnote>
  <w:footnote w:type="continuationSeparator" w:id="1">
    <w:p w:rsidR="0057389B" w14:paraId="16BC62D7" w14:textId="77777777">
      <w:r>
        <w:continuationSeparator/>
      </w:r>
    </w:p>
  </w:footnote>
  <w:footnote w:id="2">
    <w:p w:rsidR="00385B67" w:rsidP="00385B67" w14:paraId="4527D0EB"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385B67" w:rsidRPr="00B705D4" w:rsidP="00385B67" w14:paraId="23869D3E" w14:textId="77777777">
      <w:pPr>
        <w:pStyle w:val="FootnoteText"/>
        <w:rPr>
          <w:b/>
          <w:sz w:val="20"/>
        </w:rPr>
      </w:pPr>
      <w:r>
        <w:rPr>
          <w:rStyle w:val="FootnoteReference"/>
        </w:rPr>
        <w:footnoteRef/>
      </w:r>
      <w:r>
        <w:t xml:space="preserve"> </w:t>
      </w:r>
      <w:r w:rsidRPr="0080526B">
        <w:rPr>
          <w:i/>
          <w:sz w:val="20"/>
        </w:rPr>
        <w:t>See</w:t>
      </w:r>
      <w:r w:rsidRPr="00F26490">
        <w:rPr>
          <w:sz w:val="20"/>
        </w:rPr>
        <w:t xml:space="preserve"> 47 CFR § 51.333(a)</w:t>
      </w:r>
      <w:r>
        <w:rPr>
          <w:sz w:val="20"/>
        </w:rPr>
        <w:t>.</w:t>
      </w:r>
    </w:p>
  </w:footnote>
  <w:footnote w:id="4">
    <w:p w:rsidR="00385B67" w:rsidRPr="00383C08" w:rsidP="00385B67" w14:paraId="7E4B0D24" w14:textId="77777777">
      <w:pPr>
        <w:pStyle w:val="FootnoteText"/>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14:paraId="20441212"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14:paraId="6E75F6E8" w14:textId="77777777">
      <w:pPr>
        <w:pStyle w:val="FootnoteText"/>
        <w:rPr>
          <w:sz w:val="20"/>
        </w:rPr>
      </w:pPr>
      <w:r>
        <w:rPr>
          <w:rStyle w:val="FootnoteReference"/>
        </w:rPr>
        <w:footnoteRef/>
      </w:r>
      <w:r>
        <w:t xml:space="preserve"> </w:t>
      </w:r>
      <w:r w:rsidRPr="00C613F7">
        <w:rPr>
          <w:i/>
          <w:sz w:val="20"/>
        </w:rPr>
        <w:t>See</w:t>
      </w:r>
      <w:r>
        <w:rPr>
          <w:sz w:val="20"/>
        </w:rPr>
        <w:t xml:space="preserve"> 47 CFR § 51.333(b)</w:t>
      </w:r>
      <w:r w:rsidR="008A7F68">
        <w:rPr>
          <w:sz w:val="20"/>
        </w:rPr>
        <w:t>(1)</w:t>
      </w:r>
      <w:r>
        <w:rPr>
          <w:sz w:val="20"/>
        </w:rPr>
        <w:t>.</w:t>
      </w:r>
    </w:p>
  </w:footnote>
  <w:footnote w:id="7">
    <w:p w:rsidR="00E00109" w:rsidRPr="006A71F9" w:rsidP="00E00109" w14:paraId="3E8E0F3A" w14:textId="77777777">
      <w:pPr>
        <w:pStyle w:val="FootnoteText"/>
        <w:rPr>
          <w:sz w:val="20"/>
        </w:rPr>
      </w:pPr>
      <w:r>
        <w:rPr>
          <w:rStyle w:val="FootnoteReference"/>
        </w:rPr>
        <w:footnoteRef/>
      </w:r>
      <w:r>
        <w:t xml:space="preserve"> </w:t>
      </w:r>
      <w:r w:rsidRPr="006A71F9">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Pr>
          <w:i/>
          <w:iCs/>
          <w:sz w:val="20"/>
        </w:rPr>
        <w:t xml:space="preserve">  FCC Announces Closure of FCC Headquarters Open Window and Change in Hand-Delivery Filing</w:t>
      </w:r>
      <w:r w:rsidRPr="006A71F9">
        <w:rPr>
          <w:sz w:val="20"/>
        </w:rPr>
        <w:t>,</w:t>
      </w:r>
      <w:r w:rsidRPr="006A71F9">
        <w:rPr>
          <w:i/>
          <w:iCs/>
          <w:sz w:val="20"/>
        </w:rPr>
        <w:t xml:space="preserve"> </w:t>
      </w:r>
      <w:r w:rsidRPr="006A71F9">
        <w:rPr>
          <w:sz w:val="20"/>
        </w:rPr>
        <w:t>Public Notice, DA 20-304 (rel. Mar. 19,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9D4CB5" w:rsidP="009D4CB5" w14:paraId="6AEB021A"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9DA4F4B"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0F822540">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30917D7" w14:textId="77777777">
                    <w:pPr>
                      <w:rPr>
                        <w:rFonts w:ascii="Arial" w:hAnsi="Arial" w:cs="Arial"/>
                        <w:b/>
                      </w:rPr>
                    </w:pPr>
                    <w:r w:rsidRPr="002D783A">
                      <w:rPr>
                        <w:rFonts w:ascii="Arial" w:hAnsi="Arial" w:cs="Arial"/>
                        <w:b/>
                      </w:rPr>
                      <w:t>Federal Communications Commission</w:t>
                    </w:r>
                  </w:p>
                  <w:p w:rsidR="00E37281" w:rsidRPr="002D783A" w14:paraId="6EE4843F" w14:textId="0F822540">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paraId="4FB2495D"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66104826" r:id="rId2"/>
      </w:pict>
    </w:r>
    <w:r>
      <w:rPr>
        <w:rFonts w:ascii="News Gothic MT" w:hAnsi="News Gothic MT"/>
        <w:b/>
        <w:kern w:val="28"/>
        <w:sz w:val="96"/>
      </w:rPr>
      <w:t>PUBLIC NOTICE</w:t>
    </w:r>
  </w:p>
  <w:p w:rsidR="00E37281" w:rsidRPr="00EA17C2" w:rsidP="00EA17C2" w14:paraId="5720CE8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3CDA2126" w14:textId="77777777">
                    <w:pPr>
                      <w:jc w:val="right"/>
                      <w:rPr>
                        <w:rFonts w:ascii="Arial" w:hAnsi="Arial"/>
                        <w:sz w:val="16"/>
                      </w:rPr>
                    </w:pPr>
                    <w:r>
                      <w:rPr>
                        <w:rFonts w:ascii="Arial" w:hAnsi="Arial"/>
                        <w:sz w:val="16"/>
                      </w:rPr>
                      <w:tab/>
                      <w:t>News Media Information 202 / 418-0500</w:t>
                    </w:r>
                  </w:p>
                  <w:p w:rsidR="00E37281" w14:paraId="17369349" w14:textId="77777777">
                    <w:pPr>
                      <w:jc w:val="right"/>
                      <w:rPr>
                        <w:rFonts w:ascii="Arial" w:hAnsi="Arial"/>
                        <w:sz w:val="16"/>
                      </w:rPr>
                    </w:pPr>
                    <w:r>
                      <w:rPr>
                        <w:rFonts w:ascii="Arial" w:hAnsi="Arial"/>
                        <w:sz w:val="16"/>
                      </w:rPr>
                      <w:tab/>
                      <w:t xml:space="preserve">            Internet:  http://www.fcc.gov</w:t>
                    </w:r>
                  </w:p>
                  <w:p w:rsidR="00E37281" w:rsidP="00B2754A" w14:paraId="23BD2140" w14:textId="77777777">
                    <w:pPr>
                      <w:rPr>
                        <w:rFonts w:ascii="Arial" w:hAnsi="Arial"/>
                        <w:sz w:val="16"/>
                      </w:rPr>
                    </w:pPr>
                    <w:r>
                      <w:rPr>
                        <w:rFonts w:ascii="Arial" w:hAnsi="Arial"/>
                        <w:sz w:val="16"/>
                      </w:rPr>
                      <w:tab/>
                      <w:t xml:space="preserve">                                     TTY 1-888-835-5322</w:t>
                    </w:r>
                  </w:p>
                  <w:p w:rsidR="00E37281" w:rsidP="00B2754A" w14:paraId="29B163E7" w14:textId="77777777">
                    <w:pPr>
                      <w:rPr>
                        <w:rFonts w:ascii="Arial" w:hAnsi="Arial"/>
                        <w:sz w:val="16"/>
                      </w:rPr>
                    </w:pPr>
                    <w:r>
                      <w:rPr>
                        <w:rFonts w:ascii="Arial" w:hAnsi="Arial"/>
                        <w:sz w:val="16"/>
                      </w:rPr>
                      <w:tab/>
                    </w:r>
                    <w:r>
                      <w:rPr>
                        <w:rFonts w:ascii="Arial" w:hAnsi="Arial"/>
                        <w:sz w:val="16"/>
                      </w:rPr>
                      <w:tab/>
                    </w:r>
                  </w:p>
                  <w:p w:rsidR="00E37281" w:rsidP="00B2754A" w14:paraId="15524B9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5F"/>
    <w:rsid w:val="00012C27"/>
    <w:rsid w:val="0001425C"/>
    <w:rsid w:val="00022759"/>
    <w:rsid w:val="00051081"/>
    <w:rsid w:val="00051D37"/>
    <w:rsid w:val="0005709C"/>
    <w:rsid w:val="000A02AD"/>
    <w:rsid w:val="000A33C2"/>
    <w:rsid w:val="000B4CC4"/>
    <w:rsid w:val="000D5261"/>
    <w:rsid w:val="000E2376"/>
    <w:rsid w:val="00102B50"/>
    <w:rsid w:val="0014106B"/>
    <w:rsid w:val="0014150E"/>
    <w:rsid w:val="001454F9"/>
    <w:rsid w:val="00162907"/>
    <w:rsid w:val="0017415C"/>
    <w:rsid w:val="00176CFE"/>
    <w:rsid w:val="00197237"/>
    <w:rsid w:val="001B204B"/>
    <w:rsid w:val="001B411C"/>
    <w:rsid w:val="001B63EE"/>
    <w:rsid w:val="001C3B22"/>
    <w:rsid w:val="001C5691"/>
    <w:rsid w:val="001C6F84"/>
    <w:rsid w:val="001D00A2"/>
    <w:rsid w:val="001D35C3"/>
    <w:rsid w:val="001D4C45"/>
    <w:rsid w:val="001E2485"/>
    <w:rsid w:val="001E555C"/>
    <w:rsid w:val="001F34B2"/>
    <w:rsid w:val="001F5A9F"/>
    <w:rsid w:val="0020149B"/>
    <w:rsid w:val="002026C2"/>
    <w:rsid w:val="002230FF"/>
    <w:rsid w:val="00226476"/>
    <w:rsid w:val="00227CA0"/>
    <w:rsid w:val="00233D98"/>
    <w:rsid w:val="00245835"/>
    <w:rsid w:val="0027308D"/>
    <w:rsid w:val="002A1AA0"/>
    <w:rsid w:val="002A3F6C"/>
    <w:rsid w:val="002D263F"/>
    <w:rsid w:val="002D783A"/>
    <w:rsid w:val="002E19B8"/>
    <w:rsid w:val="002E5258"/>
    <w:rsid w:val="002E6985"/>
    <w:rsid w:val="00313E4F"/>
    <w:rsid w:val="00323CD4"/>
    <w:rsid w:val="00361F12"/>
    <w:rsid w:val="0036777B"/>
    <w:rsid w:val="00380EC3"/>
    <w:rsid w:val="00383C08"/>
    <w:rsid w:val="00385B67"/>
    <w:rsid w:val="003B235F"/>
    <w:rsid w:val="003B4D2F"/>
    <w:rsid w:val="003C1FC1"/>
    <w:rsid w:val="003D1EDB"/>
    <w:rsid w:val="003D379B"/>
    <w:rsid w:val="003D683B"/>
    <w:rsid w:val="003D74A3"/>
    <w:rsid w:val="003E552C"/>
    <w:rsid w:val="003E5668"/>
    <w:rsid w:val="003E5A1D"/>
    <w:rsid w:val="003F1DD1"/>
    <w:rsid w:val="003F4C58"/>
    <w:rsid w:val="00414342"/>
    <w:rsid w:val="00417F4E"/>
    <w:rsid w:val="004222F2"/>
    <w:rsid w:val="00463FA7"/>
    <w:rsid w:val="004B1C93"/>
    <w:rsid w:val="004C4760"/>
    <w:rsid w:val="004C5091"/>
    <w:rsid w:val="004C780E"/>
    <w:rsid w:val="004F2D11"/>
    <w:rsid w:val="004F48EF"/>
    <w:rsid w:val="0050024C"/>
    <w:rsid w:val="00503C7D"/>
    <w:rsid w:val="0051070E"/>
    <w:rsid w:val="005116B3"/>
    <w:rsid w:val="00512010"/>
    <w:rsid w:val="00534A86"/>
    <w:rsid w:val="00546004"/>
    <w:rsid w:val="00560CFE"/>
    <w:rsid w:val="00567BD5"/>
    <w:rsid w:val="0057531D"/>
    <w:rsid w:val="00585588"/>
    <w:rsid w:val="005A39EE"/>
    <w:rsid w:val="005D3499"/>
    <w:rsid w:val="00610CA3"/>
    <w:rsid w:val="0061240E"/>
    <w:rsid w:val="00615734"/>
    <w:rsid w:val="00616879"/>
    <w:rsid w:val="00624C9F"/>
    <w:rsid w:val="00630E1B"/>
    <w:rsid w:val="0063223B"/>
    <w:rsid w:val="00637FE8"/>
    <w:rsid w:val="0066474F"/>
    <w:rsid w:val="00671064"/>
    <w:rsid w:val="00684871"/>
    <w:rsid w:val="0068507F"/>
    <w:rsid w:val="0069198B"/>
    <w:rsid w:val="006A2E3C"/>
    <w:rsid w:val="006A3DD9"/>
    <w:rsid w:val="006A71F9"/>
    <w:rsid w:val="006B4032"/>
    <w:rsid w:val="006B7A70"/>
    <w:rsid w:val="007035ED"/>
    <w:rsid w:val="00703F38"/>
    <w:rsid w:val="00715D25"/>
    <w:rsid w:val="00750FDA"/>
    <w:rsid w:val="0076088D"/>
    <w:rsid w:val="00765011"/>
    <w:rsid w:val="00767079"/>
    <w:rsid w:val="00781532"/>
    <w:rsid w:val="007832C0"/>
    <w:rsid w:val="00783BB5"/>
    <w:rsid w:val="00792BC6"/>
    <w:rsid w:val="00797A11"/>
    <w:rsid w:val="007C607E"/>
    <w:rsid w:val="007D6C62"/>
    <w:rsid w:val="007E723C"/>
    <w:rsid w:val="007F510F"/>
    <w:rsid w:val="0080526B"/>
    <w:rsid w:val="0080638B"/>
    <w:rsid w:val="0081179F"/>
    <w:rsid w:val="00814462"/>
    <w:rsid w:val="00860526"/>
    <w:rsid w:val="008617B1"/>
    <w:rsid w:val="00863E94"/>
    <w:rsid w:val="00866610"/>
    <w:rsid w:val="00875122"/>
    <w:rsid w:val="00877F45"/>
    <w:rsid w:val="00881631"/>
    <w:rsid w:val="00882DC3"/>
    <w:rsid w:val="00883AC0"/>
    <w:rsid w:val="008851DD"/>
    <w:rsid w:val="008961DF"/>
    <w:rsid w:val="008A7F68"/>
    <w:rsid w:val="008C6D7E"/>
    <w:rsid w:val="008D3942"/>
    <w:rsid w:val="008D57B8"/>
    <w:rsid w:val="008D7CC8"/>
    <w:rsid w:val="008E1F94"/>
    <w:rsid w:val="008E357E"/>
    <w:rsid w:val="008E5ED3"/>
    <w:rsid w:val="008E67B6"/>
    <w:rsid w:val="008F6E2F"/>
    <w:rsid w:val="00903DBD"/>
    <w:rsid w:val="009162EC"/>
    <w:rsid w:val="009232F1"/>
    <w:rsid w:val="009330D4"/>
    <w:rsid w:val="00942EE6"/>
    <w:rsid w:val="0094734F"/>
    <w:rsid w:val="00950523"/>
    <w:rsid w:val="00957D61"/>
    <w:rsid w:val="00963B23"/>
    <w:rsid w:val="00967E3C"/>
    <w:rsid w:val="00971B85"/>
    <w:rsid w:val="00972009"/>
    <w:rsid w:val="0097343E"/>
    <w:rsid w:val="009737B1"/>
    <w:rsid w:val="00981C64"/>
    <w:rsid w:val="00990850"/>
    <w:rsid w:val="00995CC2"/>
    <w:rsid w:val="00995FFD"/>
    <w:rsid w:val="009A00B2"/>
    <w:rsid w:val="009C555B"/>
    <w:rsid w:val="009D07FA"/>
    <w:rsid w:val="009D0C64"/>
    <w:rsid w:val="009D1C47"/>
    <w:rsid w:val="009D4CB5"/>
    <w:rsid w:val="009F29BF"/>
    <w:rsid w:val="00A06A6C"/>
    <w:rsid w:val="00A158D5"/>
    <w:rsid w:val="00A17AB4"/>
    <w:rsid w:val="00A3079C"/>
    <w:rsid w:val="00A32422"/>
    <w:rsid w:val="00A43D01"/>
    <w:rsid w:val="00A60F54"/>
    <w:rsid w:val="00A64B21"/>
    <w:rsid w:val="00A71D04"/>
    <w:rsid w:val="00A9096C"/>
    <w:rsid w:val="00AA0A33"/>
    <w:rsid w:val="00AC191A"/>
    <w:rsid w:val="00AC2610"/>
    <w:rsid w:val="00AD367A"/>
    <w:rsid w:val="00AD4609"/>
    <w:rsid w:val="00AE1FE0"/>
    <w:rsid w:val="00AE2692"/>
    <w:rsid w:val="00AE32BE"/>
    <w:rsid w:val="00B153B3"/>
    <w:rsid w:val="00B210B6"/>
    <w:rsid w:val="00B2754A"/>
    <w:rsid w:val="00B368EF"/>
    <w:rsid w:val="00B705D4"/>
    <w:rsid w:val="00B73778"/>
    <w:rsid w:val="00B73AC9"/>
    <w:rsid w:val="00B85220"/>
    <w:rsid w:val="00B924CA"/>
    <w:rsid w:val="00BB6E7C"/>
    <w:rsid w:val="00BC165E"/>
    <w:rsid w:val="00C01486"/>
    <w:rsid w:val="00C2582B"/>
    <w:rsid w:val="00C4159A"/>
    <w:rsid w:val="00C51B5A"/>
    <w:rsid w:val="00C53199"/>
    <w:rsid w:val="00C56363"/>
    <w:rsid w:val="00C57902"/>
    <w:rsid w:val="00C613F7"/>
    <w:rsid w:val="00C65A0F"/>
    <w:rsid w:val="00C670DF"/>
    <w:rsid w:val="00C674E0"/>
    <w:rsid w:val="00C75010"/>
    <w:rsid w:val="00C76B4B"/>
    <w:rsid w:val="00C968FA"/>
    <w:rsid w:val="00CB7DA9"/>
    <w:rsid w:val="00CC06EA"/>
    <w:rsid w:val="00CC201F"/>
    <w:rsid w:val="00CC7ACD"/>
    <w:rsid w:val="00CE0AD9"/>
    <w:rsid w:val="00CE6185"/>
    <w:rsid w:val="00CF4BFC"/>
    <w:rsid w:val="00D05EB4"/>
    <w:rsid w:val="00D13FAF"/>
    <w:rsid w:val="00D2540B"/>
    <w:rsid w:val="00D349C8"/>
    <w:rsid w:val="00D45146"/>
    <w:rsid w:val="00D53D2C"/>
    <w:rsid w:val="00D80FEF"/>
    <w:rsid w:val="00D83296"/>
    <w:rsid w:val="00D87FD9"/>
    <w:rsid w:val="00D907F5"/>
    <w:rsid w:val="00D925A5"/>
    <w:rsid w:val="00D94883"/>
    <w:rsid w:val="00D954C4"/>
    <w:rsid w:val="00D96AA0"/>
    <w:rsid w:val="00DB3A05"/>
    <w:rsid w:val="00DB6EC2"/>
    <w:rsid w:val="00DD571B"/>
    <w:rsid w:val="00DE582B"/>
    <w:rsid w:val="00DE6BFD"/>
    <w:rsid w:val="00E00109"/>
    <w:rsid w:val="00E13AE3"/>
    <w:rsid w:val="00E23342"/>
    <w:rsid w:val="00E25608"/>
    <w:rsid w:val="00E36F55"/>
    <w:rsid w:val="00E37281"/>
    <w:rsid w:val="00E55FE3"/>
    <w:rsid w:val="00E60345"/>
    <w:rsid w:val="00E61630"/>
    <w:rsid w:val="00E856F7"/>
    <w:rsid w:val="00EA17C2"/>
    <w:rsid w:val="00EA7442"/>
    <w:rsid w:val="00EB4729"/>
    <w:rsid w:val="00EB7387"/>
    <w:rsid w:val="00EC5BD0"/>
    <w:rsid w:val="00EC7DC8"/>
    <w:rsid w:val="00EF3B62"/>
    <w:rsid w:val="00F046EC"/>
    <w:rsid w:val="00F252D1"/>
    <w:rsid w:val="00F26490"/>
    <w:rsid w:val="00F35503"/>
    <w:rsid w:val="00F51EB5"/>
    <w:rsid w:val="00F71B8C"/>
    <w:rsid w:val="00F77BCA"/>
    <w:rsid w:val="00F8641B"/>
    <w:rsid w:val="00F8749C"/>
    <w:rsid w:val="00F916EA"/>
    <w:rsid w:val="00FB2329"/>
    <w:rsid w:val="00FC4A1B"/>
    <w:rsid w:val="00FE2991"/>
    <w:rsid w:val="00FF06E9"/>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