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14:paraId="63FF357F" w14:textId="77777777">
      <w:pPr>
        <w:jc w:val="center"/>
        <w:rPr>
          <w:b/>
        </w:rPr>
      </w:pPr>
      <w:r>
        <w:rPr>
          <w:b/>
        </w:rPr>
        <w:t>Before the</w:t>
      </w:r>
    </w:p>
    <w:p w:rsidR="0060228B" w14:paraId="50B42DB1" w14:textId="77777777">
      <w:pPr>
        <w:jc w:val="center"/>
        <w:rPr>
          <w:b/>
        </w:rPr>
      </w:pPr>
      <w:r>
        <w:rPr>
          <w:b/>
        </w:rPr>
        <w:t>Federal Communications Commission</w:t>
      </w:r>
    </w:p>
    <w:p w:rsidR="0060228B" w14:paraId="2B49B000" w14:textId="77777777">
      <w:pPr>
        <w:jc w:val="center"/>
        <w:rPr>
          <w:b/>
        </w:rPr>
      </w:pPr>
      <w:r>
        <w:rPr>
          <w:b/>
        </w:rPr>
        <w:t>Washington, D.C. 20554</w:t>
      </w:r>
    </w:p>
    <w:p w:rsidR="0060228B" w14:paraId="44F1BB87" w14:textId="77777777"/>
    <w:p w:rsidR="0060228B" w14:paraId="08B4077B" w14:textId="77777777"/>
    <w:tbl>
      <w:tblPr>
        <w:tblW w:w="0" w:type="auto"/>
        <w:tblLayout w:type="fixed"/>
        <w:tblLook w:val="0000"/>
      </w:tblPr>
      <w:tblGrid>
        <w:gridCol w:w="4698"/>
        <w:gridCol w:w="720"/>
        <w:gridCol w:w="4230"/>
      </w:tblGrid>
      <w:tr w14:paraId="2F71DE2A" w14:textId="77777777">
        <w:tblPrEx>
          <w:tblW w:w="0" w:type="auto"/>
          <w:tblLayout w:type="fixed"/>
          <w:tblLook w:val="0000"/>
        </w:tblPrEx>
        <w:tc>
          <w:tcPr>
            <w:tcW w:w="4698" w:type="dxa"/>
          </w:tcPr>
          <w:p w:rsidR="0060228B" w14:paraId="7D8FC090" w14:textId="77777777">
            <w:pPr>
              <w:ind w:right="-18"/>
            </w:pPr>
            <w:r>
              <w:t xml:space="preserve">In the </w:t>
            </w:r>
            <w:r w:rsidR="002A29D2">
              <w:t>M</w:t>
            </w:r>
            <w:r>
              <w:t>atter of</w:t>
            </w:r>
          </w:p>
          <w:p w:rsidR="0060228B" w14:paraId="0EDB4E13" w14:textId="77777777">
            <w:pPr>
              <w:ind w:right="-18"/>
            </w:pPr>
          </w:p>
          <w:p w:rsidR="0060228B" w14:paraId="0E4EE8D3" w14:textId="5307325B">
            <w:pPr>
              <w:ind w:right="-18"/>
            </w:pPr>
            <w:r>
              <w:t>Establishing a 5G Fund for Rural America</w:t>
            </w:r>
          </w:p>
        </w:tc>
        <w:tc>
          <w:tcPr>
            <w:tcW w:w="720" w:type="dxa"/>
          </w:tcPr>
          <w:p w:rsidR="0060228B" w:rsidRPr="00956C2C" w14:paraId="0446A9CB" w14:textId="77777777">
            <w:pPr>
              <w:rPr>
                <w:bCs/>
              </w:rPr>
            </w:pPr>
            <w:r w:rsidRPr="00956C2C">
              <w:rPr>
                <w:bCs/>
              </w:rPr>
              <w:t>)</w:t>
            </w:r>
          </w:p>
          <w:p w:rsidR="0060228B" w:rsidRPr="00956C2C" w14:paraId="25EC7AA2" w14:textId="77777777">
            <w:pPr>
              <w:rPr>
                <w:bCs/>
              </w:rPr>
            </w:pPr>
            <w:r w:rsidRPr="00956C2C">
              <w:rPr>
                <w:bCs/>
              </w:rPr>
              <w:t>)</w:t>
            </w:r>
          </w:p>
          <w:p w:rsidR="0060228B" w:rsidRPr="00956C2C" w14:paraId="7C2960EE" w14:textId="77777777">
            <w:pPr>
              <w:rPr>
                <w:bCs/>
              </w:rPr>
            </w:pPr>
            <w:r w:rsidRPr="00956C2C">
              <w:rPr>
                <w:bCs/>
              </w:rPr>
              <w:t>)</w:t>
            </w:r>
          </w:p>
          <w:p w:rsidR="0060228B" w:rsidRPr="00956C2C" w14:paraId="5A78809F" w14:textId="77777777">
            <w:pPr>
              <w:rPr>
                <w:bCs/>
              </w:rPr>
            </w:pPr>
            <w:r w:rsidRPr="00956C2C">
              <w:rPr>
                <w:bCs/>
              </w:rPr>
              <w:t>)</w:t>
            </w:r>
          </w:p>
          <w:p w:rsidR="0060228B" w14:paraId="5BEB3ED5" w14:textId="77777777">
            <w:pPr>
              <w:rPr>
                <w:b/>
              </w:rPr>
            </w:pPr>
          </w:p>
        </w:tc>
        <w:tc>
          <w:tcPr>
            <w:tcW w:w="4230" w:type="dxa"/>
          </w:tcPr>
          <w:p w:rsidR="0060228B" w:rsidRPr="00956C2C" w14:paraId="6AD660DF" w14:textId="77777777">
            <w:pPr>
              <w:rPr>
                <w:bCs/>
              </w:rPr>
            </w:pPr>
          </w:p>
          <w:p w:rsidR="0060228B" w:rsidRPr="00956C2C" w14:paraId="3D4F2FA4" w14:textId="77777777">
            <w:pPr>
              <w:rPr>
                <w:bCs/>
              </w:rPr>
            </w:pPr>
          </w:p>
          <w:p w:rsidR="0060228B" w:rsidRPr="00956C2C" w:rsidP="00F25801" w14:paraId="21E37E52" w14:textId="08CB40E7">
            <w:pPr>
              <w:rPr>
                <w:bCs/>
              </w:rPr>
            </w:pPr>
            <w:r>
              <w:rPr>
                <w:bCs/>
              </w:rPr>
              <w:t>GN</w:t>
            </w:r>
            <w:r w:rsidRPr="00956C2C" w:rsidR="0066728E">
              <w:rPr>
                <w:bCs/>
              </w:rPr>
              <w:t xml:space="preserve"> Docket No. </w:t>
            </w:r>
            <w:r>
              <w:rPr>
                <w:bCs/>
              </w:rPr>
              <w:t>20</w:t>
            </w:r>
            <w:r w:rsidRPr="00956C2C" w:rsidR="0066728E">
              <w:rPr>
                <w:bCs/>
              </w:rPr>
              <w:t>-</w:t>
            </w:r>
            <w:r>
              <w:rPr>
                <w:bCs/>
              </w:rPr>
              <w:t>32</w:t>
            </w:r>
          </w:p>
        </w:tc>
      </w:tr>
    </w:tbl>
    <w:p w:rsidR="0060228B" w:rsidP="002A4E36" w14:paraId="3E64CAF3" w14:textId="77777777">
      <w:pPr>
        <w:spacing w:before="120"/>
        <w:jc w:val="center"/>
        <w:rPr>
          <w:b/>
          <w:spacing w:val="-2"/>
        </w:rPr>
      </w:pPr>
      <w:r>
        <w:rPr>
          <w:b/>
          <w:spacing w:val="-2"/>
        </w:rPr>
        <w:t>ERRATUM</w:t>
      </w:r>
    </w:p>
    <w:p w:rsidR="00E00E22" w14:paraId="3BCA9003" w14:textId="77777777">
      <w:pPr>
        <w:tabs>
          <w:tab w:val="left" w:pos="5760"/>
        </w:tabs>
        <w:rPr>
          <w:b/>
        </w:rPr>
      </w:pPr>
    </w:p>
    <w:p w:rsidR="0060228B" w:rsidP="002A29D2" w14:paraId="6503A4B8" w14:textId="39CB5DCC">
      <w:pPr>
        <w:jc w:val="right"/>
        <w:rPr>
          <w:b/>
        </w:rPr>
      </w:pPr>
      <w:r>
        <w:rPr>
          <w:b/>
        </w:rPr>
        <w:t xml:space="preserve">Released: </w:t>
      </w:r>
      <w:r w:rsidR="00EC75DC">
        <w:rPr>
          <w:b/>
        </w:rPr>
        <w:t>November</w:t>
      </w:r>
      <w:r w:rsidR="002F4F3F">
        <w:rPr>
          <w:b/>
        </w:rPr>
        <w:t xml:space="preserve"> </w:t>
      </w:r>
      <w:r w:rsidR="003338A8">
        <w:rPr>
          <w:b/>
        </w:rPr>
        <w:t>10</w:t>
      </w:r>
      <w:r w:rsidR="002F4F3F">
        <w:rPr>
          <w:b/>
        </w:rPr>
        <w:t>, 2020</w:t>
      </w:r>
    </w:p>
    <w:p w:rsidR="0060228B" w14:paraId="57D31AAF" w14:textId="77777777">
      <w:pPr>
        <w:tabs>
          <w:tab w:val="left" w:pos="5760"/>
        </w:tabs>
        <w:rPr>
          <w:b/>
        </w:rPr>
      </w:pPr>
    </w:p>
    <w:p w:rsidR="0060228B" w14:paraId="58B37E5E" w14:textId="77777777">
      <w:pPr>
        <w:tabs>
          <w:tab w:val="left" w:pos="5760"/>
        </w:tabs>
      </w:pPr>
      <w:r>
        <w:t>By the</w:t>
      </w:r>
      <w:r w:rsidR="002F4F3F">
        <w:t xml:space="preserve"> Chief, Wireline Competition Bureau:</w:t>
      </w:r>
    </w:p>
    <w:p w:rsidR="0060228B" w14:paraId="7903D155" w14:textId="77777777"/>
    <w:p w:rsidR="00414E94" w:rsidP="00AF2F0E" w14:paraId="424E28D3" w14:textId="0C2A2591">
      <w:pPr>
        <w:pStyle w:val="ParaNum"/>
        <w:numPr>
          <w:ilvl w:val="0"/>
          <w:numId w:val="0"/>
        </w:numPr>
        <w:ind w:firstLine="720"/>
      </w:pPr>
      <w:r>
        <w:t xml:space="preserve">On </w:t>
      </w:r>
      <w:r w:rsidR="002F4F3F">
        <w:t xml:space="preserve">October </w:t>
      </w:r>
      <w:r w:rsidR="00911FB7">
        <w:t>2</w:t>
      </w:r>
      <w:r w:rsidR="002F4F3F">
        <w:t xml:space="preserve">9, 2020, the Commission released a </w:t>
      </w:r>
      <w:r w:rsidRPr="005D6658" w:rsidR="002F4F3F">
        <w:rPr>
          <w:i/>
          <w:iCs/>
        </w:rPr>
        <w:t>Report and Order</w:t>
      </w:r>
      <w:r w:rsidR="002F4F3F">
        <w:t>, FCC 20-1</w:t>
      </w:r>
      <w:r w:rsidR="00911FB7">
        <w:t>50</w:t>
      </w:r>
      <w:r w:rsidR="002F4F3F">
        <w:t xml:space="preserve">, in the above captioned proceeding.  </w:t>
      </w:r>
      <w:r>
        <w:t>This Erratum</w:t>
      </w:r>
      <w:r w:rsidR="002F4F3F">
        <w:t xml:space="preserve"> amends</w:t>
      </w:r>
      <w:r w:rsidR="00912E60">
        <w:t xml:space="preserve"> </w:t>
      </w:r>
      <w:r>
        <w:t xml:space="preserve">Appendix A of the </w:t>
      </w:r>
      <w:r w:rsidRPr="00AF2F0E">
        <w:rPr>
          <w:i/>
          <w:iCs/>
        </w:rPr>
        <w:t>Report and Order</w:t>
      </w:r>
      <w:r>
        <w:t xml:space="preserve"> </w:t>
      </w:r>
      <w:r w:rsidR="00C461F4">
        <w:t>as indicated below</w:t>
      </w:r>
      <w:r>
        <w:t>:</w:t>
      </w:r>
    </w:p>
    <w:p w:rsidR="000B10FF" w:rsidP="008C555E" w14:paraId="2CB52DB3" w14:textId="0AFE7A39">
      <w:pPr>
        <w:pStyle w:val="ParaNum"/>
        <w:numPr>
          <w:ilvl w:val="0"/>
          <w:numId w:val="28"/>
        </w:numPr>
        <w:ind w:left="0" w:firstLine="360"/>
      </w:pPr>
      <w:r>
        <w:t xml:space="preserve">In </w:t>
      </w:r>
      <w:r w:rsidR="00B452C1">
        <w:t>paragraph (e)(5)(iii) of s</w:t>
      </w:r>
      <w:r>
        <w:t>ection 5</w:t>
      </w:r>
      <w:r w:rsidR="00597FA0">
        <w:t>4</w:t>
      </w:r>
      <w:r>
        <w:t>.</w:t>
      </w:r>
      <w:r w:rsidR="00597FA0">
        <w:t>307</w:t>
      </w:r>
      <w:r w:rsidR="003B77BC">
        <w:t xml:space="preserve">, the reference to </w:t>
      </w:r>
      <w:r w:rsidR="00B553DF">
        <w:t>“</w:t>
      </w:r>
      <w:r w:rsidR="00197538">
        <w:t>(e)(</w:t>
      </w:r>
      <w:r w:rsidR="00B553DF">
        <w:t>2</w:t>
      </w:r>
      <w:r w:rsidR="00197538">
        <w:t>)(ii)</w:t>
      </w:r>
      <w:r w:rsidR="00B553DF">
        <w:t>” is replaced with “(e)(5)(ii)” to read as follows:</w:t>
      </w:r>
    </w:p>
    <w:p w:rsidR="00B553DF" w:rsidP="00316C42" w14:paraId="7B743352" w14:textId="39FBA7AF">
      <w:pPr>
        <w:pStyle w:val="ParaNum"/>
        <w:numPr>
          <w:ilvl w:val="0"/>
          <w:numId w:val="0"/>
        </w:numPr>
        <w:ind w:left="720"/>
      </w:pPr>
      <w:r>
        <w:t>“</w:t>
      </w:r>
      <w:r w:rsidRPr="00316C42">
        <w:t xml:space="preserve">(iii) Beginning the first day of the month following the release of a public notice by the Office of Economics and Analytics and Wireline Competition Bureau announcing the final areas eligible for support in the 5G Fund Phase I auction and until the first day of the month following release of a public notice announcing the close of the 5G Fund Phase I auction, a mobile competitive eligible telecommunications carrier that receives support pursuant to </w:t>
      </w:r>
      <w:bookmarkStart w:id="0" w:name="_Hlk53565883"/>
      <w:r w:rsidRPr="00316C42">
        <w:t>paragraph (e)(5)(ii) of</w:t>
      </w:r>
      <w:bookmarkEnd w:id="0"/>
      <w:r w:rsidRPr="00316C42">
        <w:t xml:space="preserve"> this section for any such eligible area shall receive an adjusted, disaggregated amount of monthly support for that area, which shall be calculated by multiplying the monthly support level described in paragraph (e)(5)(ii) of this section by the areal percentage of the eligible portion of the competitive eligible telecommunications carrier’s service area, weighted by applying the 5G Fund adjustment factor methodology and values adopted by the Office of Economics and Analytics and Wireline Competition Bureau and announced in a public notice.</w:t>
      </w:r>
      <w:r>
        <w:t>”</w:t>
      </w:r>
    </w:p>
    <w:p w:rsidR="00A96B4F" w:rsidP="008C555E" w14:paraId="7AB489D3" w14:textId="64929D5F">
      <w:pPr>
        <w:pStyle w:val="ParaNum"/>
        <w:numPr>
          <w:ilvl w:val="0"/>
          <w:numId w:val="28"/>
        </w:numPr>
        <w:ind w:left="0" w:firstLine="360"/>
      </w:pPr>
      <w:r>
        <w:t>In paragraph (e)(5)(i</w:t>
      </w:r>
      <w:r w:rsidR="0096646F">
        <w:t>v</w:t>
      </w:r>
      <w:r>
        <w:t>) of section 54.307, the reference to “(e)(2)(ii)” is replaced with “(e)(5)(ii)” to read as follows:</w:t>
      </w:r>
    </w:p>
    <w:p w:rsidR="008C555E" w:rsidP="008C555E" w14:paraId="0D221BF6" w14:textId="465A3C20">
      <w:pPr>
        <w:pStyle w:val="ParaNum"/>
        <w:numPr>
          <w:ilvl w:val="0"/>
          <w:numId w:val="0"/>
        </w:numPr>
        <w:ind w:left="720"/>
      </w:pPr>
      <w:r>
        <w:t>“</w:t>
      </w:r>
      <w:r w:rsidRPr="0096646F">
        <w:t>(iv) Beginning the first day of the month following the release of a public notice by the Office of Economics and Analytics and Wireline Competition Bureau announcing the final areas eligible for support in the 5G Fund Phase I auction, a mobile competitive eligible telecommunications carrier that receives support pursuant paragraph (e)(5)(ii) of this section for any ineligible area shall receive an adjusted, disaggregated amount of monthly support for that area, which shall be calculated by multiplying the monthly support level described in paragraph (e)(5)(ii) of this section by the areal percentage of the ineligible portion of the competitive eligible telecommunications carrier’s service area, weighted by applying the 5G Fund adjustment factor methodology and values adopted by the Office of Economics and Analytics and Wireline Competition Bureau and announced in a public notice, and reduced as follows:</w:t>
      </w:r>
      <w:r>
        <w:t>”</w:t>
      </w:r>
    </w:p>
    <w:p w:rsidR="00F17C2A" w:rsidP="00F17C2A" w14:paraId="53B06410" w14:textId="77777777">
      <w:pPr>
        <w:pStyle w:val="ParaNum"/>
        <w:numPr>
          <w:ilvl w:val="0"/>
          <w:numId w:val="28"/>
        </w:numPr>
        <w:ind w:left="0" w:firstLine="360"/>
      </w:pPr>
      <w:r>
        <w:t>In paragraph (</w:t>
      </w:r>
      <w:r w:rsidR="007373AE">
        <w:t>e</w:t>
      </w:r>
      <w:r>
        <w:t>) of section 54.3</w:t>
      </w:r>
      <w:r w:rsidR="00204B53">
        <w:t>22</w:t>
      </w:r>
      <w:r>
        <w:t xml:space="preserve">,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F17C2A" w:rsidP="00F17C2A" w14:paraId="04CC1B88" w14:textId="30FB8903">
      <w:pPr>
        <w:pStyle w:val="ParaNum"/>
        <w:numPr>
          <w:ilvl w:val="0"/>
          <w:numId w:val="28"/>
        </w:numPr>
        <w:ind w:left="0" w:firstLine="360"/>
      </w:pPr>
      <w:r>
        <w:t>In paragraph (</w:t>
      </w:r>
      <w:r w:rsidR="00B55EDB">
        <w:t>f</w:t>
      </w:r>
      <w:r>
        <w:t xml:space="preserve">)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F17C2A" w:rsidP="00F17C2A" w14:paraId="1C9A5462" w14:textId="2548F02C">
      <w:pPr>
        <w:pStyle w:val="ParaNum"/>
        <w:numPr>
          <w:ilvl w:val="0"/>
          <w:numId w:val="28"/>
        </w:numPr>
        <w:ind w:left="0" w:firstLine="360"/>
      </w:pPr>
      <w:r>
        <w:t>In paragraph (</w:t>
      </w:r>
      <w:r w:rsidR="00446962">
        <w:t>h</w:t>
      </w:r>
      <w:r>
        <w:t>)</w:t>
      </w:r>
      <w:r w:rsidR="00446962">
        <w:t>(1)</w:t>
      </w:r>
      <w:r>
        <w:t xml:space="preserve">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7373AE" w:rsidP="00FC637F" w14:paraId="340E9DBE" w14:textId="67A3FA8E">
      <w:pPr>
        <w:pStyle w:val="ParaNum"/>
        <w:numPr>
          <w:ilvl w:val="0"/>
          <w:numId w:val="28"/>
        </w:numPr>
        <w:ind w:left="0" w:firstLine="360"/>
      </w:pPr>
      <w:r>
        <w:t>In paragraph (</w:t>
      </w:r>
      <w:r w:rsidR="00001BB7">
        <w:t>h</w:t>
      </w:r>
      <w:r>
        <w:t>)</w:t>
      </w:r>
      <w:r w:rsidR="00001BB7">
        <w:t>(4)</w:t>
      </w:r>
      <w:r>
        <w:t xml:space="preserve"> of section 54.322, </w:t>
      </w:r>
      <w:r w:rsidR="00F17C2A">
        <w:t>re</w:t>
      </w:r>
      <w:bookmarkStart w:id="1" w:name="_GoBack"/>
      <w:bookmarkEnd w:id="1"/>
      <w:r w:rsidR="00F17C2A">
        <w:t xml:space="preserve">place </w:t>
      </w:r>
      <w:r w:rsidR="00FC637F">
        <w:t>the reference to “</w:t>
      </w:r>
      <w:r w:rsidRPr="00B37CA9" w:rsidR="00FC637F">
        <w:t>§</w:t>
      </w:r>
      <w:r w:rsidR="00FC637F">
        <w:t> </w:t>
      </w:r>
      <w:r w:rsidRPr="00B37CA9" w:rsidR="00FC637F">
        <w:t>54.307</w:t>
      </w:r>
      <w:r w:rsidRPr="00F17A82" w:rsidR="00FC637F">
        <w:t>(e)(5)</w:t>
      </w:r>
      <w:r w:rsidR="00FC637F">
        <w:t>(ii), (e)(5)(iii)</w:t>
      </w:r>
      <w:r w:rsidRPr="00F17A82" w:rsidR="00FC637F">
        <w:t>, (e)(6), or (e)(7)</w:t>
      </w:r>
      <w:r w:rsidR="00FC637F">
        <w:t>” with “</w:t>
      </w:r>
      <w:r w:rsidRPr="00B37CA9" w:rsidR="00FC637F">
        <w:t>§</w:t>
      </w:r>
      <w:r w:rsidR="00FC637F">
        <w:t> </w:t>
      </w:r>
      <w:r w:rsidRPr="00B37CA9" w:rsidR="00FC637F">
        <w:t>54.307</w:t>
      </w:r>
      <w:r w:rsidR="00FC637F">
        <w:t>(e)(5), (e)(6), or (e)(7)”.</w:t>
      </w:r>
    </w:p>
    <w:p w:rsidR="00F17C2A" w:rsidP="00F17C2A" w14:paraId="3049A195" w14:textId="77777777">
      <w:pPr>
        <w:pStyle w:val="ParaNum"/>
        <w:numPr>
          <w:ilvl w:val="0"/>
          <w:numId w:val="28"/>
        </w:numPr>
        <w:ind w:left="0" w:firstLine="360"/>
      </w:pPr>
      <w:r>
        <w:t>In paragraph (</w:t>
      </w:r>
      <w:r w:rsidR="00AE7B0C">
        <w:t>i</w:t>
      </w:r>
      <w:r>
        <w:t>)</w:t>
      </w:r>
      <w:r w:rsidR="00AE7B0C">
        <w:t>(1)</w:t>
      </w:r>
      <w:r>
        <w:t xml:space="preserve">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7373AE" w:rsidP="00FC637F" w14:paraId="24A39D0A" w14:textId="59B96C9B">
      <w:pPr>
        <w:pStyle w:val="ParaNum"/>
        <w:numPr>
          <w:ilvl w:val="0"/>
          <w:numId w:val="28"/>
        </w:numPr>
        <w:ind w:left="0" w:firstLine="360"/>
      </w:pPr>
      <w:r>
        <w:t>In paragraph (</w:t>
      </w:r>
      <w:r w:rsidR="00B36E38">
        <w:t>i</w:t>
      </w:r>
      <w:r>
        <w:t>)</w:t>
      </w:r>
      <w:r w:rsidR="00B36E38">
        <w:t>(1)</w:t>
      </w:r>
      <w:r w:rsidR="00222866">
        <w:t>(</w:t>
      </w:r>
      <w:r w:rsidR="00222866">
        <w:t>i</w:t>
      </w:r>
      <w:r w:rsidR="00222866">
        <w:t>)</w:t>
      </w:r>
      <w:r>
        <w:t xml:space="preserve"> of section 54.322, </w:t>
      </w:r>
      <w:r w:rsidR="00F17C2A">
        <w:t xml:space="preserve">replace </w:t>
      </w:r>
      <w:r>
        <w:t>the reference to “</w:t>
      </w:r>
      <w:r w:rsidRPr="00B37CA9">
        <w:t>§</w:t>
      </w:r>
      <w:r>
        <w:t> </w:t>
      </w:r>
      <w:r w:rsidRPr="00B37CA9">
        <w:t>54.307</w:t>
      </w:r>
      <w:r w:rsidRPr="00F17A82">
        <w:t>(e)(</w:t>
      </w:r>
      <w:r w:rsidR="00AC1DC7">
        <w:t>6)</w:t>
      </w:r>
      <w:r>
        <w:t>(i</w:t>
      </w:r>
      <w:r w:rsidR="00AC1DC7">
        <w:t>v</w:t>
      </w:r>
      <w:r>
        <w:t>)</w:t>
      </w:r>
      <w:r w:rsidR="0097436B">
        <w:t xml:space="preserve"> or (e)(7)(iv)</w:t>
      </w:r>
      <w:r>
        <w:t>” with “</w:t>
      </w:r>
      <w:r w:rsidRPr="00B37CA9" w:rsidR="003C6673">
        <w:t>§</w:t>
      </w:r>
      <w:r w:rsidR="003C6673">
        <w:t> </w:t>
      </w:r>
      <w:r w:rsidRPr="00B37CA9" w:rsidR="003C6673">
        <w:t>54.307</w:t>
      </w:r>
      <w:r w:rsidR="003C6673">
        <w:t xml:space="preserve">(e)(5)(iv), </w:t>
      </w:r>
      <w:r>
        <w:t>(e)(</w:t>
      </w:r>
      <w:r w:rsidR="003C6673">
        <w:t>6</w:t>
      </w:r>
      <w:r>
        <w:t>)</w:t>
      </w:r>
      <w:r w:rsidR="003C6673">
        <w:t>(iv)</w:t>
      </w:r>
      <w:r w:rsidR="0097436B">
        <w:t>, or (e)(7)(iv)</w:t>
      </w:r>
      <w:r>
        <w:t>”</w:t>
      </w:r>
      <w:r w:rsidR="00FC637F">
        <w:t>.</w:t>
      </w:r>
    </w:p>
    <w:p w:rsidR="00F17C2A" w:rsidP="00F17C2A" w14:paraId="4325248C" w14:textId="77777777">
      <w:pPr>
        <w:pStyle w:val="ParaNum"/>
        <w:numPr>
          <w:ilvl w:val="0"/>
          <w:numId w:val="28"/>
        </w:numPr>
        <w:ind w:left="0" w:firstLine="360"/>
      </w:pPr>
      <w:r>
        <w:t>In paragraph (</w:t>
      </w:r>
      <w:r>
        <w:t>i</w:t>
      </w:r>
      <w:r>
        <w:t xml:space="preserve">)(2)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F17C2A" w:rsidP="00F17C2A" w14:paraId="30261911" w14:textId="77777777">
      <w:pPr>
        <w:pStyle w:val="ParaNum"/>
        <w:numPr>
          <w:ilvl w:val="0"/>
          <w:numId w:val="28"/>
        </w:numPr>
        <w:ind w:left="0" w:firstLine="360"/>
      </w:pPr>
      <w:r>
        <w:t>In paragraph (</w:t>
      </w:r>
      <w:r>
        <w:t>i</w:t>
      </w:r>
      <w:r>
        <w:t xml:space="preserve">)(5)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F17C2A" w:rsidP="00F17C2A" w14:paraId="4B957DB4" w14:textId="77777777">
      <w:pPr>
        <w:pStyle w:val="ParaNum"/>
        <w:numPr>
          <w:ilvl w:val="0"/>
          <w:numId w:val="28"/>
        </w:numPr>
        <w:ind w:left="0" w:firstLine="360"/>
      </w:pPr>
      <w:r>
        <w:t xml:space="preserve">In paragraph (k)(1)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F17C2A" w:rsidP="00F17C2A" w14:paraId="0B05A758" w14:textId="77777777">
      <w:pPr>
        <w:pStyle w:val="ParaNum"/>
        <w:numPr>
          <w:ilvl w:val="0"/>
          <w:numId w:val="28"/>
        </w:numPr>
        <w:ind w:left="0" w:firstLine="360"/>
      </w:pPr>
      <w:r>
        <w:t xml:space="preserve">In paragraph (k)(2)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F17C2A" w:rsidP="00F17C2A" w14:paraId="5821D991" w14:textId="7F29339D">
      <w:pPr>
        <w:pStyle w:val="ParaNum"/>
        <w:numPr>
          <w:ilvl w:val="0"/>
          <w:numId w:val="28"/>
        </w:numPr>
        <w:ind w:left="0" w:firstLine="360"/>
      </w:pPr>
      <w:r>
        <w:t>In paragraph (k)</w:t>
      </w:r>
      <w:r w:rsidR="00812C42">
        <w:t>(3</w:t>
      </w:r>
      <w:r>
        <w:t xml:space="preserve">) of section 54.322, </w:t>
      </w:r>
      <w:r>
        <w:t>replace the reference to “</w:t>
      </w:r>
      <w:r w:rsidRPr="00B37CA9">
        <w:t>§</w:t>
      </w:r>
      <w:r>
        <w:t> </w:t>
      </w:r>
      <w:r w:rsidRPr="00B37CA9">
        <w:t>54.307</w:t>
      </w:r>
      <w:r w:rsidRPr="00F17A82">
        <w:t>(e)(5)</w:t>
      </w:r>
      <w:r>
        <w:t>(ii), (e)(5)(iii)</w:t>
      </w:r>
      <w:r w:rsidRPr="00F17A82">
        <w:t>, (e)(6), or (e)(7)</w:t>
      </w:r>
      <w:r>
        <w:t>” with “</w:t>
      </w:r>
      <w:r w:rsidRPr="00B37CA9">
        <w:t>§</w:t>
      </w:r>
      <w:r>
        <w:t> </w:t>
      </w:r>
      <w:r w:rsidRPr="00B37CA9">
        <w:t>54.307</w:t>
      </w:r>
      <w:r>
        <w:t>(e)(5), (e)(6), or (e)(7)”.</w:t>
      </w:r>
    </w:p>
    <w:p w:rsidR="00B07300" w:rsidRPr="00F17C2A" w:rsidP="0026790D" w14:paraId="3DA6FE00" w14:textId="25A4847E">
      <w:pPr>
        <w:pStyle w:val="ParaNum"/>
        <w:keepLines/>
        <w:numPr>
          <w:ilvl w:val="0"/>
          <w:numId w:val="0"/>
        </w:numPr>
        <w:spacing w:before="220" w:after="0"/>
        <w:rPr>
          <w:spacing w:val="-2"/>
        </w:rPr>
      </w:pPr>
      <w:r w:rsidRPr="00F17C2A">
        <w:rPr>
          <w:spacing w:val="-2"/>
        </w:rPr>
        <w:tab/>
      </w:r>
      <w:r w:rsidRPr="00F17C2A">
        <w:rPr>
          <w:spacing w:val="-2"/>
        </w:rPr>
        <w:tab/>
      </w:r>
      <w:r w:rsidRPr="00F17C2A">
        <w:rPr>
          <w:spacing w:val="-2"/>
        </w:rPr>
        <w:tab/>
      </w:r>
      <w:r w:rsidRPr="00F17C2A">
        <w:rPr>
          <w:spacing w:val="-2"/>
        </w:rPr>
        <w:tab/>
      </w:r>
      <w:r w:rsidRPr="00F17C2A">
        <w:rPr>
          <w:spacing w:val="-2"/>
        </w:rPr>
        <w:tab/>
      </w:r>
      <w:r w:rsidRPr="00F17C2A">
        <w:rPr>
          <w:spacing w:val="-2"/>
        </w:rPr>
        <w:tab/>
        <w:t>FEDERAL COMMUNICATIONS COMMISSION</w:t>
      </w:r>
    </w:p>
    <w:p w:rsidR="00B07300" w:rsidP="0026790D" w14:paraId="4A6B14E6" w14:textId="77777777">
      <w:pPr>
        <w:pStyle w:val="Heading1"/>
        <w:keepLines/>
        <w:numPr>
          <w:ilvl w:val="0"/>
          <w:numId w:val="0"/>
        </w:numPr>
        <w:spacing w:after="0"/>
        <w:rPr>
          <w:rFonts w:ascii="Times New Roman" w:hAnsi="Times New Roman"/>
          <w:b w:val="0"/>
          <w:caps w:val="0"/>
          <w:spacing w:val="-2"/>
        </w:rPr>
      </w:pPr>
    </w:p>
    <w:p w:rsidR="002A29D2" w:rsidP="0026790D" w14:paraId="090D9FAA" w14:textId="77777777">
      <w:pPr>
        <w:pStyle w:val="ParaNum"/>
        <w:keepNext/>
        <w:keepLines/>
        <w:numPr>
          <w:ilvl w:val="0"/>
          <w:numId w:val="0"/>
        </w:numPr>
        <w:spacing w:after="0"/>
      </w:pPr>
    </w:p>
    <w:p w:rsidR="002A29D2" w:rsidP="0026790D" w14:paraId="6AB2E3A5" w14:textId="77777777">
      <w:pPr>
        <w:pStyle w:val="ParaNum"/>
        <w:keepNext/>
        <w:keepLines/>
        <w:numPr>
          <w:ilvl w:val="0"/>
          <w:numId w:val="0"/>
        </w:numPr>
        <w:spacing w:after="0"/>
      </w:pPr>
    </w:p>
    <w:p w:rsidR="002A29D2" w:rsidRPr="002A29D2" w:rsidP="0026790D" w14:paraId="6BD41531" w14:textId="77777777">
      <w:pPr>
        <w:pStyle w:val="ParaNum"/>
        <w:keepNext/>
        <w:keepLines/>
        <w:numPr>
          <w:ilvl w:val="0"/>
          <w:numId w:val="0"/>
        </w:numPr>
        <w:spacing w:after="0"/>
      </w:pPr>
    </w:p>
    <w:p w:rsidR="00B07300" w:rsidRPr="002A29D2" w:rsidP="002A29D2" w14:paraId="423DFA5A"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2F4F3F">
        <w:rPr>
          <w:rFonts w:ascii="Times New Roman" w:hAnsi="Times New Roman"/>
          <w:b w:val="0"/>
          <w:caps w:val="0"/>
          <w:spacing w:val="-2"/>
        </w:rPr>
        <w:t>Kris Anne Monteith</w:t>
      </w:r>
      <w:r w:rsidRPr="002A29D2">
        <w:rPr>
          <w:rFonts w:ascii="Times New Roman" w:hAnsi="Times New Roman"/>
          <w:b w:val="0"/>
          <w:caps w:val="0"/>
          <w:spacing w:val="-2"/>
        </w:rPr>
        <w:t xml:space="preserve"> </w:t>
      </w:r>
    </w:p>
    <w:p w:rsidR="00B07300" w:rsidRPr="002A29D2" w:rsidP="00B07300" w14:paraId="5EBA2AC8"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2F4F3F">
        <w:rPr>
          <w:rFonts w:ascii="Times New Roman" w:hAnsi="Times New Roman"/>
          <w:b w:val="0"/>
          <w:caps w:val="0"/>
          <w:spacing w:val="-2"/>
        </w:rPr>
        <w:t>Chief</w:t>
      </w:r>
    </w:p>
    <w:p w:rsidR="0060228B" w:rsidRPr="002A29D2" w:rsidP="002A29D2" w14:paraId="27081D90" w14:textId="77777777">
      <w:pPr>
        <w:pStyle w:val="Heading1"/>
        <w:numPr>
          <w:ilvl w:val="0"/>
          <w:numId w:val="0"/>
        </w:numPr>
        <w:spacing w:after="0"/>
        <w:rPr>
          <w:rFonts w:ascii="Times New Roman" w:hAnsi="Times New Roman"/>
          <w:b w:val="0"/>
          <w:i/>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2F4F3F">
        <w:rPr>
          <w:rFonts w:ascii="Times New Roman" w:hAnsi="Times New Roman"/>
          <w:b w:val="0"/>
          <w:caps w:val="0"/>
          <w:spacing w:val="-2"/>
        </w:rPr>
        <w:t>Wireline Competition Bureau</w:t>
      </w:r>
    </w:p>
    <w:p w:rsidR="002E484C" w:rsidP="00E00E22" w14:paraId="7D62EE28" w14:textId="77777777">
      <w:pPr>
        <w:pStyle w:val="Heading1"/>
        <w:numPr>
          <w:ilvl w:val="0"/>
          <w:numId w:val="0"/>
        </w:num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79E859F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1C34AB85" w14:textId="78525C72">
    <w:pPr>
      <w:pStyle w:val="Header"/>
    </w:pPr>
    <w:r>
      <w:tab/>
      <w:t>Federal Communications Commission</w:t>
    </w:r>
    <w:r>
      <w:tab/>
    </w:r>
  </w:p>
  <w:p w:rsidR="0060228B" w:rsidP="002A29D2" w14:paraId="2BA4C1B1"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6AA77B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3C3CA7E4" w14:textId="77777777">
    <w:pPr>
      <w:pStyle w:val="Header"/>
    </w:pPr>
    <w:r>
      <w:tab/>
    </w:r>
    <w:r w:rsidRPr="002A29D2">
      <w:t>Federal Communications Commission</w:t>
    </w:r>
    <w:r w:rsidRPr="002A29D2">
      <w:tab/>
      <w:t xml:space="preserve"> </w:t>
    </w:r>
  </w:p>
  <w:p w:rsidR="0060228B" w:rsidP="002A29D2" w14:paraId="7E01ADCA"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5733C6A"/>
    <w:multiLevelType w:val="hybridMultilevel"/>
    <w:tmpl w:val="ED6CC9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1"/>
  </w:num>
  <w:num w:numId="5">
    <w:abstractNumId w:val="8"/>
  </w:num>
  <w:num w:numId="6">
    <w:abstractNumId w:val="24"/>
  </w:num>
  <w:num w:numId="7">
    <w:abstractNumId w:val="17"/>
  </w:num>
  <w:num w:numId="8">
    <w:abstractNumId w:val="9"/>
  </w:num>
  <w:num w:numId="9">
    <w:abstractNumId w:val="23"/>
  </w:num>
  <w:num w:numId="10">
    <w:abstractNumId w:val="15"/>
  </w:num>
  <w:num w:numId="11">
    <w:abstractNumId w:val="13"/>
  </w:num>
  <w:num w:numId="12">
    <w:abstractNumId w:val="10"/>
  </w:num>
  <w:num w:numId="13">
    <w:abstractNumId w:val="16"/>
  </w:num>
  <w:num w:numId="14">
    <w:abstractNumId w:val="22"/>
  </w:num>
  <w:num w:numId="15">
    <w:abstractNumId w:val="2"/>
  </w:num>
  <w:num w:numId="16">
    <w:abstractNumId w:val="3"/>
  </w:num>
  <w:num w:numId="17">
    <w:abstractNumId w:val="11"/>
  </w:num>
  <w:num w:numId="18">
    <w:abstractNumId w:val="1"/>
  </w:num>
  <w:num w:numId="19">
    <w:abstractNumId w:val="12"/>
  </w:num>
  <w:num w:numId="20">
    <w:abstractNumId w:val="18"/>
  </w:num>
  <w:num w:numId="21">
    <w:abstractNumId w:val="20"/>
  </w:num>
  <w:num w:numId="22">
    <w:abstractNumId w:val="5"/>
  </w:num>
  <w:num w:numId="23">
    <w:abstractNumId w:val="25"/>
  </w:num>
  <w:num w:numId="24">
    <w:abstractNumId w:val="7"/>
  </w:num>
  <w:num w:numId="25">
    <w:abstractNumId w:val="19"/>
  </w:num>
  <w:num w:numId="26">
    <w:abstractNumId w:val="6"/>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3F"/>
    <w:rsid w:val="00001BB7"/>
    <w:rsid w:val="000B10FF"/>
    <w:rsid w:val="000F4647"/>
    <w:rsid w:val="00125AB1"/>
    <w:rsid w:val="00180B20"/>
    <w:rsid w:val="00197538"/>
    <w:rsid w:val="001A10A7"/>
    <w:rsid w:val="00203E63"/>
    <w:rsid w:val="00204B53"/>
    <w:rsid w:val="00222866"/>
    <w:rsid w:val="0026790D"/>
    <w:rsid w:val="002819EF"/>
    <w:rsid w:val="002A29D2"/>
    <w:rsid w:val="002A3C28"/>
    <w:rsid w:val="002A4E36"/>
    <w:rsid w:val="002E484C"/>
    <w:rsid w:val="002F4F3F"/>
    <w:rsid w:val="00304B12"/>
    <w:rsid w:val="00316C42"/>
    <w:rsid w:val="003338A8"/>
    <w:rsid w:val="003B77BC"/>
    <w:rsid w:val="003C6673"/>
    <w:rsid w:val="00414E94"/>
    <w:rsid w:val="00446962"/>
    <w:rsid w:val="00456E40"/>
    <w:rsid w:val="004E125A"/>
    <w:rsid w:val="005451B1"/>
    <w:rsid w:val="00597FA0"/>
    <w:rsid w:val="005A09E4"/>
    <w:rsid w:val="005B435F"/>
    <w:rsid w:val="005D6658"/>
    <w:rsid w:val="0060228B"/>
    <w:rsid w:val="006606E0"/>
    <w:rsid w:val="0066728E"/>
    <w:rsid w:val="0070053B"/>
    <w:rsid w:val="0072562F"/>
    <w:rsid w:val="007373AE"/>
    <w:rsid w:val="0074546E"/>
    <w:rsid w:val="00777CDD"/>
    <w:rsid w:val="007A26AF"/>
    <w:rsid w:val="007F3F90"/>
    <w:rsid w:val="007F5033"/>
    <w:rsid w:val="00812C42"/>
    <w:rsid w:val="00880AC7"/>
    <w:rsid w:val="00891ADC"/>
    <w:rsid w:val="008A7BB5"/>
    <w:rsid w:val="008C555E"/>
    <w:rsid w:val="00911FB7"/>
    <w:rsid w:val="00912E60"/>
    <w:rsid w:val="00956C2C"/>
    <w:rsid w:val="0096646F"/>
    <w:rsid w:val="0097436B"/>
    <w:rsid w:val="00A20AB3"/>
    <w:rsid w:val="00A42D02"/>
    <w:rsid w:val="00A96B4F"/>
    <w:rsid w:val="00AC1DC7"/>
    <w:rsid w:val="00AE4682"/>
    <w:rsid w:val="00AE7B0C"/>
    <w:rsid w:val="00AF2F0E"/>
    <w:rsid w:val="00B07300"/>
    <w:rsid w:val="00B36E38"/>
    <w:rsid w:val="00B37CA9"/>
    <w:rsid w:val="00B452C1"/>
    <w:rsid w:val="00B553DF"/>
    <w:rsid w:val="00B55EDB"/>
    <w:rsid w:val="00BD2C20"/>
    <w:rsid w:val="00C15BBE"/>
    <w:rsid w:val="00C461F4"/>
    <w:rsid w:val="00CE0679"/>
    <w:rsid w:val="00CE663D"/>
    <w:rsid w:val="00CF29DB"/>
    <w:rsid w:val="00DB5344"/>
    <w:rsid w:val="00E00E22"/>
    <w:rsid w:val="00E25DD1"/>
    <w:rsid w:val="00E60467"/>
    <w:rsid w:val="00E7701A"/>
    <w:rsid w:val="00EB1A95"/>
    <w:rsid w:val="00EC75DC"/>
    <w:rsid w:val="00ED2EA8"/>
    <w:rsid w:val="00F06065"/>
    <w:rsid w:val="00F17A82"/>
    <w:rsid w:val="00F17C2A"/>
    <w:rsid w:val="00F25801"/>
    <w:rsid w:val="00FC637F"/>
    <w:rsid w:val="00FF339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2362B709-BFA2-422E-850A-ACA46A9C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DD"/>
    <w:pPr>
      <w:widowControl w:val="0"/>
    </w:pPr>
    <w:rPr>
      <w:snapToGrid w:val="0"/>
      <w:kern w:val="28"/>
      <w:sz w:val="22"/>
    </w:rPr>
  </w:style>
  <w:style w:type="paragraph" w:styleId="Heading1">
    <w:name w:val="heading 1"/>
    <w:basedOn w:val="Normal"/>
    <w:next w:val="ParaNum"/>
    <w:qFormat/>
    <w:rsid w:val="00777CDD"/>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77CDD"/>
    <w:pPr>
      <w:keepNext/>
      <w:numPr>
        <w:ilvl w:val="1"/>
        <w:numId w:val="24"/>
      </w:numPr>
      <w:spacing w:after="120"/>
      <w:outlineLvl w:val="1"/>
    </w:pPr>
    <w:rPr>
      <w:b/>
    </w:rPr>
  </w:style>
  <w:style w:type="paragraph" w:styleId="Heading3">
    <w:name w:val="heading 3"/>
    <w:basedOn w:val="Normal"/>
    <w:next w:val="ParaNum"/>
    <w:qFormat/>
    <w:rsid w:val="00777CDD"/>
    <w:pPr>
      <w:keepNext/>
      <w:numPr>
        <w:ilvl w:val="2"/>
        <w:numId w:val="24"/>
      </w:numPr>
      <w:tabs>
        <w:tab w:val="left" w:pos="2160"/>
      </w:tabs>
      <w:spacing w:after="120"/>
      <w:outlineLvl w:val="2"/>
    </w:pPr>
    <w:rPr>
      <w:b/>
    </w:rPr>
  </w:style>
  <w:style w:type="paragraph" w:styleId="Heading4">
    <w:name w:val="heading 4"/>
    <w:basedOn w:val="Normal"/>
    <w:next w:val="ParaNum"/>
    <w:qFormat/>
    <w:rsid w:val="00777CDD"/>
    <w:pPr>
      <w:keepNext/>
      <w:numPr>
        <w:ilvl w:val="3"/>
        <w:numId w:val="24"/>
      </w:numPr>
      <w:tabs>
        <w:tab w:val="left" w:pos="2880"/>
      </w:tabs>
      <w:spacing w:after="120"/>
      <w:outlineLvl w:val="3"/>
    </w:pPr>
    <w:rPr>
      <w:b/>
    </w:rPr>
  </w:style>
  <w:style w:type="paragraph" w:styleId="Heading5">
    <w:name w:val="heading 5"/>
    <w:basedOn w:val="Normal"/>
    <w:next w:val="ParaNum"/>
    <w:qFormat/>
    <w:rsid w:val="00777CDD"/>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777CDD"/>
    <w:pPr>
      <w:numPr>
        <w:ilvl w:val="5"/>
        <w:numId w:val="24"/>
      </w:numPr>
      <w:tabs>
        <w:tab w:val="left" w:pos="4320"/>
      </w:tabs>
      <w:spacing w:after="120"/>
      <w:outlineLvl w:val="5"/>
    </w:pPr>
    <w:rPr>
      <w:b/>
    </w:rPr>
  </w:style>
  <w:style w:type="paragraph" w:styleId="Heading7">
    <w:name w:val="heading 7"/>
    <w:basedOn w:val="Normal"/>
    <w:next w:val="ParaNum"/>
    <w:qFormat/>
    <w:rsid w:val="00777CDD"/>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777CDD"/>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777CDD"/>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77C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7CDD"/>
  </w:style>
  <w:style w:type="paragraph" w:styleId="Caption">
    <w:name w:val="caption"/>
    <w:basedOn w:val="Normal"/>
    <w:next w:val="Normal"/>
    <w:qFormat/>
    <w:rsid w:val="00777CDD"/>
    <w:pPr>
      <w:spacing w:before="120" w:after="120"/>
    </w:pPr>
    <w:rPr>
      <w:b/>
    </w:rPr>
  </w:style>
  <w:style w:type="paragraph" w:customStyle="1" w:styleId="ParaNum">
    <w:name w:val="ParaNum"/>
    <w:basedOn w:val="Normal"/>
    <w:rsid w:val="00777CDD"/>
    <w:pPr>
      <w:numPr>
        <w:numId w:val="23"/>
      </w:numPr>
      <w:tabs>
        <w:tab w:val="clear" w:pos="1080"/>
        <w:tab w:val="num" w:pos="1440"/>
      </w:tabs>
      <w:spacing w:after="120"/>
    </w:pPr>
  </w:style>
  <w:style w:type="paragraph" w:styleId="FootnoteText">
    <w:name w:val="footnote text"/>
    <w:rsid w:val="00777CDD"/>
    <w:pPr>
      <w:spacing w:after="120"/>
    </w:pPr>
  </w:style>
  <w:style w:type="paragraph" w:customStyle="1" w:styleId="Bullet">
    <w:name w:val="Bullet"/>
    <w:basedOn w:val="Normal"/>
    <w:rsid w:val="00777CDD"/>
    <w:pPr>
      <w:tabs>
        <w:tab w:val="left" w:pos="2160"/>
      </w:tabs>
      <w:spacing w:after="220"/>
      <w:ind w:left="2160" w:hanging="720"/>
    </w:pPr>
  </w:style>
  <w:style w:type="paragraph" w:styleId="BlockText">
    <w:name w:val="Block Text"/>
    <w:basedOn w:val="Normal"/>
    <w:rsid w:val="00777CDD"/>
    <w:pPr>
      <w:spacing w:after="240"/>
      <w:ind w:left="1440" w:right="1440"/>
    </w:pPr>
  </w:style>
  <w:style w:type="paragraph" w:customStyle="1" w:styleId="TableFormat">
    <w:name w:val="TableFormat"/>
    <w:basedOn w:val="Bullet"/>
    <w:rsid w:val="00777CDD"/>
    <w:pPr>
      <w:tabs>
        <w:tab w:val="clear" w:pos="2160"/>
        <w:tab w:val="left" w:pos="5040"/>
      </w:tabs>
      <w:ind w:left="5040" w:hanging="3600"/>
    </w:pPr>
  </w:style>
  <w:style w:type="character" w:styleId="FootnoteReference">
    <w:name w:val="footnote reference"/>
    <w:rsid w:val="00777CDD"/>
    <w:rPr>
      <w:rFonts w:ascii="Times New Roman" w:hAnsi="Times New Roman"/>
      <w:dstrike w:val="0"/>
      <w:color w:val="auto"/>
      <w:sz w:val="20"/>
      <w:vertAlign w:val="superscript"/>
    </w:rPr>
  </w:style>
  <w:style w:type="paragraph" w:styleId="Header">
    <w:name w:val="header"/>
    <w:basedOn w:val="Normal"/>
    <w:autoRedefine/>
    <w:rsid w:val="00777CDD"/>
    <w:pPr>
      <w:tabs>
        <w:tab w:val="center" w:pos="4680"/>
        <w:tab w:val="right" w:pos="9360"/>
      </w:tabs>
    </w:pPr>
    <w:rPr>
      <w:b/>
    </w:rPr>
  </w:style>
  <w:style w:type="paragraph" w:styleId="Footer">
    <w:name w:val="footer"/>
    <w:basedOn w:val="Normal"/>
    <w:rsid w:val="00777CDD"/>
    <w:pPr>
      <w:tabs>
        <w:tab w:val="center" w:pos="4320"/>
        <w:tab w:val="right" w:pos="8640"/>
      </w:tabs>
    </w:pPr>
  </w:style>
  <w:style w:type="paragraph" w:styleId="TOC2">
    <w:name w:val="toc 2"/>
    <w:basedOn w:val="Normal"/>
    <w:next w:val="Normal"/>
    <w:semiHidden/>
    <w:rsid w:val="00777CDD"/>
    <w:pPr>
      <w:tabs>
        <w:tab w:val="left" w:pos="720"/>
        <w:tab w:val="right" w:leader="dot" w:pos="9360"/>
      </w:tabs>
      <w:suppressAutoHyphens/>
      <w:ind w:left="720" w:right="720" w:hanging="360"/>
    </w:pPr>
    <w:rPr>
      <w:noProof/>
    </w:rPr>
  </w:style>
  <w:style w:type="paragraph" w:customStyle="1" w:styleId="NumberedList">
    <w:name w:val="Numbered List"/>
    <w:basedOn w:val="Normal"/>
    <w:rsid w:val="00777CDD"/>
    <w:pPr>
      <w:numPr>
        <w:numId w:val="21"/>
      </w:numPr>
      <w:tabs>
        <w:tab w:val="clear" w:pos="1080"/>
      </w:tabs>
      <w:spacing w:after="220"/>
      <w:ind w:firstLine="0"/>
    </w:pPr>
  </w:style>
  <w:style w:type="paragraph" w:styleId="TOC1">
    <w:name w:val="toc 1"/>
    <w:basedOn w:val="Normal"/>
    <w:next w:val="Normal"/>
    <w:semiHidden/>
    <w:rsid w:val="00777CD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77C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7C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7C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7C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7C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7C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7CDD"/>
    <w:pPr>
      <w:tabs>
        <w:tab w:val="left" w:pos="3240"/>
        <w:tab w:val="right" w:leader="dot" w:pos="9360"/>
      </w:tabs>
      <w:suppressAutoHyphens/>
      <w:ind w:left="3240" w:hanging="360"/>
    </w:pPr>
    <w:rPr>
      <w:noProof/>
    </w:rPr>
  </w:style>
  <w:style w:type="character" w:styleId="PageNumber">
    <w:name w:val="page number"/>
    <w:basedOn w:val="DefaultParagraphFont"/>
    <w:rsid w:val="00777CDD"/>
  </w:style>
  <w:style w:type="paragraph" w:styleId="Title">
    <w:name w:val="Title"/>
    <w:basedOn w:val="Normal"/>
    <w:qFormat/>
    <w:rsid w:val="00777CDD"/>
    <w:pPr>
      <w:jc w:val="center"/>
    </w:pPr>
    <w:rPr>
      <w:b/>
    </w:rPr>
  </w:style>
  <w:style w:type="paragraph" w:styleId="EndnoteText">
    <w:name w:val="endnote text"/>
    <w:basedOn w:val="Normal"/>
    <w:link w:val="EndnoteTextChar"/>
    <w:rsid w:val="00777CDD"/>
    <w:rPr>
      <w:sz w:val="20"/>
    </w:rPr>
  </w:style>
  <w:style w:type="character" w:customStyle="1" w:styleId="EndnoteTextChar">
    <w:name w:val="Endnote Text Char"/>
    <w:basedOn w:val="DefaultParagraphFont"/>
    <w:link w:val="EndnoteText"/>
    <w:rsid w:val="00777CDD"/>
    <w:rPr>
      <w:snapToGrid w:val="0"/>
      <w:kern w:val="28"/>
    </w:rPr>
  </w:style>
  <w:style w:type="character" w:styleId="EndnoteReference">
    <w:name w:val="endnote reference"/>
    <w:rsid w:val="00777CDD"/>
    <w:rPr>
      <w:vertAlign w:val="superscript"/>
    </w:rPr>
  </w:style>
  <w:style w:type="paragraph" w:styleId="TOAHeading">
    <w:name w:val="toa heading"/>
    <w:basedOn w:val="Normal"/>
    <w:next w:val="Normal"/>
    <w:rsid w:val="00777CDD"/>
    <w:pPr>
      <w:tabs>
        <w:tab w:val="right" w:pos="9360"/>
      </w:tabs>
      <w:suppressAutoHyphens/>
    </w:pPr>
  </w:style>
  <w:style w:type="character" w:customStyle="1" w:styleId="EquationCaption">
    <w:name w:val="_Equation Caption"/>
    <w:rsid w:val="00777CDD"/>
  </w:style>
  <w:style w:type="paragraph" w:customStyle="1" w:styleId="Paratitle">
    <w:name w:val="Para title"/>
    <w:basedOn w:val="Normal"/>
    <w:rsid w:val="00777CDD"/>
    <w:pPr>
      <w:tabs>
        <w:tab w:val="center" w:pos="9270"/>
      </w:tabs>
      <w:spacing w:after="240"/>
    </w:pPr>
    <w:rPr>
      <w:spacing w:val="-2"/>
    </w:rPr>
  </w:style>
  <w:style w:type="paragraph" w:customStyle="1" w:styleId="TOCTitle">
    <w:name w:val="TOC Title"/>
    <w:basedOn w:val="Normal"/>
    <w:rsid w:val="00777C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7CDD"/>
    <w:pPr>
      <w:jc w:val="center"/>
    </w:pPr>
    <w:rPr>
      <w:rFonts w:ascii="Times New Roman Bold" w:hAnsi="Times New Roman Bold"/>
      <w:b/>
      <w:bCs/>
      <w:caps/>
      <w:szCs w:val="22"/>
    </w:rPr>
  </w:style>
  <w:style w:type="character" w:styleId="Hyperlink">
    <w:name w:val="Hyperlink"/>
    <w:rsid w:val="00777CDD"/>
    <w:rPr>
      <w:color w:val="0000FF"/>
      <w:u w:val="single"/>
    </w:rPr>
  </w:style>
  <w:style w:type="paragraph" w:styleId="BalloonText">
    <w:name w:val="Balloon Text"/>
    <w:basedOn w:val="Normal"/>
    <w:link w:val="BalloonTextChar"/>
    <w:rsid w:val="00414E94"/>
    <w:rPr>
      <w:rFonts w:ascii="Segoe UI" w:hAnsi="Segoe UI" w:cs="Segoe UI"/>
      <w:sz w:val="18"/>
      <w:szCs w:val="18"/>
    </w:rPr>
  </w:style>
  <w:style w:type="character" w:customStyle="1" w:styleId="BalloonTextChar">
    <w:name w:val="Balloon Text Char"/>
    <w:basedOn w:val="DefaultParagraphFont"/>
    <w:link w:val="BalloonText"/>
    <w:rsid w:val="00414E9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