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0A45DA94">
      <w:pPr>
        <w:pStyle w:val="TOAHeading"/>
        <w:autoSpaceDE w:val="0"/>
        <w:autoSpaceDN w:val="0"/>
        <w:jc w:val="right"/>
        <w:rPr>
          <w:rFonts w:ascii="Times New Roman" w:eastAsia="Times New Roman" w:hAnsi="Times New Roman"/>
        </w:rPr>
      </w:pPr>
      <w:bookmarkStart w:id="0" w:name="_Hlk39571163"/>
      <w:bookmarkStart w:id="1" w:name="_GoBack"/>
      <w:bookmarkEnd w:id="1"/>
      <w:r>
        <w:rPr>
          <w:rFonts w:ascii="Times New Roman" w:eastAsia="Times New Roman" w:hAnsi="Times New Roman"/>
        </w:rPr>
        <w:t>Novem</w:t>
      </w:r>
      <w:r w:rsidR="00E32A88">
        <w:rPr>
          <w:rFonts w:ascii="Times New Roman" w:eastAsia="Times New Roman" w:hAnsi="Times New Roman"/>
        </w:rPr>
        <w:t>ber</w:t>
      </w:r>
      <w:r w:rsidR="00E83470">
        <w:rPr>
          <w:rFonts w:ascii="Times New Roman" w:eastAsia="Times New Roman" w:hAnsi="Times New Roman"/>
        </w:rPr>
        <w:t xml:space="preserve"> </w:t>
      </w:r>
      <w:r>
        <w:rPr>
          <w:rFonts w:ascii="Times New Roman" w:eastAsia="Times New Roman" w:hAnsi="Times New Roman"/>
        </w:rPr>
        <w:t>1</w:t>
      </w:r>
      <w:r w:rsidR="00D22561">
        <w:rPr>
          <w:rFonts w:ascii="Times New Roman" w:eastAsia="Times New Roman" w:hAnsi="Times New Roman"/>
        </w:rPr>
        <w:t>0</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63A0300C">
      <w:pPr>
        <w:pStyle w:val="NewHeading"/>
        <w:autoSpaceDE w:val="0"/>
        <w:autoSpaceDN w:val="0"/>
        <w:rPr>
          <w:rFonts w:ascii="Times New Roman" w:hAnsi="Times New Roman"/>
        </w:rPr>
      </w:pPr>
      <w:r>
        <w:rPr>
          <w:rFonts w:ascii="Times New Roman" w:hAnsi="Times New Roman"/>
        </w:rPr>
        <w:t>WEDNE</w:t>
      </w:r>
      <w:r w:rsidR="00E32A88">
        <w:rPr>
          <w:rFonts w:ascii="Times New Roman" w:hAnsi="Times New Roman"/>
        </w:rPr>
        <w:t>SDAY</w:t>
      </w:r>
      <w:r w:rsidR="004D6286">
        <w:rPr>
          <w:rFonts w:ascii="Times New Roman" w:hAnsi="Times New Roman"/>
        </w:rPr>
        <w:t xml:space="preserve">, </w:t>
      </w:r>
      <w:r>
        <w:rPr>
          <w:rFonts w:ascii="Times New Roman" w:hAnsi="Times New Roman"/>
        </w:rPr>
        <w:t>NOVEM</w:t>
      </w:r>
      <w:r w:rsidR="00E32A88">
        <w:rPr>
          <w:rFonts w:ascii="Times New Roman" w:hAnsi="Times New Roman"/>
        </w:rPr>
        <w:t>BER</w:t>
      </w:r>
      <w:r w:rsidR="00B05A5F">
        <w:rPr>
          <w:rFonts w:ascii="Times New Roman" w:hAnsi="Times New Roman"/>
        </w:rPr>
        <w:t xml:space="preserve"> </w:t>
      </w:r>
      <w:r>
        <w:rPr>
          <w:rFonts w:ascii="Times New Roman" w:hAnsi="Times New Roman"/>
        </w:rPr>
        <w:t>18</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7E448118">
      <w:pPr>
        <w:pStyle w:val="BodyText"/>
        <w:autoSpaceDE w:val="0"/>
        <w:autoSpaceDN w:val="0"/>
        <w:jc w:val="left"/>
        <w:rPr>
          <w:sz w:val="24"/>
          <w:szCs w:val="24"/>
        </w:rPr>
      </w:pPr>
      <w:r>
        <w:rPr>
          <w:sz w:val="24"/>
          <w:szCs w:val="24"/>
        </w:rPr>
        <w:t>The Federal Communications Commission will hold an Open Meeting on</w:t>
      </w:r>
      <w:r w:rsidR="006210F5">
        <w:rPr>
          <w:sz w:val="24"/>
          <w:szCs w:val="24"/>
        </w:rPr>
        <w:t xml:space="preserve"> the subjects listed below on</w:t>
      </w:r>
      <w:r w:rsidR="00E32A88">
        <w:rPr>
          <w:sz w:val="24"/>
          <w:szCs w:val="24"/>
        </w:rPr>
        <w:t xml:space="preserve"> </w:t>
      </w:r>
      <w:r w:rsidR="001F0B41">
        <w:rPr>
          <w:sz w:val="24"/>
          <w:szCs w:val="24"/>
        </w:rPr>
        <w:t>Wedne</w:t>
      </w:r>
      <w:r w:rsidR="00E32A88">
        <w:rPr>
          <w:sz w:val="24"/>
          <w:szCs w:val="24"/>
        </w:rPr>
        <w:t>sday</w:t>
      </w:r>
      <w:r w:rsidR="00661AFE">
        <w:rPr>
          <w:sz w:val="24"/>
          <w:szCs w:val="24"/>
        </w:rPr>
        <w:t xml:space="preserve">, </w:t>
      </w:r>
      <w:r w:rsidR="001F0B41">
        <w:rPr>
          <w:sz w:val="24"/>
          <w:szCs w:val="24"/>
        </w:rPr>
        <w:t>Novem</w:t>
      </w:r>
      <w:r w:rsidR="00E32A88">
        <w:rPr>
          <w:sz w:val="24"/>
          <w:szCs w:val="24"/>
        </w:rPr>
        <w:t xml:space="preserve">ber </w:t>
      </w:r>
      <w:r w:rsidR="001F0B41">
        <w:rPr>
          <w:sz w:val="24"/>
          <w:szCs w:val="24"/>
        </w:rPr>
        <w:t>18</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rsidP="001F0B41" w14:paraId="183A51BD" w14:textId="77777777">
            <w:pPr>
              <w:spacing w:before="120" w:after="54"/>
              <w:jc w:val="center"/>
              <w:rPr>
                <w:rFonts w:ascii="Times New Roman" w:eastAsia="Times New Roman" w:hAnsi="Times New Roman"/>
                <w:b/>
              </w:rPr>
            </w:pPr>
            <w:r>
              <w:rPr>
                <w:rFonts w:ascii="Times New Roman" w:eastAsia="Times New Roman" w:hAnsi="Times New Roman"/>
                <w:b/>
              </w:rPr>
              <w:t>1</w:t>
            </w:r>
          </w:p>
        </w:tc>
        <w:tc>
          <w:tcPr>
            <w:tcW w:w="2880" w:type="dxa"/>
          </w:tcPr>
          <w:p w:rsidR="00E32A88" w:rsidP="001F0B41" w14:paraId="105E6E92" w14:textId="33238E1A">
            <w:pPr>
              <w:autoSpaceDE/>
              <w:autoSpaceDN/>
              <w:spacing w:before="120" w:after="54"/>
              <w:jc w:val="center"/>
              <w:rPr>
                <w:rFonts w:ascii="Times New Roman" w:eastAsia="Times New Roman" w:hAnsi="Times New Roman"/>
                <w:b/>
              </w:rPr>
            </w:pPr>
            <w:r w:rsidRPr="002E0A08">
              <w:rPr>
                <w:rFonts w:ascii="Times New Roman" w:eastAsia="Times New Roman" w:hAnsi="Times New Roman"/>
                <w:b/>
              </w:rPr>
              <w:t>OFFICE OF ENGINEERING</w:t>
            </w:r>
            <w:r>
              <w:rPr>
                <w:rFonts w:ascii="Times New Roman" w:eastAsia="Times New Roman" w:hAnsi="Times New Roman"/>
                <w:b/>
              </w:rPr>
              <w:t xml:space="preserve"> AND </w:t>
            </w:r>
            <w:r w:rsidRPr="002E0A08">
              <w:rPr>
                <w:rFonts w:ascii="Times New Roman" w:eastAsia="Times New Roman" w:hAnsi="Times New Roman"/>
                <w:b/>
              </w:rPr>
              <w:t>TECHNOLOGY</w:t>
            </w:r>
          </w:p>
        </w:tc>
        <w:tc>
          <w:tcPr>
            <w:tcW w:w="5220" w:type="dxa"/>
          </w:tcPr>
          <w:p w:rsidR="00E6543B" w:rsidP="001F0B41" w14:paraId="53718F85" w14:textId="5B533E0B">
            <w:pPr>
              <w:autoSpaceDE/>
              <w:spacing w:before="120" w:after="54"/>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Pr="00E91B77" w:rsidR="00E91B77">
              <w:rPr>
                <w:rFonts w:ascii="Times New Roman" w:eastAsia="Times New Roman" w:hAnsi="Times New Roman"/>
                <w:bCs/>
              </w:rPr>
              <w:t>Modernizing the 5.9 GHz Band</w:t>
            </w:r>
            <w:r w:rsidR="00E91B77">
              <w:rPr>
                <w:rFonts w:ascii="Times New Roman" w:eastAsia="Times New Roman" w:hAnsi="Times New Roman"/>
                <w:bCs/>
              </w:rPr>
              <w:t xml:space="preserve"> </w:t>
            </w:r>
            <w:r w:rsidRPr="00E91B77" w:rsidR="00E91B77">
              <w:rPr>
                <w:rFonts w:ascii="Times New Roman" w:eastAsia="Times New Roman" w:hAnsi="Times New Roman"/>
                <w:bCs/>
              </w:rPr>
              <w:t>(ET Docket No. 19-138)</w:t>
            </w:r>
            <w:r w:rsidR="00E91B77">
              <w:rPr>
                <w:rFonts w:ascii="Times New Roman" w:eastAsia="Times New Roman" w:hAnsi="Times New Roman"/>
                <w:bCs/>
              </w:rPr>
              <w:t>.</w:t>
            </w:r>
          </w:p>
          <w:p w:rsidR="00E6543B" w:rsidP="001F0B41" w14:paraId="32A2B6EB" w14:textId="5E0F256B">
            <w:pPr>
              <w:autoSpaceDE/>
              <w:spacing w:before="120" w:after="240"/>
              <w:rPr>
                <w:rFonts w:ascii="Times New Roman" w:eastAsia="Times New Roman" w:hAnsi="Times New Roman"/>
              </w:rPr>
            </w:pPr>
            <w:r>
              <w:rPr>
                <w:rFonts w:ascii="Times New Roman" w:eastAsia="Times New Roman" w:hAnsi="Times New Roman"/>
                <w:b/>
              </w:rPr>
              <w:t>SUMMARY:</w:t>
            </w:r>
            <w:bookmarkEnd w:id="3"/>
            <w:r w:rsidR="005D39D2">
              <w:rPr>
                <w:rFonts w:ascii="Times New Roman" w:eastAsia="Times New Roman" w:hAnsi="Times New Roman"/>
                <w:b/>
              </w:rPr>
              <w:t xml:space="preserve">  </w:t>
            </w:r>
            <w:r w:rsidRPr="00E91B77" w:rsidR="00E91B77">
              <w:rPr>
                <w:rFonts w:ascii="Times New Roman" w:eastAsia="Times New Roman" w:hAnsi="Times New Roman"/>
              </w:rPr>
              <w:t>The Commission will consider a First Report and Order, Further Notice of Proposed Rulemaking, and Order of Proposed Modification that would adopt rules to repurpose 45 megahertz of spectrum in the 5.850-5.895 GHz band for unlicensed operations, retain 30 megahertz of spectrum in the 5.895-5.925 GHz band for the Intelligent Transportation Systems (ITS) service, and require the transition of the ITS radio service standard from Dedicated Short-Range Communications technology to Cellular Vehicle-to-Everything technology</w:t>
            </w:r>
            <w:r w:rsidRPr="00E32A88" w:rsidR="00E32A88">
              <w:rPr>
                <w:rFonts w:ascii="Times New Roman" w:eastAsia="Times New Roman" w:hAnsi="Times New Roman"/>
              </w:rPr>
              <w:t xml:space="preserve">.  </w:t>
            </w:r>
          </w:p>
        </w:tc>
      </w:tr>
      <w:tr w14:paraId="5805400E" w14:textId="77777777">
        <w:tblPrEx>
          <w:tblW w:w="9540" w:type="dxa"/>
          <w:tblLayout w:type="fixed"/>
          <w:tblCellMar>
            <w:left w:w="120" w:type="dxa"/>
            <w:right w:w="120" w:type="dxa"/>
          </w:tblCellMar>
          <w:tblLook w:val="0000"/>
        </w:tblPrEx>
        <w:tc>
          <w:tcPr>
            <w:tcW w:w="1440" w:type="dxa"/>
          </w:tcPr>
          <w:p w:rsidR="007A53F3" w:rsidP="001F0B41" w14:paraId="45C64F1D" w14:textId="77777777">
            <w:pPr>
              <w:spacing w:before="12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rsidP="001F0B41" w14:paraId="20FB37F8" w14:textId="5212BB1A">
            <w:pPr>
              <w:autoSpaceDE/>
              <w:autoSpaceDN/>
              <w:spacing w:before="120" w:after="54"/>
              <w:jc w:val="center"/>
              <w:rPr>
                <w:rFonts w:ascii="Times New Roman" w:eastAsia="Times New Roman" w:hAnsi="Times New Roman"/>
                <w:b/>
              </w:rPr>
            </w:pPr>
            <w:r>
              <w:rPr>
                <w:rFonts w:ascii="Times New Roman" w:eastAsia="Times New Roman" w:hAnsi="Times New Roman"/>
                <w:b/>
              </w:rPr>
              <w:t>INTERNATIONAL</w:t>
            </w:r>
          </w:p>
        </w:tc>
        <w:tc>
          <w:tcPr>
            <w:tcW w:w="5220" w:type="dxa"/>
          </w:tcPr>
          <w:p w:rsidR="00E6543B" w:rsidP="001F0B41" w14:paraId="41AEB6CC" w14:textId="719005EB">
            <w:pPr>
              <w:autoSpaceDE/>
              <w:spacing w:before="120" w:after="54"/>
              <w:rPr>
                <w:rFonts w:ascii="Times New Roman" w:eastAsia="Times New Roman" w:hAnsi="Times New Roman"/>
                <w:bCs/>
              </w:rPr>
            </w:pPr>
            <w:r>
              <w:rPr>
                <w:rFonts w:ascii="Times New Roman" w:eastAsia="Times New Roman" w:hAnsi="Times New Roman"/>
                <w:b/>
              </w:rPr>
              <w:t>TITLE:</w:t>
            </w:r>
            <w:r w:rsidRPr="00682084">
              <w:rPr>
                <w:rFonts w:ascii="Times New Roman" w:eastAsia="Times New Roman" w:hAnsi="Times New Roman"/>
                <w:bCs/>
              </w:rPr>
              <w:t xml:space="preserve">  </w:t>
            </w:r>
            <w:r w:rsidRPr="00E91B77" w:rsidR="00E91B77">
              <w:rPr>
                <w:rFonts w:ascii="Times New Roman" w:eastAsia="Times New Roman" w:hAnsi="Times New Roman"/>
                <w:bCs/>
              </w:rPr>
              <w:t>Further Streamlining of Satellite Regulations</w:t>
            </w:r>
            <w:r w:rsidR="00E91B77">
              <w:rPr>
                <w:rFonts w:ascii="Times New Roman" w:eastAsia="Times New Roman" w:hAnsi="Times New Roman"/>
                <w:bCs/>
              </w:rPr>
              <w:t xml:space="preserve"> </w:t>
            </w:r>
            <w:r w:rsidRPr="00E91B77" w:rsidR="00E91B77">
              <w:rPr>
                <w:rFonts w:ascii="Times New Roman" w:eastAsia="Times New Roman" w:hAnsi="Times New Roman"/>
                <w:bCs/>
              </w:rPr>
              <w:t>(IB Docket No. 18-314)</w:t>
            </w:r>
            <w:r w:rsidR="00E91B77">
              <w:rPr>
                <w:rFonts w:ascii="Times New Roman" w:eastAsia="Times New Roman" w:hAnsi="Times New Roman"/>
                <w:bCs/>
              </w:rPr>
              <w:t>.</w:t>
            </w:r>
          </w:p>
          <w:p w:rsidR="00FE206F" w:rsidRPr="002E4C5E" w:rsidP="001F0B41" w14:paraId="453687D1" w14:textId="0C548E08">
            <w:pPr>
              <w:autoSpaceDE/>
              <w:spacing w:before="120" w:after="240"/>
              <w:rPr>
                <w:rFonts w:ascii="Times New Roman" w:eastAsia="Times New Roman" w:hAnsi="Times New Roman"/>
                <w:bCs/>
              </w:rPr>
            </w:pPr>
            <w:r>
              <w:rPr>
                <w:rFonts w:ascii="Times New Roman" w:eastAsia="Times New Roman" w:hAnsi="Times New Roman"/>
                <w:b/>
              </w:rPr>
              <w:t xml:space="preserve">SUMMARY:  </w:t>
            </w:r>
            <w:r w:rsidRPr="00E91B77" w:rsidR="00E91B77">
              <w:rPr>
                <w:rFonts w:ascii="Times New Roman" w:eastAsia="Times New Roman" w:hAnsi="Times New Roman"/>
                <w:bCs/>
              </w:rPr>
              <w:t>The Commission will consider a Report and Order that would streamline its satellite licensing rules by creating an optional framework for authorizing space stations and blanket-licensed earth stations through a unified license</w:t>
            </w:r>
            <w:r w:rsidRPr="00E32A88" w:rsidR="00E32A88">
              <w:rPr>
                <w:rFonts w:ascii="Times New Roman" w:eastAsia="Times New Roman" w:hAnsi="Times New Roman"/>
                <w:bCs/>
              </w:rPr>
              <w:t xml:space="preserve">.  </w:t>
            </w:r>
          </w:p>
        </w:tc>
      </w:tr>
      <w:tr w14:paraId="42B5B48A" w14:textId="77777777">
        <w:tblPrEx>
          <w:tblW w:w="9540" w:type="dxa"/>
          <w:tblLayout w:type="fixed"/>
          <w:tblCellMar>
            <w:left w:w="120" w:type="dxa"/>
            <w:right w:w="120" w:type="dxa"/>
          </w:tblCellMar>
          <w:tblLook w:val="0000"/>
        </w:tblPrEx>
        <w:tc>
          <w:tcPr>
            <w:tcW w:w="1440" w:type="dxa"/>
          </w:tcPr>
          <w:p w:rsidR="007A53F3" w:rsidP="001F0B41" w14:paraId="5C773ED6" w14:textId="77777777">
            <w:pPr>
              <w:spacing w:before="120" w:after="54"/>
              <w:jc w:val="center"/>
              <w:rPr>
                <w:rFonts w:ascii="Times New Roman" w:eastAsia="Times New Roman" w:hAnsi="Times New Roman"/>
                <w:b/>
              </w:rPr>
            </w:pPr>
            <w:r>
              <w:rPr>
                <w:rFonts w:ascii="Times New Roman" w:eastAsia="Times New Roman" w:hAnsi="Times New Roman"/>
                <w:b/>
              </w:rPr>
              <w:t>3</w:t>
            </w:r>
          </w:p>
        </w:tc>
        <w:tc>
          <w:tcPr>
            <w:tcW w:w="2880" w:type="dxa"/>
          </w:tcPr>
          <w:p w:rsidR="00C23CD0" w:rsidP="001F0B41" w14:paraId="65B28B34" w14:textId="7C59064D">
            <w:pPr>
              <w:autoSpaceDE/>
              <w:autoSpaceDN/>
              <w:spacing w:before="120" w:after="54"/>
              <w:jc w:val="center"/>
              <w:rPr>
                <w:rFonts w:ascii="Times New Roman" w:eastAsia="Times New Roman" w:hAnsi="Times New Roman"/>
                <w:b/>
              </w:rPr>
            </w:pPr>
            <w:r>
              <w:rPr>
                <w:rFonts w:ascii="Times New Roman" w:eastAsia="Times New Roman" w:hAnsi="Times New Roman"/>
                <w:b/>
              </w:rPr>
              <w:t>INTERNATIONAL</w:t>
            </w:r>
          </w:p>
        </w:tc>
        <w:tc>
          <w:tcPr>
            <w:tcW w:w="5220" w:type="dxa"/>
          </w:tcPr>
          <w:p w:rsidR="00D70433" w:rsidP="001F0B41" w14:paraId="02B27640" w14:textId="7E53C2E3">
            <w:pPr>
              <w:autoSpaceDE/>
              <w:spacing w:before="120" w:after="54"/>
              <w:rPr>
                <w:rFonts w:ascii="Times New Roman" w:eastAsia="Times New Roman" w:hAnsi="Times New Roman"/>
                <w:bCs/>
              </w:rPr>
            </w:pPr>
            <w:r>
              <w:rPr>
                <w:rFonts w:ascii="Times New Roman" w:eastAsia="Times New Roman" w:hAnsi="Times New Roman"/>
                <w:b/>
              </w:rPr>
              <w:t>TITLE</w:t>
            </w:r>
            <w:r w:rsidR="002F131F">
              <w:rPr>
                <w:rFonts w:ascii="Times New Roman" w:eastAsia="Times New Roman" w:hAnsi="Times New Roman"/>
                <w:b/>
              </w:rPr>
              <w:t>:</w:t>
            </w:r>
            <w:r w:rsidR="002F131F">
              <w:rPr>
                <w:rFonts w:ascii="Times New Roman" w:eastAsia="Times New Roman" w:hAnsi="Times New Roman"/>
                <w:bCs/>
              </w:rPr>
              <w:t xml:space="preserve">  </w:t>
            </w:r>
            <w:r w:rsidRPr="004F353A" w:rsidR="004F353A">
              <w:rPr>
                <w:rFonts w:ascii="Times New Roman" w:eastAsia="Times New Roman" w:hAnsi="Times New Roman"/>
                <w:bCs/>
              </w:rPr>
              <w:t>Facilitating Next Generation Fixed-Satellite Services in the 17 GHz Band (IB Docket No. 20-330)</w:t>
            </w:r>
            <w:r w:rsidR="004F353A">
              <w:rPr>
                <w:rFonts w:ascii="Times New Roman" w:eastAsia="Times New Roman" w:hAnsi="Times New Roman"/>
                <w:bCs/>
              </w:rPr>
              <w:t>.</w:t>
            </w:r>
          </w:p>
          <w:p w:rsidR="00884921" w:rsidP="001F0B41" w14:paraId="3D2800DB" w14:textId="46A12123">
            <w:pPr>
              <w:autoSpaceDE/>
              <w:spacing w:before="120" w:after="240"/>
              <w:rPr>
                <w:rFonts w:ascii="Times New Roman" w:eastAsia="Times New Roman" w:hAnsi="Times New Roman"/>
                <w:b/>
              </w:rPr>
            </w:pPr>
            <w:r>
              <w:rPr>
                <w:rFonts w:ascii="Times New Roman" w:eastAsia="Times New Roman" w:hAnsi="Times New Roman"/>
                <w:b/>
              </w:rPr>
              <w:t xml:space="preserve">SUMMARY:  </w:t>
            </w:r>
            <w:r w:rsidRPr="004F353A" w:rsidR="004F353A">
              <w:rPr>
                <w:rFonts w:ascii="Times New Roman" w:eastAsia="Times New Roman" w:hAnsi="Times New Roman"/>
              </w:rPr>
              <w:t>The Commission will consider a Notice of Proposed Rulemaking that would propose to add a new allocation in the 17.3-17.8 GHz band for Fixed-Satellite Service space-to-Earth downlinks and to adopt associated technical rules</w:t>
            </w:r>
            <w:r w:rsidRPr="00E32A88" w:rsidR="00E32A88">
              <w:rPr>
                <w:rFonts w:ascii="Times New Roman" w:eastAsia="Times New Roman" w:hAnsi="Times New Roman"/>
              </w:rPr>
              <w:t xml:space="preserve">.  </w:t>
            </w:r>
          </w:p>
        </w:tc>
      </w:tr>
      <w:tr w14:paraId="46B5380D" w14:textId="77777777">
        <w:tblPrEx>
          <w:tblW w:w="9540" w:type="dxa"/>
          <w:tblLayout w:type="fixed"/>
          <w:tblCellMar>
            <w:left w:w="120" w:type="dxa"/>
            <w:right w:w="120" w:type="dxa"/>
          </w:tblCellMar>
          <w:tblLook w:val="0000"/>
        </w:tblPrEx>
        <w:tc>
          <w:tcPr>
            <w:tcW w:w="1440" w:type="dxa"/>
          </w:tcPr>
          <w:p w:rsidR="007A53F3" w:rsidP="001F0B41" w14:paraId="4FDBE9F3" w14:textId="77777777">
            <w:pPr>
              <w:spacing w:before="120" w:after="54"/>
              <w:jc w:val="center"/>
              <w:rPr>
                <w:rFonts w:ascii="Times New Roman" w:eastAsia="Times New Roman" w:hAnsi="Times New Roman"/>
                <w:b/>
              </w:rPr>
            </w:pPr>
            <w:r>
              <w:rPr>
                <w:rFonts w:ascii="Times New Roman" w:eastAsia="Times New Roman" w:hAnsi="Times New Roman"/>
                <w:b/>
              </w:rPr>
              <w:t>4</w:t>
            </w:r>
          </w:p>
        </w:tc>
        <w:tc>
          <w:tcPr>
            <w:tcW w:w="2880" w:type="dxa"/>
          </w:tcPr>
          <w:p w:rsidR="002E4C5E" w:rsidP="001F0B41" w14:paraId="42AAE49F" w14:textId="60A3D8CD">
            <w:pPr>
              <w:autoSpaceDE/>
              <w:autoSpaceDN/>
              <w:spacing w:before="120" w:after="54"/>
              <w:jc w:val="center"/>
              <w:rPr>
                <w:rFonts w:ascii="Times New Roman" w:eastAsia="Times New Roman" w:hAnsi="Times New Roman"/>
                <w:b/>
              </w:rPr>
            </w:pPr>
            <w:r>
              <w:rPr>
                <w:rFonts w:ascii="Times New Roman" w:eastAsia="Times New Roman" w:hAnsi="Times New Roman"/>
                <w:b/>
              </w:rPr>
              <w:t>CONSUMER &amp; GOVERNMENTAL AFFAIRS</w:t>
            </w:r>
          </w:p>
        </w:tc>
        <w:tc>
          <w:tcPr>
            <w:tcW w:w="5220" w:type="dxa"/>
          </w:tcPr>
          <w:p w:rsidR="008842CB" w:rsidP="001F0B41" w14:paraId="178085F4" w14:textId="1DE6C84E">
            <w:pPr>
              <w:autoSpaceDE/>
              <w:spacing w:before="12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D87186" w:rsidR="00D87186">
              <w:rPr>
                <w:rFonts w:ascii="Times New Roman" w:eastAsia="Times New Roman" w:hAnsi="Times New Roman"/>
                <w:snapToGrid w:val="0"/>
                <w:kern w:val="28"/>
                <w:sz w:val="22"/>
                <w:szCs w:val="20"/>
              </w:rPr>
              <w:t xml:space="preserve"> </w:t>
            </w:r>
            <w:r w:rsidRPr="00D87186" w:rsidR="00D87186">
              <w:rPr>
                <w:rFonts w:ascii="Times New Roman" w:eastAsia="Times New Roman" w:hAnsi="Times New Roman"/>
              </w:rPr>
              <w:t xml:space="preserve">Telecommunications Relay Services and Speech-to-Speech Services for Individuals with Hearing and Speech Disabilities </w:t>
            </w:r>
            <w:r w:rsidRPr="004F353A" w:rsidR="004F353A">
              <w:rPr>
                <w:rFonts w:ascii="Times New Roman" w:eastAsia="Times New Roman" w:hAnsi="Times New Roman"/>
              </w:rPr>
              <w:t>(CG Docket No. 03-123</w:t>
            </w:r>
            <w:r w:rsidR="00D87186">
              <w:rPr>
                <w:rFonts w:ascii="Times New Roman" w:eastAsia="Times New Roman" w:hAnsi="Times New Roman"/>
              </w:rPr>
              <w:t>);</w:t>
            </w:r>
            <w:r w:rsidRPr="004F353A" w:rsidR="004F353A">
              <w:rPr>
                <w:rFonts w:ascii="Times New Roman" w:eastAsia="Times New Roman" w:hAnsi="Times New Roman"/>
              </w:rPr>
              <w:t xml:space="preserve"> </w:t>
            </w:r>
            <w:r w:rsidRPr="00D87186" w:rsidR="00D87186">
              <w:rPr>
                <w:rFonts w:ascii="Times New Roman" w:eastAsia="Times New Roman" w:hAnsi="Times New Roman"/>
              </w:rPr>
              <w:t xml:space="preserve">Structure and Practices of the Video Relay Service Program </w:t>
            </w:r>
            <w:r w:rsidR="00D87186">
              <w:rPr>
                <w:rFonts w:ascii="Times New Roman" w:eastAsia="Times New Roman" w:hAnsi="Times New Roman"/>
              </w:rPr>
              <w:t xml:space="preserve">(CG Docket No. </w:t>
            </w:r>
            <w:r w:rsidRPr="004F353A" w:rsidR="004F353A">
              <w:rPr>
                <w:rFonts w:ascii="Times New Roman" w:eastAsia="Times New Roman" w:hAnsi="Times New Roman"/>
              </w:rPr>
              <w:t>10-51</w:t>
            </w:r>
            <w:r w:rsidR="00D87186">
              <w:rPr>
                <w:rFonts w:ascii="Times New Roman" w:eastAsia="Times New Roman" w:hAnsi="Times New Roman"/>
              </w:rPr>
              <w:t>);</w:t>
            </w:r>
            <w:r w:rsidRPr="004F353A" w:rsidR="004F353A">
              <w:rPr>
                <w:rFonts w:ascii="Times New Roman" w:eastAsia="Times New Roman" w:hAnsi="Times New Roman"/>
              </w:rPr>
              <w:t xml:space="preserve"> </w:t>
            </w:r>
            <w:r w:rsidR="00D87186">
              <w:rPr>
                <w:rFonts w:ascii="Times New Roman" w:eastAsia="Times New Roman" w:hAnsi="Times New Roman"/>
              </w:rPr>
              <w:t xml:space="preserve">and </w:t>
            </w:r>
            <w:r w:rsidRPr="00D87186" w:rsidR="00D87186">
              <w:rPr>
                <w:rFonts w:ascii="Times New Roman" w:eastAsia="Times New Roman" w:hAnsi="Times New Roman"/>
              </w:rPr>
              <w:t xml:space="preserve">Misuse of Internet Protocol Relay Service </w:t>
            </w:r>
            <w:r w:rsidR="00D87186">
              <w:rPr>
                <w:rFonts w:ascii="Times New Roman" w:eastAsia="Times New Roman" w:hAnsi="Times New Roman"/>
              </w:rPr>
              <w:t xml:space="preserve">(CG Docket No. </w:t>
            </w:r>
            <w:r w:rsidRPr="004F353A" w:rsidR="004F353A">
              <w:rPr>
                <w:rFonts w:ascii="Times New Roman" w:eastAsia="Times New Roman" w:hAnsi="Times New Roman"/>
              </w:rPr>
              <w:t>12-38)</w:t>
            </w:r>
            <w:r w:rsidR="004F353A">
              <w:rPr>
                <w:rFonts w:ascii="Times New Roman" w:eastAsia="Times New Roman" w:hAnsi="Times New Roman"/>
              </w:rPr>
              <w:t>.</w:t>
            </w:r>
          </w:p>
          <w:p w:rsidR="002E4C5E" w:rsidP="001F0B41" w14:paraId="6F7A6D04" w14:textId="0A491643">
            <w:pPr>
              <w:autoSpaceDE/>
              <w:spacing w:before="120" w:after="240"/>
              <w:rPr>
                <w:rFonts w:ascii="Times New Roman" w:eastAsia="Times New Roman" w:hAnsi="Times New Roman"/>
                <w:b/>
              </w:rPr>
            </w:pPr>
            <w:r>
              <w:rPr>
                <w:rFonts w:ascii="Times New Roman" w:eastAsia="Times New Roman" w:hAnsi="Times New Roman"/>
                <w:b/>
              </w:rPr>
              <w:t>SUMMARY</w:t>
            </w:r>
            <w:r w:rsidR="004F353A">
              <w:rPr>
                <w:rFonts w:ascii="Times New Roman" w:eastAsia="Times New Roman" w:hAnsi="Times New Roman"/>
                <w:b/>
              </w:rPr>
              <w:t>:</w:t>
            </w:r>
            <w:r w:rsidRPr="008E72C1">
              <w:rPr>
                <w:rFonts w:ascii="Times New Roman" w:eastAsia="Times New Roman" w:hAnsi="Times New Roman"/>
                <w:bCs/>
              </w:rPr>
              <w:t xml:space="preserve"> </w:t>
            </w:r>
            <w:r w:rsidR="004F353A">
              <w:rPr>
                <w:rFonts w:ascii="Times New Roman" w:eastAsia="Times New Roman" w:hAnsi="Times New Roman"/>
                <w:bCs/>
              </w:rPr>
              <w:t xml:space="preserve"> </w:t>
            </w:r>
            <w:r w:rsidRPr="004F353A" w:rsidR="004F353A">
              <w:rPr>
                <w:rFonts w:ascii="Times New Roman" w:eastAsia="Times New Roman" w:hAnsi="Times New Roman"/>
                <w:bCs/>
              </w:rPr>
              <w:t xml:space="preserve">The Commission will consider a Notice of Proposed Rulemaking that would propose expansion of the Telecommunications Relay Services (TRS) Fund contribution base for supporting Video Relay Service (VRS) and Internet Protocol Relay Service (IP Relay) to include intrastate telecommunications revenue, as a way of strengthening the funding base for these forms of TRS and making it more equitable without increasing the size of the Fund itself </w:t>
            </w:r>
            <w:r w:rsidRPr="008E72C1" w:rsidR="008E72C1">
              <w:rPr>
                <w:rFonts w:ascii="Times New Roman" w:eastAsia="Times New Roman" w:hAnsi="Times New Roman"/>
                <w:bCs/>
              </w:rPr>
              <w:t xml:space="preserve">.  </w:t>
            </w:r>
          </w:p>
        </w:tc>
      </w:tr>
      <w:tr w14:paraId="6C1DEB5A" w14:textId="77777777">
        <w:tblPrEx>
          <w:tblW w:w="9540" w:type="dxa"/>
          <w:tblLayout w:type="fixed"/>
          <w:tblCellMar>
            <w:left w:w="120" w:type="dxa"/>
            <w:right w:w="120" w:type="dxa"/>
          </w:tblCellMar>
          <w:tblLook w:val="0000"/>
        </w:tblPrEx>
        <w:tc>
          <w:tcPr>
            <w:tcW w:w="1440" w:type="dxa"/>
          </w:tcPr>
          <w:p w:rsidR="00C23CD0" w:rsidP="001F0B41" w14:paraId="158D49BF" w14:textId="23F21D07">
            <w:pPr>
              <w:spacing w:before="120" w:after="54"/>
              <w:jc w:val="center"/>
              <w:rPr>
                <w:rFonts w:ascii="Times New Roman" w:eastAsia="Times New Roman" w:hAnsi="Times New Roman"/>
                <w:b/>
              </w:rPr>
            </w:pPr>
            <w:bookmarkStart w:id="5" w:name="_Hlk50966791"/>
            <w:r>
              <w:rPr>
                <w:rFonts w:ascii="Times New Roman" w:eastAsia="Times New Roman" w:hAnsi="Times New Roman"/>
                <w:b/>
              </w:rPr>
              <w:t>5</w:t>
            </w:r>
          </w:p>
        </w:tc>
        <w:tc>
          <w:tcPr>
            <w:tcW w:w="2880" w:type="dxa"/>
          </w:tcPr>
          <w:p w:rsidR="00C23CD0" w:rsidP="001F0B41" w14:paraId="26708496" w14:textId="4D5E50DD">
            <w:pPr>
              <w:autoSpaceDE/>
              <w:autoSpaceDN/>
              <w:spacing w:before="120" w:after="54"/>
              <w:jc w:val="center"/>
              <w:rPr>
                <w:rFonts w:ascii="Times New Roman" w:eastAsia="Times New Roman" w:hAnsi="Times New Roman"/>
                <w:b/>
              </w:rPr>
            </w:pPr>
            <w:bookmarkStart w:id="6" w:name="_Hlk54102890"/>
            <w:r>
              <w:rPr>
                <w:rFonts w:ascii="Times New Roman" w:eastAsia="Times New Roman" w:hAnsi="Times New Roman"/>
                <w:b/>
              </w:rPr>
              <w:t>MEDIA</w:t>
            </w:r>
          </w:p>
          <w:bookmarkEnd w:id="6"/>
          <w:p w:rsidR="006210F5" w:rsidP="001F0B41" w14:paraId="6852E905" w14:textId="3A994ECB">
            <w:pPr>
              <w:autoSpaceDE/>
              <w:autoSpaceDN/>
              <w:spacing w:before="120" w:after="54"/>
              <w:jc w:val="center"/>
              <w:rPr>
                <w:rFonts w:ascii="Times New Roman" w:eastAsia="Times New Roman" w:hAnsi="Times New Roman"/>
                <w:b/>
              </w:rPr>
            </w:pPr>
          </w:p>
        </w:tc>
        <w:tc>
          <w:tcPr>
            <w:tcW w:w="5220" w:type="dxa"/>
          </w:tcPr>
          <w:p w:rsidR="008842CB" w:rsidRPr="00561F11" w:rsidP="001F0B41" w14:paraId="7AF5747F" w14:textId="1D3CCBB3">
            <w:pPr>
              <w:spacing w:before="120"/>
              <w:rPr>
                <w:rFonts w:ascii="Times New Roman" w:hAnsi="Times New Roman"/>
                <w:b/>
              </w:rPr>
            </w:pPr>
            <w:r>
              <w:rPr>
                <w:rFonts w:ascii="Times New Roman" w:eastAsia="Times New Roman" w:hAnsi="Times New Roman"/>
                <w:b/>
              </w:rPr>
              <w:t>TITLE:</w:t>
            </w:r>
            <w:r>
              <w:rPr>
                <w:rFonts w:ascii="Times New Roman" w:eastAsia="Times New Roman" w:hAnsi="Times New Roman"/>
              </w:rPr>
              <w:t xml:space="preserve"> </w:t>
            </w:r>
            <w:r w:rsidRPr="008E72C1" w:rsidR="008E72C1">
              <w:rPr>
                <w:rFonts w:ascii="Times New Roman" w:eastAsia="Times New Roman" w:hAnsi="Times New Roman"/>
                <w:bCs/>
              </w:rPr>
              <w:t xml:space="preserve"> </w:t>
            </w:r>
            <w:r w:rsidRPr="00D87186" w:rsidR="00D87186">
              <w:rPr>
                <w:rFonts w:ascii="Times New Roman" w:eastAsia="Times New Roman" w:hAnsi="Times New Roman"/>
                <w:snapToGrid w:val="0"/>
                <w:spacing w:val="-2"/>
                <w:kern w:val="28"/>
                <w:sz w:val="22"/>
                <w:szCs w:val="20"/>
              </w:rPr>
              <w:t xml:space="preserve"> </w:t>
            </w:r>
            <w:r w:rsidRPr="00D87186" w:rsidR="00D87186">
              <w:rPr>
                <w:rFonts w:ascii="Times New Roman" w:hAnsi="Times New Roman"/>
              </w:rPr>
              <w:t xml:space="preserve">Revision of the Commission’s Part 76 Review Procedures </w:t>
            </w:r>
            <w:r w:rsidRPr="004F353A" w:rsidR="004F353A">
              <w:rPr>
                <w:rFonts w:ascii="Times New Roman" w:hAnsi="Times New Roman"/>
              </w:rPr>
              <w:t>(MB Docket No. 20-70</w:t>
            </w:r>
            <w:r w:rsidR="00D87186">
              <w:rPr>
                <w:rFonts w:ascii="Times New Roman" w:hAnsi="Times New Roman"/>
              </w:rPr>
              <w:t>);</w:t>
            </w:r>
            <w:r w:rsidRPr="004F353A" w:rsidR="004F353A">
              <w:rPr>
                <w:rFonts w:ascii="Times New Roman" w:hAnsi="Times New Roman"/>
              </w:rPr>
              <w:t xml:space="preserve"> </w:t>
            </w:r>
            <w:r w:rsidRPr="00D87186" w:rsidR="00D87186">
              <w:rPr>
                <w:rFonts w:ascii="Times New Roman" w:hAnsi="Times New Roman"/>
              </w:rPr>
              <w:t xml:space="preserve">Modernization of Media Regulation Initiative (MB Docket No. </w:t>
            </w:r>
            <w:r w:rsidRPr="004F353A" w:rsidR="004F353A">
              <w:rPr>
                <w:rFonts w:ascii="Times New Roman" w:hAnsi="Times New Roman"/>
              </w:rPr>
              <w:t>17-105</w:t>
            </w:r>
            <w:r w:rsidR="00D87186">
              <w:rPr>
                <w:rFonts w:ascii="Times New Roman" w:hAnsi="Times New Roman"/>
              </w:rPr>
              <w:t>);</w:t>
            </w:r>
            <w:r w:rsidRPr="004F353A" w:rsidR="004F353A">
              <w:rPr>
                <w:rFonts w:ascii="Times New Roman" w:hAnsi="Times New Roman"/>
              </w:rPr>
              <w:t xml:space="preserve"> </w:t>
            </w:r>
            <w:r w:rsidR="00D87186">
              <w:rPr>
                <w:rFonts w:ascii="Times New Roman" w:hAnsi="Times New Roman"/>
              </w:rPr>
              <w:t xml:space="preserve">and </w:t>
            </w:r>
            <w:r w:rsidRPr="00D87186" w:rsidR="00D87186">
              <w:rPr>
                <w:rFonts w:ascii="Times New Roman" w:hAnsi="Times New Roman"/>
              </w:rPr>
              <w:t xml:space="preserve">Revision of the Commission’s Program Carriage Rules (MB Docket No. </w:t>
            </w:r>
            <w:r w:rsidRPr="004F353A" w:rsidR="004F353A">
              <w:rPr>
                <w:rFonts w:ascii="Times New Roman" w:hAnsi="Times New Roman"/>
              </w:rPr>
              <w:t>11-131)</w:t>
            </w:r>
            <w:r w:rsidR="004F353A">
              <w:rPr>
                <w:rFonts w:ascii="Times New Roman" w:hAnsi="Times New Roman"/>
              </w:rPr>
              <w:t>.</w:t>
            </w:r>
          </w:p>
          <w:p w:rsidR="00C23CD0" w:rsidP="001F0B41" w14:paraId="4FC24D57" w14:textId="2E3303E0">
            <w:pPr>
              <w:autoSpaceDE/>
              <w:spacing w:before="120" w:after="240"/>
              <w:rPr>
                <w:rFonts w:ascii="Times New Roman" w:eastAsia="Times New Roman" w:hAnsi="Times New Roman"/>
                <w:b/>
              </w:rPr>
            </w:pPr>
            <w:r>
              <w:rPr>
                <w:rFonts w:ascii="Times New Roman" w:eastAsia="Times New Roman" w:hAnsi="Times New Roman"/>
                <w:b/>
              </w:rPr>
              <w:t xml:space="preserve">SUMMARY: </w:t>
            </w:r>
            <w:r w:rsidR="008E72C1">
              <w:rPr>
                <w:rFonts w:ascii="Times New Roman" w:eastAsia="Times New Roman" w:hAnsi="Times New Roman"/>
                <w:b/>
              </w:rPr>
              <w:t xml:space="preserve"> </w:t>
            </w:r>
            <w:r w:rsidRPr="004F353A" w:rsidR="004F353A">
              <w:rPr>
                <w:rFonts w:ascii="Times New Roman" w:eastAsia="Times New Roman" w:hAnsi="Times New Roman"/>
                <w:bCs/>
              </w:rPr>
              <w:t>The Commission will consider a Report and Order that would modify the Commission’s rules governing the resolution of program carriage disputes between video programming vendors and multichannel video programming distributors</w:t>
            </w:r>
            <w:r w:rsidRPr="008E72C1" w:rsidR="008E72C1">
              <w:rPr>
                <w:rFonts w:ascii="Times New Roman" w:eastAsia="Times New Roman" w:hAnsi="Times New Roman"/>
                <w:bCs/>
              </w:rPr>
              <w:t xml:space="preserve">. </w:t>
            </w:r>
          </w:p>
        </w:tc>
      </w:tr>
      <w:bookmarkEnd w:id="5"/>
    </w:tbl>
    <w:p w:rsidR="00BD552B" w14:paraId="0EFA102E" w14:textId="77777777">
      <w:r>
        <w:br w:type="page"/>
      </w: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5A7EEA3A" w14:textId="77777777" w:rsidTr="006D7153">
        <w:tblPrEx>
          <w:tblW w:w="9540" w:type="dxa"/>
          <w:tblLayout w:type="fixed"/>
          <w:tblCellMar>
            <w:left w:w="120" w:type="dxa"/>
            <w:right w:w="120" w:type="dxa"/>
          </w:tblCellMar>
          <w:tblLook w:val="0000"/>
        </w:tblPrEx>
        <w:tc>
          <w:tcPr>
            <w:tcW w:w="1440" w:type="dxa"/>
          </w:tcPr>
          <w:p w:rsidR="00AE1B32" w:rsidP="00AE1B32" w14:paraId="3021380D" w14:textId="46E9B60E">
            <w:pPr>
              <w:spacing w:before="120" w:after="54"/>
              <w:jc w:val="center"/>
              <w:rPr>
                <w:rFonts w:ascii="Times New Roman" w:eastAsia="Times New Roman" w:hAnsi="Times New Roman"/>
                <w:b/>
              </w:rPr>
            </w:pPr>
            <w:r>
              <w:rPr>
                <w:rFonts w:ascii="Times New Roman" w:eastAsia="Times New Roman" w:hAnsi="Times New Roman"/>
                <w:b/>
              </w:rPr>
              <w:t>6</w:t>
            </w:r>
          </w:p>
        </w:tc>
        <w:tc>
          <w:tcPr>
            <w:tcW w:w="2880" w:type="dxa"/>
          </w:tcPr>
          <w:p w:rsidR="00AE1B32" w:rsidP="00AE1B32" w14:paraId="13D7231D" w14:textId="77777777">
            <w:pPr>
              <w:autoSpaceDE/>
              <w:autoSpaceDN/>
              <w:spacing w:before="120" w:after="54"/>
              <w:jc w:val="center"/>
              <w:rPr>
                <w:rFonts w:ascii="Times New Roman" w:eastAsia="Times New Roman" w:hAnsi="Times New Roman"/>
                <w:b/>
              </w:rPr>
            </w:pPr>
            <w:r>
              <w:rPr>
                <w:rFonts w:ascii="Times New Roman" w:eastAsia="Times New Roman" w:hAnsi="Times New Roman"/>
                <w:b/>
              </w:rPr>
              <w:t>WIRELESS TELE-COMMUNICATIONS</w:t>
            </w:r>
          </w:p>
          <w:p w:rsidR="00AE1B32" w:rsidP="00AE1B32" w14:paraId="3F6AD8E4" w14:textId="77777777">
            <w:pPr>
              <w:autoSpaceDE/>
              <w:autoSpaceDN/>
              <w:spacing w:before="120" w:after="54"/>
              <w:jc w:val="center"/>
              <w:rPr>
                <w:rFonts w:ascii="Times New Roman" w:eastAsia="Times New Roman" w:hAnsi="Times New Roman"/>
                <w:b/>
              </w:rPr>
            </w:pPr>
            <w:r>
              <w:rPr>
                <w:rFonts w:ascii="Times New Roman" w:eastAsia="Times New Roman" w:hAnsi="Times New Roman"/>
                <w:b/>
              </w:rPr>
              <w:t>AND</w:t>
            </w:r>
          </w:p>
          <w:p w:rsidR="00AE1B32" w:rsidP="00AE1B32" w14:paraId="29BDAD0D" w14:textId="77777777">
            <w:pPr>
              <w:autoSpaceDE/>
              <w:autoSpaceDN/>
              <w:spacing w:before="120" w:after="54"/>
              <w:jc w:val="center"/>
              <w:rPr>
                <w:rFonts w:ascii="Times New Roman" w:eastAsia="Times New Roman" w:hAnsi="Times New Roman"/>
                <w:b/>
              </w:rPr>
            </w:pPr>
            <w:r>
              <w:rPr>
                <w:rFonts w:ascii="Times New Roman" w:eastAsia="Times New Roman" w:hAnsi="Times New Roman"/>
                <w:b/>
              </w:rPr>
              <w:t>OFFICE OF GENERAL COUNSEL</w:t>
            </w:r>
          </w:p>
          <w:p w:rsidR="00BD552B" w:rsidP="00AE1B32" w14:paraId="057009E4" w14:textId="2A4B6710">
            <w:pPr>
              <w:autoSpaceDE/>
              <w:autoSpaceDN/>
              <w:spacing w:before="120" w:after="54"/>
              <w:jc w:val="center"/>
              <w:rPr>
                <w:rFonts w:ascii="Times New Roman" w:eastAsia="Times New Roman" w:hAnsi="Times New Roman"/>
                <w:b/>
              </w:rPr>
            </w:pPr>
          </w:p>
        </w:tc>
        <w:tc>
          <w:tcPr>
            <w:tcW w:w="5220" w:type="dxa"/>
          </w:tcPr>
          <w:p w:rsidR="00AE1B32" w:rsidP="00AE1B32" w14:paraId="492EA94D" w14:textId="77777777">
            <w:pPr>
              <w:autoSpaceDE/>
              <w:spacing w:before="12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E72C1">
              <w:rPr>
                <w:rFonts w:ascii="Times New Roman" w:eastAsia="Times New Roman" w:hAnsi="Times New Roman"/>
                <w:bCs/>
              </w:rPr>
              <w:t xml:space="preserve"> </w:t>
            </w:r>
            <w:r w:rsidRPr="00D400DA">
              <w:rPr>
                <w:rFonts w:ascii="Times New Roman" w:eastAsia="Times New Roman" w:hAnsi="Times New Roman"/>
                <w:bCs/>
              </w:rPr>
              <w:t>Licensing Matter</w:t>
            </w:r>
          </w:p>
          <w:p w:rsidR="00AE1B32" w:rsidRPr="00687E7A" w:rsidP="00AE1B32" w14:paraId="236450DD" w14:textId="1E21DDDF">
            <w:pPr>
              <w:autoSpaceDE/>
              <w:spacing w:before="120" w:after="54"/>
              <w:rPr>
                <w:rFonts w:ascii="Times New Roman" w:eastAsia="Times New Roman" w:hAnsi="Times New Roman"/>
              </w:rPr>
            </w:pPr>
            <w:r>
              <w:rPr>
                <w:rFonts w:ascii="Times New Roman" w:eastAsia="Times New Roman" w:hAnsi="Times New Roman"/>
                <w:b/>
              </w:rPr>
              <w:t xml:space="preserve">SUMMARY:  </w:t>
            </w:r>
            <w:r w:rsidRPr="001F0B41">
              <w:rPr>
                <w:rFonts w:ascii="Times New Roman" w:eastAsia="Times New Roman" w:hAnsi="Times New Roman"/>
                <w:bCs/>
              </w:rPr>
              <w:t xml:space="preserve">The Commission will consider </w:t>
            </w:r>
            <w:r w:rsidRPr="00D400DA">
              <w:rPr>
                <w:rFonts w:ascii="Times New Roman" w:eastAsia="Times New Roman" w:hAnsi="Times New Roman"/>
                <w:bCs/>
              </w:rPr>
              <w:t>a licensing matter</w:t>
            </w:r>
            <w:r w:rsidRPr="008E72C1">
              <w:rPr>
                <w:rFonts w:ascii="Times New Roman" w:eastAsia="Times New Roman" w:hAnsi="Times New Roman"/>
                <w:bCs/>
              </w:rPr>
              <w:t>.</w:t>
            </w:r>
            <w:r w:rsidRPr="007D72B4">
              <w:rPr>
                <w:rFonts w:ascii="Times New Roman" w:eastAsia="Times New Roman" w:hAnsi="Times New Roman"/>
              </w:rPr>
              <w:t xml:space="preserve"> </w:t>
            </w:r>
          </w:p>
        </w:tc>
      </w:tr>
      <w:tr w14:paraId="6142BF59" w14:textId="77777777" w:rsidTr="006D7153">
        <w:tblPrEx>
          <w:tblW w:w="9540" w:type="dxa"/>
          <w:tblLayout w:type="fixed"/>
          <w:tblCellMar>
            <w:left w:w="120" w:type="dxa"/>
            <w:right w:w="120" w:type="dxa"/>
          </w:tblCellMar>
          <w:tblLook w:val="0000"/>
        </w:tblPrEx>
        <w:tc>
          <w:tcPr>
            <w:tcW w:w="1440" w:type="dxa"/>
          </w:tcPr>
          <w:p w:rsidR="00AE1B32" w:rsidP="00AE1B32" w14:paraId="46A3E367" w14:textId="58B3ABBF">
            <w:pPr>
              <w:spacing w:before="120" w:after="54"/>
              <w:jc w:val="center"/>
              <w:rPr>
                <w:rFonts w:ascii="Times New Roman" w:eastAsia="Times New Roman" w:hAnsi="Times New Roman"/>
                <w:b/>
              </w:rPr>
            </w:pPr>
            <w:r>
              <w:rPr>
                <w:rFonts w:ascii="Times New Roman" w:eastAsia="Times New Roman" w:hAnsi="Times New Roman"/>
                <w:b/>
              </w:rPr>
              <w:t>7</w:t>
            </w:r>
          </w:p>
        </w:tc>
        <w:tc>
          <w:tcPr>
            <w:tcW w:w="2880" w:type="dxa"/>
          </w:tcPr>
          <w:p w:rsidR="00AE1B32" w:rsidP="00AE1B32" w14:paraId="1857BFCF" w14:textId="585648C1">
            <w:pPr>
              <w:autoSpaceDE/>
              <w:autoSpaceDN/>
              <w:spacing w:before="120" w:after="54"/>
              <w:jc w:val="center"/>
              <w:rPr>
                <w:rFonts w:ascii="Times New Roman" w:eastAsia="Times New Roman" w:hAnsi="Times New Roman"/>
                <w:b/>
              </w:rPr>
            </w:pPr>
            <w:r>
              <w:rPr>
                <w:rFonts w:ascii="Times New Roman" w:eastAsia="Times New Roman" w:hAnsi="Times New Roman"/>
                <w:b/>
              </w:rPr>
              <w:t>ENFORCEMENT</w:t>
            </w:r>
          </w:p>
        </w:tc>
        <w:tc>
          <w:tcPr>
            <w:tcW w:w="5220" w:type="dxa"/>
          </w:tcPr>
          <w:p w:rsidR="00AE1B32" w:rsidP="00AE1B32" w14:paraId="0131FCDE" w14:textId="77777777">
            <w:pPr>
              <w:autoSpaceDE/>
              <w:spacing w:before="120" w:after="54"/>
              <w:rPr>
                <w:rFonts w:ascii="Times New Roman" w:eastAsia="Times New Roman" w:hAnsi="Times New Roman"/>
              </w:rPr>
            </w:pPr>
            <w:r>
              <w:rPr>
                <w:rFonts w:ascii="Times New Roman" w:eastAsia="Times New Roman" w:hAnsi="Times New Roman"/>
                <w:b/>
              </w:rPr>
              <w:t>TITLE:</w:t>
            </w:r>
            <w:r>
              <w:rPr>
                <w:rFonts w:ascii="Times New Roman" w:eastAsia="Times New Roman" w:hAnsi="Times New Roman"/>
              </w:rPr>
              <w:t xml:space="preserve"> </w:t>
            </w:r>
            <w:r w:rsidRPr="008E72C1">
              <w:rPr>
                <w:rFonts w:ascii="Times New Roman" w:eastAsia="Times New Roman" w:hAnsi="Times New Roman"/>
                <w:bCs/>
              </w:rPr>
              <w:t xml:space="preserve"> </w:t>
            </w:r>
            <w:r w:rsidRPr="001F0B41">
              <w:rPr>
                <w:rFonts w:ascii="Times New Roman" w:eastAsia="Times New Roman" w:hAnsi="Times New Roman"/>
                <w:bCs/>
              </w:rPr>
              <w:t>Enforcement Bureau Action</w:t>
            </w:r>
          </w:p>
          <w:p w:rsidR="00AE1B32" w:rsidP="00AE1B32" w14:paraId="7966366C" w14:textId="75BE8193">
            <w:pPr>
              <w:autoSpaceDE/>
              <w:spacing w:before="120" w:after="54"/>
              <w:rPr>
                <w:rFonts w:ascii="Times New Roman" w:eastAsia="Times New Roman" w:hAnsi="Times New Roman"/>
                <w:b/>
              </w:rPr>
            </w:pPr>
            <w:r>
              <w:rPr>
                <w:rFonts w:ascii="Times New Roman" w:eastAsia="Times New Roman" w:hAnsi="Times New Roman"/>
                <w:b/>
              </w:rPr>
              <w:t xml:space="preserve">SUMMARY:  </w:t>
            </w:r>
            <w:r w:rsidRPr="001F0B41">
              <w:rPr>
                <w:rFonts w:ascii="Times New Roman" w:eastAsia="Times New Roman" w:hAnsi="Times New Roman"/>
                <w:bCs/>
              </w:rPr>
              <w:t>The Commission will consider an enforcement action</w:t>
            </w:r>
            <w:r w:rsidRPr="008E72C1">
              <w:rPr>
                <w:rFonts w:ascii="Times New Roman" w:eastAsia="Times New Roman" w:hAnsi="Times New Roman"/>
                <w:bCs/>
              </w:rPr>
              <w:t>.</w:t>
            </w:r>
            <w:r w:rsidRPr="007D72B4">
              <w:rPr>
                <w:rFonts w:ascii="Times New Roman" w:eastAsia="Times New Roman" w:hAnsi="Times New Roman"/>
              </w:rPr>
              <w:t xml:space="preserve"> </w:t>
            </w:r>
          </w:p>
        </w:tc>
      </w:tr>
    </w:tbl>
    <w:p w:rsidR="003B67BE" w14:paraId="3BE173CA" w14:textId="77777777">
      <w:pPr>
        <w:spacing w:line="270" w:lineRule="exact"/>
        <w:rPr>
          <w:rFonts w:ascii="Times New Roman" w:eastAsia="Times New Roman" w:hAnsi="Times New Roman"/>
        </w:rPr>
      </w:pPr>
    </w:p>
    <w:p w:rsidR="007A53F3" w14:paraId="388E21DB" w14:textId="49F44AAC">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4E794E" w:rsidR="00E6543B">
          <w:rPr>
            <w:rStyle w:val="Hyperlink"/>
            <w:rFonts w:ascii="Times New Roman" w:eastAsia="Times New Roman" w:hAnsi="Times New Roman"/>
            <w:sz w:val="24"/>
            <w:szCs w:val="24"/>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E32A88" w14:paraId="47DFC905" w14:textId="5ABE9CCE">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1020640408" name="Picture 3"/>
                                <wp:cNvGraphicFramePr/>
                                <a:graphic xmlns:a="http://schemas.openxmlformats.org/drawingml/2006/main">
                                  <a:graphicData uri="http://schemas.openxmlformats.org/drawingml/2006/picture">
                                    <pic:pic xmlns:pic="http://schemas.openxmlformats.org/drawingml/2006/picture">
                                      <pic:nvPicPr>
                                        <pic:cNvPr id="936655123"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118AB57F">
    <w:pPr>
      <w:tabs>
        <w:tab w:val="left" w:pos="-720"/>
        <w:tab w:val="left" w:pos="4140"/>
      </w:tabs>
      <w:spacing w:line="240" w:lineRule="atLeast"/>
      <w:rPr>
        <w:rFonts w:ascii="Times New Roman" w:eastAsia="Times New Roman" w:hAnsi="Times New Roman"/>
      </w:rPr>
    </w:pPr>
    <w:r w:rsidRPr="00FD2CB7">
      <w:rPr>
        <w:rFonts w:ascii="Times New Roman" w:eastAsia="Times New Roman" w:hAnsi="Times New Roman"/>
        <w:b/>
        <w:sz w:val="19"/>
        <w:szCs w:val="19"/>
      </w:rPr>
      <w:t>45 L Street NE</w:t>
    </w:r>
    <w:r w:rsidR="004D6286">
      <w:rPr>
        <w:rFonts w:ascii="Times New Roman" w:eastAsia="Times New Roman" w:hAnsi="Times New Roman"/>
      </w:rPr>
      <w:tab/>
    </w:r>
    <w:r w:rsidR="004D6286">
      <w:rPr>
        <w:rFonts w:ascii="Times New Roman" w:eastAsia="Times New Roman" w:hAnsi="Times New Roman"/>
        <w:b/>
        <w:sz w:val="19"/>
        <w:szCs w:val="19"/>
      </w:rPr>
      <w:t>Internet:</w:t>
    </w:r>
    <w:r w:rsidR="004D6286">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1" w:insDel="0" w:markup="1"/>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49EB"/>
    <w:rsid w:val="00025A86"/>
    <w:rsid w:val="00030C67"/>
    <w:rsid w:val="000471FB"/>
    <w:rsid w:val="0008158B"/>
    <w:rsid w:val="000A2F7E"/>
    <w:rsid w:val="000B7C80"/>
    <w:rsid w:val="000D0705"/>
    <w:rsid w:val="000E30B3"/>
    <w:rsid w:val="00101AE5"/>
    <w:rsid w:val="001056A0"/>
    <w:rsid w:val="00127EEC"/>
    <w:rsid w:val="001360ED"/>
    <w:rsid w:val="00162FC6"/>
    <w:rsid w:val="00163CC0"/>
    <w:rsid w:val="001D0F91"/>
    <w:rsid w:val="001E6333"/>
    <w:rsid w:val="001F0B41"/>
    <w:rsid w:val="002368E4"/>
    <w:rsid w:val="0023701E"/>
    <w:rsid w:val="002564ED"/>
    <w:rsid w:val="00267A58"/>
    <w:rsid w:val="00285DE3"/>
    <w:rsid w:val="002B7A62"/>
    <w:rsid w:val="002C1E32"/>
    <w:rsid w:val="002E0A08"/>
    <w:rsid w:val="002E4C5E"/>
    <w:rsid w:val="002F131F"/>
    <w:rsid w:val="00305464"/>
    <w:rsid w:val="003312DF"/>
    <w:rsid w:val="00392137"/>
    <w:rsid w:val="003B2CCB"/>
    <w:rsid w:val="003B67BE"/>
    <w:rsid w:val="003C01EA"/>
    <w:rsid w:val="003D2DA9"/>
    <w:rsid w:val="003F1249"/>
    <w:rsid w:val="00416A45"/>
    <w:rsid w:val="00436FDF"/>
    <w:rsid w:val="00451858"/>
    <w:rsid w:val="00482671"/>
    <w:rsid w:val="004A5336"/>
    <w:rsid w:val="004D6286"/>
    <w:rsid w:val="004E1B84"/>
    <w:rsid w:val="004E22F1"/>
    <w:rsid w:val="004E41D6"/>
    <w:rsid w:val="004E794E"/>
    <w:rsid w:val="004F353A"/>
    <w:rsid w:val="0050369C"/>
    <w:rsid w:val="00503E86"/>
    <w:rsid w:val="00504DFA"/>
    <w:rsid w:val="00514CB4"/>
    <w:rsid w:val="005207DD"/>
    <w:rsid w:val="005550E8"/>
    <w:rsid w:val="00555E22"/>
    <w:rsid w:val="00561304"/>
    <w:rsid w:val="00561F11"/>
    <w:rsid w:val="0056557D"/>
    <w:rsid w:val="005A07BD"/>
    <w:rsid w:val="005A6895"/>
    <w:rsid w:val="005C6944"/>
    <w:rsid w:val="005D39D2"/>
    <w:rsid w:val="005F4DB7"/>
    <w:rsid w:val="006210F5"/>
    <w:rsid w:val="0064308B"/>
    <w:rsid w:val="00647F38"/>
    <w:rsid w:val="00653094"/>
    <w:rsid w:val="00661AFE"/>
    <w:rsid w:val="00682084"/>
    <w:rsid w:val="00683FDC"/>
    <w:rsid w:val="00687E7A"/>
    <w:rsid w:val="006B7089"/>
    <w:rsid w:val="006E1BFC"/>
    <w:rsid w:val="006F17FC"/>
    <w:rsid w:val="00716DF9"/>
    <w:rsid w:val="007447CA"/>
    <w:rsid w:val="00753E9C"/>
    <w:rsid w:val="0076006B"/>
    <w:rsid w:val="0078424E"/>
    <w:rsid w:val="00795789"/>
    <w:rsid w:val="007A53F3"/>
    <w:rsid w:val="007B31F5"/>
    <w:rsid w:val="007D72B4"/>
    <w:rsid w:val="007E1025"/>
    <w:rsid w:val="0080677E"/>
    <w:rsid w:val="008177AE"/>
    <w:rsid w:val="00822C4D"/>
    <w:rsid w:val="00857DA1"/>
    <w:rsid w:val="0086368D"/>
    <w:rsid w:val="008842CB"/>
    <w:rsid w:val="00884921"/>
    <w:rsid w:val="0089442B"/>
    <w:rsid w:val="008A1076"/>
    <w:rsid w:val="008E72C1"/>
    <w:rsid w:val="008F33DA"/>
    <w:rsid w:val="008F49E6"/>
    <w:rsid w:val="00911E6F"/>
    <w:rsid w:val="00923649"/>
    <w:rsid w:val="00924981"/>
    <w:rsid w:val="00947CB2"/>
    <w:rsid w:val="00961AAB"/>
    <w:rsid w:val="00993B17"/>
    <w:rsid w:val="009A010D"/>
    <w:rsid w:val="009C2528"/>
    <w:rsid w:val="00A31569"/>
    <w:rsid w:val="00A8062C"/>
    <w:rsid w:val="00A85E47"/>
    <w:rsid w:val="00AA1B88"/>
    <w:rsid w:val="00AA5389"/>
    <w:rsid w:val="00AB2135"/>
    <w:rsid w:val="00AB21C7"/>
    <w:rsid w:val="00AD63C6"/>
    <w:rsid w:val="00AE0F6A"/>
    <w:rsid w:val="00AE1B32"/>
    <w:rsid w:val="00AE3708"/>
    <w:rsid w:val="00AE3C25"/>
    <w:rsid w:val="00AF5AAF"/>
    <w:rsid w:val="00B05A5F"/>
    <w:rsid w:val="00B52248"/>
    <w:rsid w:val="00B604C5"/>
    <w:rsid w:val="00B73589"/>
    <w:rsid w:val="00B852D0"/>
    <w:rsid w:val="00BA2393"/>
    <w:rsid w:val="00BB2F44"/>
    <w:rsid w:val="00BD552B"/>
    <w:rsid w:val="00BE72E2"/>
    <w:rsid w:val="00BF57FD"/>
    <w:rsid w:val="00C23CD0"/>
    <w:rsid w:val="00C80F79"/>
    <w:rsid w:val="00C9091A"/>
    <w:rsid w:val="00C9155B"/>
    <w:rsid w:val="00CA1732"/>
    <w:rsid w:val="00CB7C22"/>
    <w:rsid w:val="00CC5984"/>
    <w:rsid w:val="00CC65A4"/>
    <w:rsid w:val="00D040F6"/>
    <w:rsid w:val="00D22561"/>
    <w:rsid w:val="00D22D77"/>
    <w:rsid w:val="00D400DA"/>
    <w:rsid w:val="00D70433"/>
    <w:rsid w:val="00D80DB5"/>
    <w:rsid w:val="00D87186"/>
    <w:rsid w:val="00DD03FB"/>
    <w:rsid w:val="00DF7D95"/>
    <w:rsid w:val="00E0006B"/>
    <w:rsid w:val="00E32A88"/>
    <w:rsid w:val="00E6543B"/>
    <w:rsid w:val="00E83470"/>
    <w:rsid w:val="00E91B77"/>
    <w:rsid w:val="00ED220C"/>
    <w:rsid w:val="00F0594B"/>
    <w:rsid w:val="00F213A5"/>
    <w:rsid w:val="00F45BCD"/>
    <w:rsid w:val="00FA358A"/>
    <w:rsid w:val="00FA6621"/>
    <w:rsid w:val="00FC03A7"/>
    <w:rsid w:val="00FC7D65"/>
    <w:rsid w:val="00FD05D0"/>
    <w:rsid w:val="00FD2CB7"/>
    <w:rsid w:val="00FE206F"/>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A"/>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