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0228B" w14:paraId="05EA6FED" w14:textId="77777777">
      <w:pPr>
        <w:jc w:val="center"/>
        <w:rPr>
          <w:b/>
        </w:rPr>
      </w:pPr>
      <w:bookmarkStart w:id="0" w:name="_GoBack"/>
      <w:bookmarkEnd w:id="0"/>
      <w:r>
        <w:rPr>
          <w:b/>
        </w:rPr>
        <w:t>Before the</w:t>
      </w:r>
    </w:p>
    <w:p w:rsidR="0060228B" w14:paraId="0DD48BA0" w14:textId="77777777">
      <w:pPr>
        <w:jc w:val="center"/>
        <w:rPr>
          <w:b/>
        </w:rPr>
      </w:pPr>
      <w:r>
        <w:rPr>
          <w:b/>
        </w:rPr>
        <w:t>Federal Communications Commission</w:t>
      </w:r>
    </w:p>
    <w:p w:rsidR="0060228B" w14:paraId="2DFD3944" w14:textId="77777777">
      <w:pPr>
        <w:jc w:val="center"/>
        <w:rPr>
          <w:b/>
        </w:rPr>
      </w:pPr>
      <w:r>
        <w:rPr>
          <w:b/>
        </w:rPr>
        <w:t>Washington, D.C. 20554</w:t>
      </w:r>
    </w:p>
    <w:p w:rsidR="0060228B" w14:paraId="668AABC2" w14:textId="77777777"/>
    <w:p w:rsidR="0060228B" w14:paraId="70EC2B4F" w14:textId="77777777"/>
    <w:tbl>
      <w:tblPr>
        <w:tblW w:w="0" w:type="auto"/>
        <w:tblLayout w:type="fixed"/>
        <w:tblLook w:val="0000"/>
      </w:tblPr>
      <w:tblGrid>
        <w:gridCol w:w="4698"/>
        <w:gridCol w:w="720"/>
        <w:gridCol w:w="4230"/>
      </w:tblGrid>
      <w:tr w14:paraId="1EBF1ED2" w14:textId="77777777">
        <w:tblPrEx>
          <w:tblW w:w="0" w:type="auto"/>
          <w:tblLayout w:type="fixed"/>
          <w:tblLook w:val="0000"/>
        </w:tblPrEx>
        <w:tc>
          <w:tcPr>
            <w:tcW w:w="4698" w:type="dxa"/>
          </w:tcPr>
          <w:p w:rsidR="0060228B" w14:paraId="2F465CE0" w14:textId="77777777">
            <w:pPr>
              <w:ind w:right="-18"/>
            </w:pPr>
            <w:r>
              <w:t xml:space="preserve">In the </w:t>
            </w:r>
            <w:r w:rsidR="002A29D2">
              <w:t>M</w:t>
            </w:r>
            <w:r>
              <w:t>atter of</w:t>
            </w:r>
          </w:p>
          <w:p w:rsidR="0060228B" w14:paraId="3965DBDC" w14:textId="77777777">
            <w:pPr>
              <w:ind w:right="-18"/>
            </w:pPr>
          </w:p>
          <w:p w:rsidR="0060228B" w:rsidRPr="00A81F5E" w14:paraId="13B062A3" w14:textId="33CBD914">
            <w:pPr>
              <w:ind w:right="-18"/>
              <w:rPr>
                <w:spacing w:val="-2"/>
              </w:rPr>
            </w:pPr>
            <w:r>
              <w:rPr>
                <w:spacing w:val="-2"/>
              </w:rPr>
              <w:t>Call Authentication Trust Anchor</w:t>
            </w:r>
          </w:p>
        </w:tc>
        <w:tc>
          <w:tcPr>
            <w:tcW w:w="720" w:type="dxa"/>
          </w:tcPr>
          <w:p w:rsidR="0060228B" w14:paraId="70C4C747" w14:textId="77777777">
            <w:pPr>
              <w:rPr>
                <w:b/>
              </w:rPr>
            </w:pPr>
            <w:r>
              <w:rPr>
                <w:b/>
              </w:rPr>
              <w:t>)</w:t>
            </w:r>
          </w:p>
          <w:p w:rsidR="0060228B" w14:paraId="481DD43F" w14:textId="77777777">
            <w:pPr>
              <w:rPr>
                <w:b/>
              </w:rPr>
            </w:pPr>
            <w:r>
              <w:rPr>
                <w:b/>
              </w:rPr>
              <w:t>)</w:t>
            </w:r>
          </w:p>
          <w:p w:rsidR="0060228B" w14:paraId="3B644CA1" w14:textId="77777777">
            <w:pPr>
              <w:rPr>
                <w:b/>
              </w:rPr>
            </w:pPr>
            <w:r>
              <w:rPr>
                <w:b/>
              </w:rPr>
              <w:t>)</w:t>
            </w:r>
          </w:p>
          <w:p w:rsidR="0060228B" w14:paraId="11DC8ADE" w14:textId="77777777">
            <w:pPr>
              <w:rPr>
                <w:b/>
              </w:rPr>
            </w:pPr>
            <w:r>
              <w:rPr>
                <w:b/>
              </w:rPr>
              <w:t>)</w:t>
            </w:r>
          </w:p>
          <w:p w:rsidR="0060228B" w14:paraId="54C819F9" w14:textId="77777777">
            <w:pPr>
              <w:rPr>
                <w:b/>
              </w:rPr>
            </w:pPr>
          </w:p>
          <w:p w:rsidR="0060228B" w14:paraId="1B994F8F" w14:textId="77777777">
            <w:pPr>
              <w:rPr>
                <w:b/>
              </w:rPr>
            </w:pPr>
          </w:p>
        </w:tc>
        <w:tc>
          <w:tcPr>
            <w:tcW w:w="4230" w:type="dxa"/>
          </w:tcPr>
          <w:p w:rsidR="0060228B" w:rsidP="00F25801" w14:paraId="638DDC37" w14:textId="77777777">
            <w:pPr>
              <w:rPr>
                <w:b/>
              </w:rPr>
            </w:pPr>
          </w:p>
          <w:p w:rsidR="00A81F5E" w:rsidP="00F25801" w14:paraId="54461DD2" w14:textId="77777777">
            <w:pPr>
              <w:rPr>
                <w:bCs/>
              </w:rPr>
            </w:pPr>
          </w:p>
          <w:p w:rsidR="00A81F5E" w:rsidRPr="00A81F5E" w:rsidP="00F25801" w14:paraId="20F2D416" w14:textId="429055C8">
            <w:pPr>
              <w:rPr>
                <w:bCs/>
              </w:rPr>
            </w:pPr>
            <w:r>
              <w:rPr>
                <w:bCs/>
              </w:rPr>
              <w:t>WC</w:t>
            </w:r>
            <w:r w:rsidRPr="00A81F5E" w:rsidR="00E84949">
              <w:rPr>
                <w:bCs/>
              </w:rPr>
              <w:t xml:space="preserve"> Docket No. </w:t>
            </w:r>
            <w:r>
              <w:rPr>
                <w:bCs/>
              </w:rPr>
              <w:t>17-97</w:t>
            </w:r>
          </w:p>
        </w:tc>
      </w:tr>
    </w:tbl>
    <w:p w:rsidR="0060228B" w14:paraId="250E1510" w14:textId="77777777"/>
    <w:p w:rsidR="0060228B" w:rsidP="002A4E36" w14:paraId="284AD830" w14:textId="3637AD5A">
      <w:pPr>
        <w:spacing w:before="120"/>
        <w:jc w:val="center"/>
        <w:rPr>
          <w:b/>
          <w:spacing w:val="-2"/>
        </w:rPr>
      </w:pPr>
      <w:r>
        <w:rPr>
          <w:b/>
          <w:spacing w:val="-2"/>
        </w:rPr>
        <w:t>ERRATUM</w:t>
      </w:r>
    </w:p>
    <w:p w:rsidR="00E00E22" w14:paraId="5A5466F4" w14:textId="77777777">
      <w:pPr>
        <w:tabs>
          <w:tab w:val="left" w:pos="5760"/>
        </w:tabs>
        <w:rPr>
          <w:b/>
        </w:rPr>
      </w:pPr>
    </w:p>
    <w:p w:rsidR="0060228B" w:rsidP="002A29D2" w14:paraId="72FE7D59" w14:textId="4DDB9BD6">
      <w:pPr>
        <w:jc w:val="right"/>
        <w:rPr>
          <w:b/>
        </w:rPr>
      </w:pPr>
      <w:r>
        <w:rPr>
          <w:b/>
        </w:rPr>
        <w:t xml:space="preserve">Released:  </w:t>
      </w:r>
      <w:r w:rsidR="00042A1C">
        <w:rPr>
          <w:b/>
        </w:rPr>
        <w:t>November 1</w:t>
      </w:r>
      <w:r w:rsidR="00BF1C25">
        <w:rPr>
          <w:b/>
        </w:rPr>
        <w:t>8</w:t>
      </w:r>
      <w:r w:rsidR="0017004D">
        <w:rPr>
          <w:b/>
        </w:rPr>
        <w:t>, 2020</w:t>
      </w:r>
    </w:p>
    <w:p w:rsidR="0060228B" w14:paraId="281BAFF3" w14:textId="77777777">
      <w:pPr>
        <w:tabs>
          <w:tab w:val="left" w:pos="5760"/>
        </w:tabs>
        <w:rPr>
          <w:b/>
        </w:rPr>
      </w:pPr>
    </w:p>
    <w:p w:rsidR="0060228B" w14:paraId="4939D76A" w14:textId="1765FD2F">
      <w:pPr>
        <w:tabs>
          <w:tab w:val="left" w:pos="5760"/>
        </w:tabs>
      </w:pPr>
      <w:r>
        <w:t xml:space="preserve">By </w:t>
      </w:r>
      <w:r w:rsidR="004655CD">
        <w:rPr>
          <w:spacing w:val="-2"/>
        </w:rPr>
        <w:t xml:space="preserve">the </w:t>
      </w:r>
      <w:r w:rsidR="00B43CFE">
        <w:rPr>
          <w:spacing w:val="-2"/>
        </w:rPr>
        <w:t>Chief, Wireline Competition Bureau:</w:t>
      </w:r>
    </w:p>
    <w:p w:rsidR="0060228B" w14:paraId="4B09EB0D" w14:textId="77777777"/>
    <w:p w:rsidR="00B46EC8" w:rsidP="0017004D" w14:paraId="568B40FD" w14:textId="20AA1E06">
      <w:pPr>
        <w:pStyle w:val="ParaNum"/>
        <w:numPr>
          <w:ilvl w:val="0"/>
          <w:numId w:val="0"/>
        </w:numPr>
        <w:ind w:firstLine="720"/>
      </w:pPr>
      <w:r>
        <w:t xml:space="preserve">On </w:t>
      </w:r>
      <w:r w:rsidR="005710DA">
        <w:t>Octo</w:t>
      </w:r>
      <w:r w:rsidR="00B43CFE">
        <w:t xml:space="preserve">ber </w:t>
      </w:r>
      <w:r w:rsidR="005710DA">
        <w:t>1</w:t>
      </w:r>
      <w:r w:rsidR="0082751C">
        <w:t>, 2020</w:t>
      </w:r>
      <w:r>
        <w:t xml:space="preserve">, the Commission released a </w:t>
      </w:r>
      <w:r w:rsidR="00B43CFE">
        <w:t xml:space="preserve">Second </w:t>
      </w:r>
      <w:r>
        <w:t>Report and Order</w:t>
      </w:r>
      <w:r w:rsidR="0082751C">
        <w:t>, FCC 20-</w:t>
      </w:r>
      <w:r w:rsidR="00CB568F">
        <w:t>136</w:t>
      </w:r>
      <w:r w:rsidR="0082751C">
        <w:t xml:space="preserve">, </w:t>
      </w:r>
      <w:r w:rsidR="007818D6">
        <w:t xml:space="preserve">in the above-captioned proceeding.  </w:t>
      </w:r>
      <w:r w:rsidRPr="008C3BD0" w:rsidR="007818D6">
        <w:t>To</w:t>
      </w:r>
      <w:r w:rsidR="007818D6">
        <w:t xml:space="preserve"> conform to the publishing conventions of the National Archives and Records Administration’s Office of the Federal Register, this</w:t>
      </w:r>
      <w:r w:rsidR="008C3BD0">
        <w:t xml:space="preserve"> </w:t>
      </w:r>
      <w:r w:rsidR="007818D6">
        <w:t xml:space="preserve">Erratum amends </w:t>
      </w:r>
      <w:r w:rsidR="00E85E41">
        <w:t xml:space="preserve">the Final Rules in </w:t>
      </w:r>
      <w:r w:rsidR="007818D6">
        <w:t>Appendix A</w:t>
      </w:r>
      <w:r w:rsidR="000B55B1">
        <w:t xml:space="preserve"> </w:t>
      </w:r>
      <w:r w:rsidR="007818D6">
        <w:t>of the</w:t>
      </w:r>
      <w:r w:rsidR="0082751C">
        <w:t xml:space="preserve"> </w:t>
      </w:r>
      <w:r w:rsidR="00B2594F">
        <w:rPr>
          <w:iCs/>
        </w:rPr>
        <w:t>Second Report and Order</w:t>
      </w:r>
      <w:r w:rsidR="00451D03">
        <w:t xml:space="preserve"> </w:t>
      </w:r>
      <w:r w:rsidR="007818D6">
        <w:t>as indicated below</w:t>
      </w:r>
      <w:r w:rsidR="00E85E41">
        <w:t>:</w:t>
      </w:r>
      <w:r>
        <w:t xml:space="preserve">  </w:t>
      </w:r>
    </w:p>
    <w:p w:rsidR="007D3C28" w:rsidP="00974C80" w14:paraId="64F05B7E" w14:textId="1DEB8F90">
      <w:pPr>
        <w:pStyle w:val="ParaNum"/>
        <w:tabs>
          <w:tab w:val="num" w:pos="720"/>
          <w:tab w:val="clear" w:pos="1440"/>
        </w:tabs>
        <w:ind w:firstLine="360"/>
      </w:pPr>
      <w:r>
        <w:t xml:space="preserve">The amendatory </w:t>
      </w:r>
      <w:r w:rsidR="00FC2378">
        <w:t xml:space="preserve">language for Section </w:t>
      </w:r>
      <w:r w:rsidR="00FC3129">
        <w:t>64.6300 is corrected to read as follows:</w:t>
      </w:r>
    </w:p>
    <w:p w:rsidR="00FC3129" w:rsidP="009756FF" w14:paraId="70EF571C" w14:textId="6C4C1C4A">
      <w:pPr>
        <w:pStyle w:val="ParaNum"/>
        <w:numPr>
          <w:ilvl w:val="0"/>
          <w:numId w:val="0"/>
        </w:numPr>
        <w:ind w:left="720"/>
      </w:pPr>
      <w:r>
        <w:t xml:space="preserve">“Amend </w:t>
      </w:r>
      <w:r w:rsidR="009E46BB">
        <w:t>section</w:t>
      </w:r>
      <w:r>
        <w:t xml:space="preserve"> 64.6300 by </w:t>
      </w:r>
      <w:r>
        <w:t>redesignating</w:t>
      </w:r>
      <w:r>
        <w:t xml:space="preserve"> paragraphs (e) through (g) as paragraphs (j) through (l) and paragraphs (c) and (d) as paragraphs (f) and (h), respectively, and adding </w:t>
      </w:r>
      <w:r w:rsidR="003F2635">
        <w:t>new paragraphs (c) through (e), (g), and (</w:t>
      </w:r>
      <w:r w:rsidR="003F2635">
        <w:t>i</w:t>
      </w:r>
      <w:r w:rsidR="003F2635">
        <w:t>) to read as follows:”</w:t>
      </w:r>
    </w:p>
    <w:p w:rsidR="005B3D34" w:rsidP="00974C80" w14:paraId="682A6ACA" w14:textId="2D3FBA01">
      <w:pPr>
        <w:pStyle w:val="ParaNum"/>
        <w:tabs>
          <w:tab w:val="num" w:pos="720"/>
          <w:tab w:val="clear" w:pos="1440"/>
        </w:tabs>
        <w:ind w:firstLine="360"/>
      </w:pPr>
      <w:r>
        <w:t xml:space="preserve">Paragraph (d) of Section 64.6300 is corrected </w:t>
      </w:r>
      <w:r w:rsidR="00700795">
        <w:t>by s</w:t>
      </w:r>
      <w:r w:rsidR="00BC2049">
        <w:t>pell</w:t>
      </w:r>
      <w:r w:rsidR="00700795">
        <w:t>ing</w:t>
      </w:r>
      <w:r w:rsidRPr="00154D64" w:rsidR="00BC2049">
        <w:t xml:space="preserve"> out “</w:t>
      </w:r>
      <w:r w:rsidR="00BC2049">
        <w:t>Service Provider Code</w:t>
      </w:r>
      <w:r w:rsidRPr="00154D64" w:rsidR="00BC2049">
        <w:t>”</w:t>
      </w:r>
      <w:r w:rsidR="00481A05">
        <w:t xml:space="preserve"> in the definition of “Governance Authority” </w:t>
      </w:r>
      <w:r w:rsidRPr="00154D64" w:rsidR="00BC2049">
        <w:t>to read as follows:</w:t>
      </w:r>
    </w:p>
    <w:p w:rsidR="007A08E1" w:rsidRPr="007A08E1" w:rsidP="009756FF" w14:paraId="11E33B78" w14:textId="1F8678C0">
      <w:pPr>
        <w:pStyle w:val="ParaNum"/>
        <w:numPr>
          <w:ilvl w:val="0"/>
          <w:numId w:val="0"/>
        </w:numPr>
        <w:ind w:left="720"/>
      </w:pPr>
      <w:r>
        <w:t>“</w:t>
      </w:r>
      <w:r>
        <w:rPr>
          <w:i/>
          <w:iCs/>
        </w:rPr>
        <w:t xml:space="preserve">Governance Authority.  </w:t>
      </w:r>
      <w:r>
        <w:t>The term “Governance Authority” refers to the Secure Telephone Identity Governance Authority, the entity that establishes and governs the policies regarding the issuance, management, and revocation of Service Provider Code (SPC) tokens to intermediate providers and voice service providers.”</w:t>
      </w:r>
    </w:p>
    <w:p w:rsidR="0061321D" w:rsidP="00974C80" w14:paraId="7FBA9127" w14:textId="31BFFCBC">
      <w:pPr>
        <w:pStyle w:val="ParaNum"/>
        <w:tabs>
          <w:tab w:val="num" w:pos="720"/>
          <w:tab w:val="clear" w:pos="1440"/>
        </w:tabs>
        <w:ind w:firstLine="360"/>
      </w:pPr>
      <w:r>
        <w:t>Corrections to Section 64.6304 are as follows:</w:t>
      </w:r>
    </w:p>
    <w:p w:rsidR="004227F8" w:rsidP="009756FF" w14:paraId="79509D95" w14:textId="3A5CCB59">
      <w:pPr>
        <w:pStyle w:val="ParaNum"/>
        <w:numPr>
          <w:ilvl w:val="0"/>
          <w:numId w:val="35"/>
        </w:numPr>
        <w:ind w:left="720"/>
      </w:pPr>
      <w:r>
        <w:t>Paragraph</w:t>
      </w:r>
      <w:r w:rsidR="00ED26E5">
        <w:t xml:space="preserve"> (a)(2) is corrected to read as follows:</w:t>
      </w:r>
    </w:p>
    <w:p w:rsidR="00ED26E5" w:rsidP="009756FF" w14:paraId="6CA242A7" w14:textId="04040106">
      <w:pPr>
        <w:pStyle w:val="ParaNum"/>
        <w:numPr>
          <w:ilvl w:val="0"/>
          <w:numId w:val="0"/>
        </w:numPr>
        <w:ind w:left="720"/>
      </w:pPr>
      <w:r>
        <w:t>“For purposes of this paragraph (a), “small voice service provider” means a provider that has 100,000 or fewer voice service subscriber lines (counting the total of all business and residential fixed subscriber lines and mobile phones and aggregated over all of the provider’s affiliates).”</w:t>
      </w:r>
    </w:p>
    <w:p w:rsidR="00700795" w:rsidP="009756FF" w14:paraId="7E19F6D3" w14:textId="1EF2EDDC">
      <w:pPr>
        <w:pStyle w:val="ParaNum"/>
        <w:numPr>
          <w:ilvl w:val="0"/>
          <w:numId w:val="0"/>
        </w:numPr>
        <w:ind w:left="720"/>
      </w:pPr>
      <w:r>
        <w:t xml:space="preserve">Paragraph (c) </w:t>
      </w:r>
      <w:r w:rsidR="00C46B20">
        <w:t xml:space="preserve">is corrected </w:t>
      </w:r>
      <w:r>
        <w:t xml:space="preserve">by replacing </w:t>
      </w:r>
      <w:r w:rsidR="00C46B20">
        <w:t>“et seq.” with “through 63.100”</w:t>
      </w:r>
      <w:r w:rsidR="002B5915">
        <w:t>.</w:t>
      </w:r>
    </w:p>
    <w:p w:rsidR="00700795" w:rsidP="009756FF" w14:paraId="13DC5803" w14:textId="689BCEF6">
      <w:pPr>
        <w:pStyle w:val="ParaNum"/>
        <w:numPr>
          <w:ilvl w:val="0"/>
          <w:numId w:val="36"/>
        </w:numPr>
        <w:ind w:left="720"/>
      </w:pPr>
      <w:r>
        <w:t xml:space="preserve">Paragraph (e) is corrected </w:t>
      </w:r>
      <w:r>
        <w:t>by a</w:t>
      </w:r>
      <w:r>
        <w:t>dd</w:t>
      </w:r>
      <w:r>
        <w:t>ing</w:t>
      </w:r>
      <w:r w:rsidR="00E84949">
        <w:t xml:space="preserve"> </w:t>
      </w:r>
      <w:r w:rsidR="004F3900">
        <w:t xml:space="preserve">the </w:t>
      </w:r>
      <w:r w:rsidR="00E84949">
        <w:t>section</w:t>
      </w:r>
      <w:r w:rsidRPr="00154D64" w:rsidR="00EA1D97">
        <w:t xml:space="preserve"> heading “</w:t>
      </w:r>
      <w:r w:rsidRPr="00700795">
        <w:rPr>
          <w:i/>
          <w:iCs/>
        </w:rPr>
        <w:t>Provider-specific extensions</w:t>
      </w:r>
      <w:r w:rsidRPr="00154D64" w:rsidR="00B32F20">
        <w:t>.</w:t>
      </w:r>
      <w:r w:rsidRPr="00154D64" w:rsidR="00EA1D97">
        <w:t>”.</w:t>
      </w:r>
    </w:p>
    <w:p w:rsidR="00700795" w:rsidP="009756FF" w14:paraId="056E73A4" w14:textId="3C5F9C7E">
      <w:pPr>
        <w:pStyle w:val="ParaNum"/>
        <w:numPr>
          <w:ilvl w:val="0"/>
          <w:numId w:val="36"/>
        </w:numPr>
        <w:ind w:left="720"/>
      </w:pPr>
      <w:r>
        <w:t>Paragraph (</w:t>
      </w:r>
      <w:r w:rsidR="004F3900">
        <w:t>f) is corrected by adding the section heading “</w:t>
      </w:r>
      <w:r w:rsidR="004F3900">
        <w:rPr>
          <w:i/>
          <w:iCs/>
        </w:rPr>
        <w:t>Annual reevaluation of granted extensions.</w:t>
      </w:r>
      <w:r w:rsidR="004F3900">
        <w:t>”.</w:t>
      </w:r>
    </w:p>
    <w:p w:rsidR="00E33962" w:rsidP="009756FF" w14:paraId="455D92DA" w14:textId="5F2BE855">
      <w:pPr>
        <w:pStyle w:val="ParaNum"/>
        <w:numPr>
          <w:ilvl w:val="0"/>
          <w:numId w:val="36"/>
        </w:numPr>
        <w:ind w:left="720"/>
      </w:pPr>
      <w:r>
        <w:t>Paragraph (a)(2) of Section 64.6305 is corrected to read as follows:</w:t>
      </w:r>
    </w:p>
    <w:p w:rsidR="00E33962" w:rsidP="009756FF" w14:paraId="327CE10B" w14:textId="5BE37501">
      <w:pPr>
        <w:pStyle w:val="ParaNum"/>
        <w:numPr>
          <w:ilvl w:val="0"/>
          <w:numId w:val="0"/>
        </w:numPr>
        <w:ind w:left="720"/>
      </w:pPr>
      <w:r>
        <w:t xml:space="preserve">“Any robocall mitigation program implemented pursuant to paragraph (a)(1) of this section shall include reasonable steps to avoid originating illegal robocall traffic and shall include a commitment to respond fully and in a timely manner to all traceback requests from the Commission, law enforcement, and the industry traceback consortium, and to cooperate with such entities in investigating and stopping any illegal </w:t>
      </w:r>
      <w:r>
        <w:t>robocallers</w:t>
      </w:r>
      <w:r>
        <w:t xml:space="preserve"> that use its service to originate calls.”</w:t>
      </w:r>
    </w:p>
    <w:p w:rsidR="004070C8" w:rsidP="00974C80" w14:paraId="79917A25" w14:textId="3F2FB74C">
      <w:pPr>
        <w:pStyle w:val="ParaNum"/>
        <w:tabs>
          <w:tab w:val="num" w:pos="720"/>
          <w:tab w:val="clear" w:pos="1440"/>
        </w:tabs>
        <w:ind w:firstLine="360"/>
      </w:pPr>
      <w:r>
        <w:t>Paragraph (b)</w:t>
      </w:r>
      <w:r w:rsidR="00FB5B68">
        <w:t>(1)</w:t>
      </w:r>
      <w:r>
        <w:t xml:space="preserve"> of Section 64.6305 is corrected</w:t>
      </w:r>
      <w:r w:rsidR="00F062E4">
        <w:t xml:space="preserve"> to read as follows:</w:t>
      </w:r>
    </w:p>
    <w:p w:rsidR="00013986" w:rsidP="009756FF" w14:paraId="07A62499" w14:textId="74FC6626">
      <w:pPr>
        <w:pStyle w:val="ParaNum"/>
        <w:numPr>
          <w:ilvl w:val="0"/>
          <w:numId w:val="0"/>
        </w:numPr>
        <w:ind w:left="720"/>
      </w:pPr>
      <w:r>
        <w:t>“</w:t>
      </w:r>
      <w:r w:rsidR="00F062E4">
        <w:t xml:space="preserve">Not later than the date established in a document released by the Wireline Competition Bureau establishing the Robocall Mitigation Database and portal (amending this paragraph (b)), a voice service provider, regardless of whether it is subject to an extension granted under </w:t>
      </w:r>
      <w:r w:rsidR="00D770FB">
        <w:t>47 CFR</w:t>
      </w:r>
      <w:r w:rsidR="00F062E4">
        <w:t xml:space="preserve"> 64.6304, shall certify to one of the following:”</w:t>
      </w:r>
    </w:p>
    <w:p w:rsidR="0061321D" w:rsidP="00974C80" w14:paraId="27D30468" w14:textId="621FEE70">
      <w:pPr>
        <w:pStyle w:val="ParaNum"/>
        <w:tabs>
          <w:tab w:val="num" w:pos="720"/>
          <w:tab w:val="clear" w:pos="1440"/>
        </w:tabs>
        <w:ind w:firstLine="360"/>
      </w:pPr>
      <w:r>
        <w:t>Corrections to Section 64.6306 are as follows:</w:t>
      </w:r>
    </w:p>
    <w:p w:rsidR="00013986" w:rsidP="009756FF" w14:paraId="26AB82DF" w14:textId="29DB4F00">
      <w:pPr>
        <w:pStyle w:val="ParaNum"/>
        <w:numPr>
          <w:ilvl w:val="0"/>
          <w:numId w:val="37"/>
        </w:numPr>
        <w:ind w:left="720"/>
      </w:pPr>
      <w:r>
        <w:t>Paragraph (b) is corrected to read as follows:</w:t>
      </w:r>
    </w:p>
    <w:p w:rsidR="00F57883" w:rsidP="009756FF" w14:paraId="1DB78BE1" w14:textId="04D30FA8">
      <w:pPr>
        <w:pStyle w:val="ParaNum"/>
        <w:numPr>
          <w:ilvl w:val="0"/>
          <w:numId w:val="0"/>
        </w:numPr>
        <w:ind w:left="720"/>
      </w:pPr>
      <w:r>
        <w:t xml:space="preserve">“A voice service provider may seek an exemption from the requirement to upgrade its network to allow for the initiation, maintenance, and termination of SIP calls and fully implement the STIR/SHAKEN framework as required by </w:t>
      </w:r>
      <w:r w:rsidR="00D770FB">
        <w:t>47 CFR</w:t>
      </w:r>
      <w:r>
        <w:t xml:space="preserve"> 64.6301 throughout its network by June 30, 2021, and from associated recordkeeping and reporting requirements, by certifying on or before December 1, 2020, that, for those portions of its network that do not allow for the transmission of SIP calls, it:”</w:t>
      </w:r>
    </w:p>
    <w:p w:rsidR="00024413" w:rsidP="009756FF" w14:paraId="04AB3608" w14:textId="0E07EBFD">
      <w:pPr>
        <w:pStyle w:val="ParaNum"/>
        <w:numPr>
          <w:ilvl w:val="0"/>
          <w:numId w:val="38"/>
        </w:numPr>
        <w:ind w:left="720"/>
      </w:pPr>
      <w:r>
        <w:t>Paragraph (c) is corrected by adding the section heading “</w:t>
      </w:r>
      <w:r>
        <w:rPr>
          <w:i/>
          <w:iCs/>
        </w:rPr>
        <w:t>Certification submission procedures.</w:t>
      </w:r>
      <w:r>
        <w:t>”.</w:t>
      </w:r>
    </w:p>
    <w:p w:rsidR="00024413" w:rsidP="009756FF" w14:paraId="51DFEB30" w14:textId="60F501EE">
      <w:pPr>
        <w:pStyle w:val="ParaNum"/>
        <w:numPr>
          <w:ilvl w:val="0"/>
          <w:numId w:val="38"/>
        </w:numPr>
        <w:ind w:left="720"/>
      </w:pPr>
      <w:r>
        <w:t>Paragraph (d) is corrected by adding the section heading “</w:t>
      </w:r>
      <w:r>
        <w:rPr>
          <w:i/>
          <w:iCs/>
        </w:rPr>
        <w:t>Determination timing.</w:t>
      </w:r>
      <w:r>
        <w:t>”.</w:t>
      </w:r>
    </w:p>
    <w:p w:rsidR="00BA51A8" w:rsidP="009756FF" w14:paraId="0973D93F" w14:textId="1BDAE1D8">
      <w:pPr>
        <w:pStyle w:val="ParaNum"/>
        <w:numPr>
          <w:ilvl w:val="0"/>
          <w:numId w:val="38"/>
        </w:numPr>
        <w:ind w:left="720"/>
      </w:pPr>
      <w:r>
        <w:t xml:space="preserve">Paragraph (e) of Section 64.6306 is corrected </w:t>
      </w:r>
      <w:r w:rsidR="001F171C">
        <w:t>to read as follows:</w:t>
      </w:r>
    </w:p>
    <w:p w:rsidR="00472C01" w:rsidRPr="001F171C" w:rsidP="009756FF" w14:paraId="195546DB" w14:textId="1ED2D2FD">
      <w:pPr>
        <w:pStyle w:val="ParaNum"/>
        <w:numPr>
          <w:ilvl w:val="0"/>
          <w:numId w:val="0"/>
        </w:numPr>
        <w:ind w:left="720"/>
      </w:pPr>
      <w:r>
        <w:t>“</w:t>
      </w:r>
      <w:r>
        <w:rPr>
          <w:i/>
          <w:iCs/>
        </w:rPr>
        <w:t xml:space="preserve">Implementation verification.  </w:t>
      </w:r>
      <w:r>
        <w:t xml:space="preserve">All voice service providers granted an exemption under paragraphs (a) and (b) of this section shall file an additional certification consistent with the requirements of paragraph (c) of this section on or before a date specified in a document issued by the Wireline Competition Bureau (amending this paragraph (e)) that attests to whether the voice service provider fully implemented the STIR/SHAKEN authentication framework because it completed all necessary network upgrades to its network infrastructure to enable the authentication and verification of caller identification information for all SIP calls exchanged with STIR/SHAKEN-enabled partners by June 30, 2021.  The Wireline Competition Bureau, after issuing a Public Notice seeking comment on the certifications, will, not later than four months after the deadline for filing of the certifications, issue a Public Notice </w:t>
      </w:r>
      <w:r w:rsidR="00AC2F4F">
        <w:t>identifying which voice service providers achieved complete implementation of the STIR/SHAKEN authentication framework.”</w:t>
      </w:r>
    </w:p>
    <w:p w:rsidR="00472C01" w:rsidP="00974C80" w14:paraId="764A7905" w14:textId="4A4071FA">
      <w:pPr>
        <w:pStyle w:val="ParaNum"/>
        <w:tabs>
          <w:tab w:val="num" w:pos="720"/>
          <w:tab w:val="clear" w:pos="1440"/>
        </w:tabs>
        <w:ind w:firstLine="360"/>
      </w:pPr>
      <w:r>
        <w:t>Paragraph (a) of Section 64.6307 is corrected by replacing “paragraph” with “section”</w:t>
      </w:r>
      <w:r w:rsidR="0061321D">
        <w:t xml:space="preserve"> and p</w:t>
      </w:r>
      <w:r>
        <w:t xml:space="preserve">aragraph </w:t>
      </w:r>
      <w:r w:rsidR="00BB4886">
        <w:t>(b) is corrected to read as follows:</w:t>
      </w:r>
    </w:p>
    <w:p w:rsidR="00490E58" w:rsidP="009756FF" w14:paraId="326B0003" w14:textId="477E6185">
      <w:pPr>
        <w:pStyle w:val="ParaNum"/>
        <w:keepNext/>
        <w:widowControl/>
        <w:numPr>
          <w:ilvl w:val="0"/>
          <w:numId w:val="0"/>
        </w:numPr>
        <w:ind w:left="720"/>
      </w:pPr>
      <w:r>
        <w:t>“For purposes of this section, “small business customer subscribers” means subscribers that are business entities that meet the size standards established in 13 CFR part 121, subpart A.”</w:t>
      </w:r>
    </w:p>
    <w:p w:rsidR="00B07300" w:rsidRPr="002A29D2" w:rsidP="00D01BAB" w14:paraId="722E5057" w14:textId="77777777">
      <w:pPr>
        <w:pStyle w:val="Heading1"/>
        <w:widowControl/>
        <w:numPr>
          <w:ilvl w:val="0"/>
          <w:numId w:val="0"/>
        </w:numPr>
        <w:suppressAutoHyphens w:val="0"/>
        <w:spacing w:before="220" w:after="0"/>
        <w:ind w:left="3600" w:firstLine="720"/>
        <w:rPr>
          <w:rFonts w:ascii="Times New Roman" w:hAnsi="Times New Roman"/>
          <w:b w:val="0"/>
          <w:caps w:val="0"/>
          <w:spacing w:val="-2"/>
        </w:rPr>
      </w:pPr>
      <w:r w:rsidRPr="002A29D2">
        <w:rPr>
          <w:rFonts w:ascii="Times New Roman" w:hAnsi="Times New Roman"/>
          <w:b w:val="0"/>
          <w:caps w:val="0"/>
          <w:spacing w:val="-2"/>
        </w:rPr>
        <w:t>FEDERAL COMMUNICATIONS COMMISSION</w:t>
      </w:r>
    </w:p>
    <w:p w:rsidR="002A29D2" w:rsidP="00D01BAB" w14:paraId="75CD15FC" w14:textId="77777777">
      <w:pPr>
        <w:pStyle w:val="ParaNum"/>
        <w:keepNext/>
        <w:widowControl/>
        <w:numPr>
          <w:ilvl w:val="0"/>
          <w:numId w:val="0"/>
        </w:numPr>
        <w:spacing w:after="0"/>
        <w:rPr>
          <w:noProof/>
        </w:rPr>
      </w:pPr>
    </w:p>
    <w:p w:rsidR="00F57883" w:rsidP="00D01BAB" w14:paraId="14558B0E" w14:textId="77777777">
      <w:pPr>
        <w:pStyle w:val="ParaNum"/>
        <w:keepNext/>
        <w:widowControl/>
        <w:numPr>
          <w:ilvl w:val="0"/>
          <w:numId w:val="0"/>
        </w:numPr>
        <w:spacing w:after="0"/>
      </w:pPr>
    </w:p>
    <w:p w:rsidR="002A29D2" w:rsidP="006F4AC8" w14:paraId="30C45A2D" w14:textId="6CC3B833">
      <w:pPr>
        <w:pStyle w:val="ParaNum"/>
        <w:keepNext/>
        <w:widowControl/>
        <w:numPr>
          <w:ilvl w:val="0"/>
          <w:numId w:val="0"/>
        </w:numPr>
        <w:spacing w:after="0"/>
      </w:pPr>
    </w:p>
    <w:p w:rsidR="0061321D" w:rsidRPr="002A29D2" w:rsidP="00D01BAB" w14:paraId="2B7E711E" w14:textId="77777777">
      <w:pPr>
        <w:pStyle w:val="ParaNum"/>
        <w:keepNext/>
        <w:widowControl/>
        <w:numPr>
          <w:ilvl w:val="0"/>
          <w:numId w:val="0"/>
        </w:numPr>
        <w:spacing w:after="0"/>
      </w:pPr>
    </w:p>
    <w:p w:rsidR="00B2594F" w:rsidP="00D01BAB" w14:paraId="265A878B" w14:textId="2CF1C5A3">
      <w:pPr>
        <w:pStyle w:val="Heading1"/>
        <w:widowControl/>
        <w:numPr>
          <w:ilvl w:val="0"/>
          <w:numId w:val="0"/>
        </w:numPr>
        <w:suppressAutoHyphens w:val="0"/>
        <w:spacing w:after="0"/>
        <w:rPr>
          <w:rFonts w:ascii="Times New Roman" w:hAnsi="Times New Roman"/>
          <w:b w:val="0"/>
          <w:caps w:val="0"/>
          <w:spacing w:val="-2"/>
        </w:rPr>
      </w:pP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Pr>
          <w:rFonts w:ascii="Times New Roman" w:hAnsi="Times New Roman"/>
          <w:b w:val="0"/>
          <w:caps w:val="0"/>
          <w:spacing w:val="-2"/>
        </w:rPr>
        <w:t>Kris Anne Monteith</w:t>
      </w:r>
    </w:p>
    <w:p w:rsidR="00B2594F" w:rsidRPr="00B2594F" w:rsidP="00D01BAB" w14:paraId="6F99BC90" w14:textId="3005381E">
      <w:pPr>
        <w:pStyle w:val="ParaNum"/>
        <w:keepNext/>
        <w:widowControl/>
        <w:numPr>
          <w:ilvl w:val="0"/>
          <w:numId w:val="0"/>
        </w:numPr>
        <w:spacing w:after="0"/>
      </w:pPr>
      <w:r>
        <w:tab/>
      </w:r>
      <w:r>
        <w:tab/>
      </w:r>
      <w:r>
        <w:tab/>
      </w:r>
      <w:r>
        <w:tab/>
      </w:r>
      <w:r>
        <w:tab/>
      </w:r>
      <w:r>
        <w:tab/>
        <w:t>Chief</w:t>
      </w:r>
    </w:p>
    <w:p w:rsidR="002E484C" w:rsidP="00D01BAB" w14:paraId="2FDC4CF4" w14:textId="572CCD10">
      <w:pPr>
        <w:pStyle w:val="ParaNum"/>
        <w:numPr>
          <w:ilvl w:val="0"/>
          <w:numId w:val="0"/>
        </w:numPr>
      </w:pPr>
      <w:r>
        <w:tab/>
      </w:r>
      <w:r>
        <w:tab/>
      </w:r>
      <w:r>
        <w:tab/>
      </w:r>
      <w:r>
        <w:tab/>
      </w:r>
      <w:r>
        <w:tab/>
      </w:r>
      <w:r>
        <w:tab/>
      </w:r>
      <w:r w:rsidR="00B2594F">
        <w:t>Wireline Competition Bureau</w:t>
      </w:r>
      <w:r w:rsidR="00D85C1D">
        <w:t xml:space="preserve"> </w:t>
      </w:r>
    </w:p>
    <w:sectPr w:rsidSect="007B046B">
      <w:headerReference w:type="default" r:id="rId4"/>
      <w:footerReference w:type="default" r:id="rId5"/>
      <w:headerReference w:type="first" r:id="rId6"/>
      <w:pgSz w:w="12240" w:h="15840"/>
      <w:pgMar w:top="1440" w:right="1440" w:bottom="720" w:left="1440"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P="00D01BAB" w14:paraId="0FCE4306" w14:textId="77777777">
    <w:pPr>
      <w:pStyle w:val="Footer"/>
      <w:tabs>
        <w:tab w:val="clear" w:pos="4320"/>
        <w:tab w:val="center" w:pos="4680"/>
        <w:tab w:val="clear" w:pos="8640"/>
        <w:tab w:val="right" w:pos="936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P="002A29D2" w14:paraId="06B06FA1" w14:textId="0BE64410">
    <w:pPr>
      <w:pStyle w:val="Header"/>
    </w:pPr>
    <w:r>
      <w:tab/>
      <w:t>Federal Communications Commission</w:t>
    </w:r>
    <w:r>
      <w:tab/>
    </w:r>
  </w:p>
  <w:p w:rsidR="0060228B" w:rsidP="002A29D2" w14:paraId="39B732E1" w14:textId="77777777">
    <w:pPr>
      <w:pStyle w:val="Header"/>
    </w:pPr>
    <w:r>
      <w:rPr>
        <w:noProof/>
        <w:snapToGrid/>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RPr="002A29D2" w:rsidP="002A29D2" w14:paraId="2294DEED" w14:textId="0FF1B53C">
    <w:pPr>
      <w:pStyle w:val="Header"/>
    </w:pPr>
    <w:r>
      <w:tab/>
    </w:r>
    <w:r w:rsidRPr="002A29D2">
      <w:t>Federal Communications Commission</w:t>
    </w:r>
    <w:r w:rsidRPr="002A29D2">
      <w:tab/>
      <w:t xml:space="preserve"> </w:t>
    </w:r>
  </w:p>
  <w:p w:rsidR="0060228B" w:rsidP="002A29D2" w14:paraId="4438FF71" w14:textId="77777777">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14D7095"/>
    <w:multiLevelType w:val="hybridMultilevel"/>
    <w:tmpl w:val="6308B81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4BC2A6F"/>
    <w:multiLevelType w:val="hybridMultilevel"/>
    <w:tmpl w:val="62B4FAD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75D0369"/>
    <w:multiLevelType w:val="hybridMultilevel"/>
    <w:tmpl w:val="F374458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61A67BD"/>
    <w:multiLevelType w:val="hybridMultilevel"/>
    <w:tmpl w:val="F250AEA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27941925"/>
    <w:multiLevelType w:val="hybridMultilevel"/>
    <w:tmpl w:val="C3B471F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7">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8">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9">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1">
    <w:nsid w:val="3D7C0CC5"/>
    <w:multiLevelType w:val="hybridMultilevel"/>
    <w:tmpl w:val="C820178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5BB4A34"/>
    <w:multiLevelType w:val="hybridMultilevel"/>
    <w:tmpl w:val="F986118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nsid w:val="493D60EC"/>
    <w:multiLevelType w:val="hybridMultilevel"/>
    <w:tmpl w:val="28CA4F7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4F4C5C7D"/>
    <w:multiLevelType w:val="hybridMultilevel"/>
    <w:tmpl w:val="E430812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9">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0">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1">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32">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4">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5">
    <w:nsid w:val="68FC4A6E"/>
    <w:multiLevelType w:val="hybridMultilevel"/>
    <w:tmpl w:val="CEA6688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6">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34"/>
  </w:num>
  <w:num w:numId="2">
    <w:abstractNumId w:val="36"/>
  </w:num>
  <w:num w:numId="3">
    <w:abstractNumId w:val="7"/>
  </w:num>
  <w:num w:numId="4">
    <w:abstractNumId w:val="29"/>
  </w:num>
  <w:num w:numId="5">
    <w:abstractNumId w:val="13"/>
  </w:num>
  <w:num w:numId="6">
    <w:abstractNumId w:val="32"/>
  </w:num>
  <w:num w:numId="7">
    <w:abstractNumId w:val="23"/>
  </w:num>
  <w:num w:numId="8">
    <w:abstractNumId w:val="14"/>
  </w:num>
  <w:num w:numId="9">
    <w:abstractNumId w:val="31"/>
  </w:num>
  <w:num w:numId="10">
    <w:abstractNumId w:val="19"/>
  </w:num>
  <w:num w:numId="11">
    <w:abstractNumId w:val="18"/>
  </w:num>
  <w:num w:numId="12">
    <w:abstractNumId w:val="15"/>
  </w:num>
  <w:num w:numId="13">
    <w:abstractNumId w:val="20"/>
  </w:num>
  <w:num w:numId="14">
    <w:abstractNumId w:val="30"/>
  </w:num>
  <w:num w:numId="15">
    <w:abstractNumId w:val="5"/>
  </w:num>
  <w:num w:numId="16">
    <w:abstractNumId w:val="6"/>
  </w:num>
  <w:num w:numId="17">
    <w:abstractNumId w:val="16"/>
  </w:num>
  <w:num w:numId="18">
    <w:abstractNumId w:val="1"/>
  </w:num>
  <w:num w:numId="19">
    <w:abstractNumId w:val="17"/>
  </w:num>
  <w:num w:numId="20">
    <w:abstractNumId w:val="25"/>
  </w:num>
  <w:num w:numId="21">
    <w:abstractNumId w:val="28"/>
  </w:num>
  <w:num w:numId="22">
    <w:abstractNumId w:val="8"/>
  </w:num>
  <w:num w:numId="23">
    <w:abstractNumId w:val="33"/>
  </w:num>
  <w:num w:numId="24">
    <w:abstractNumId w:val="12"/>
  </w:num>
  <w:num w:numId="25">
    <w:abstractNumId w:val="26"/>
  </w:num>
  <w:num w:numId="26">
    <w:abstractNumId w:val="9"/>
  </w:num>
  <w:num w:numId="27">
    <w:abstractNumId w:val="0"/>
  </w:num>
  <w:num w:numId="28">
    <w:abstractNumId w:val="2"/>
  </w:num>
  <w:num w:numId="29">
    <w:abstractNumId w:val="27"/>
  </w:num>
  <w:num w:numId="30">
    <w:abstractNumId w:val="35"/>
  </w:num>
  <w:num w:numId="31">
    <w:abstractNumId w:val="33"/>
  </w:num>
  <w:num w:numId="32">
    <w:abstractNumId w:val="22"/>
  </w:num>
  <w:num w:numId="33">
    <w:abstractNumId w:val="21"/>
  </w:num>
  <w:num w:numId="34">
    <w:abstractNumId w:val="24"/>
  </w:num>
  <w:num w:numId="35">
    <w:abstractNumId w:val="4"/>
  </w:num>
  <w:num w:numId="36">
    <w:abstractNumId w:val="3"/>
  </w:num>
  <w:num w:numId="37">
    <w:abstractNumId w:val="10"/>
  </w:num>
  <w:num w:numId="38">
    <w:abstractNumId w:val="11"/>
  </w:num>
  <w:num w:numId="39">
    <w:abstractNumId w:val="33"/>
  </w:num>
  <w:num w:numId="40">
    <w:abstractNumId w:val="33"/>
  </w:num>
  <w:num w:numId="41">
    <w:abstractNumId w:val="33"/>
  </w:num>
  <w:num w:numId="42">
    <w:abstractNumId w:val="33"/>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5E"/>
    <w:rsid w:val="00003380"/>
    <w:rsid w:val="000115BE"/>
    <w:rsid w:val="00013986"/>
    <w:rsid w:val="00021E3C"/>
    <w:rsid w:val="00024413"/>
    <w:rsid w:val="00027B45"/>
    <w:rsid w:val="000328E4"/>
    <w:rsid w:val="00042A1C"/>
    <w:rsid w:val="00042A2E"/>
    <w:rsid w:val="00063742"/>
    <w:rsid w:val="00083DE0"/>
    <w:rsid w:val="00094E25"/>
    <w:rsid w:val="000B55B1"/>
    <w:rsid w:val="000C445E"/>
    <w:rsid w:val="000E1045"/>
    <w:rsid w:val="000E358D"/>
    <w:rsid w:val="000F09B5"/>
    <w:rsid w:val="00103891"/>
    <w:rsid w:val="00107FEF"/>
    <w:rsid w:val="00127BAC"/>
    <w:rsid w:val="0013326A"/>
    <w:rsid w:val="0014331E"/>
    <w:rsid w:val="0015072A"/>
    <w:rsid w:val="00154D64"/>
    <w:rsid w:val="001610AE"/>
    <w:rsid w:val="00164325"/>
    <w:rsid w:val="00166C3E"/>
    <w:rsid w:val="0017004D"/>
    <w:rsid w:val="0018726F"/>
    <w:rsid w:val="001913FC"/>
    <w:rsid w:val="001917D0"/>
    <w:rsid w:val="00194AB4"/>
    <w:rsid w:val="001A2AB0"/>
    <w:rsid w:val="001B2922"/>
    <w:rsid w:val="001B5025"/>
    <w:rsid w:val="001C217B"/>
    <w:rsid w:val="001C7FF1"/>
    <w:rsid w:val="001D1426"/>
    <w:rsid w:val="001D1B37"/>
    <w:rsid w:val="001F14A8"/>
    <w:rsid w:val="001F171C"/>
    <w:rsid w:val="001F3FD8"/>
    <w:rsid w:val="002006E4"/>
    <w:rsid w:val="00201DDB"/>
    <w:rsid w:val="002512DB"/>
    <w:rsid w:val="002873E5"/>
    <w:rsid w:val="00296C09"/>
    <w:rsid w:val="002A29D2"/>
    <w:rsid w:val="002A4E36"/>
    <w:rsid w:val="002B5890"/>
    <w:rsid w:val="002B5915"/>
    <w:rsid w:val="002B7FC7"/>
    <w:rsid w:val="002C15B6"/>
    <w:rsid w:val="002E484C"/>
    <w:rsid w:val="002E6A72"/>
    <w:rsid w:val="002E7F8F"/>
    <w:rsid w:val="003030BB"/>
    <w:rsid w:val="00326531"/>
    <w:rsid w:val="00336AF0"/>
    <w:rsid w:val="003704CF"/>
    <w:rsid w:val="003738C8"/>
    <w:rsid w:val="0037456F"/>
    <w:rsid w:val="00380A6E"/>
    <w:rsid w:val="00394ACB"/>
    <w:rsid w:val="003A3C9D"/>
    <w:rsid w:val="003A409C"/>
    <w:rsid w:val="003C5453"/>
    <w:rsid w:val="003D4E77"/>
    <w:rsid w:val="003E2E92"/>
    <w:rsid w:val="003F2635"/>
    <w:rsid w:val="00403239"/>
    <w:rsid w:val="004070C8"/>
    <w:rsid w:val="00410536"/>
    <w:rsid w:val="0041692A"/>
    <w:rsid w:val="004227F8"/>
    <w:rsid w:val="00432A69"/>
    <w:rsid w:val="00451D03"/>
    <w:rsid w:val="00451E99"/>
    <w:rsid w:val="00456E40"/>
    <w:rsid w:val="00460B95"/>
    <w:rsid w:val="004655CD"/>
    <w:rsid w:val="00472C01"/>
    <w:rsid w:val="00481A05"/>
    <w:rsid w:val="00490E58"/>
    <w:rsid w:val="004B6691"/>
    <w:rsid w:val="004B7418"/>
    <w:rsid w:val="004C31A0"/>
    <w:rsid w:val="004C555D"/>
    <w:rsid w:val="004D4F89"/>
    <w:rsid w:val="004E1642"/>
    <w:rsid w:val="004F3900"/>
    <w:rsid w:val="00501FE6"/>
    <w:rsid w:val="0051666E"/>
    <w:rsid w:val="00526688"/>
    <w:rsid w:val="00527966"/>
    <w:rsid w:val="005322C0"/>
    <w:rsid w:val="00542946"/>
    <w:rsid w:val="00542FC0"/>
    <w:rsid w:val="005455F2"/>
    <w:rsid w:val="00552844"/>
    <w:rsid w:val="00564E63"/>
    <w:rsid w:val="005651E1"/>
    <w:rsid w:val="005710DA"/>
    <w:rsid w:val="005A09E4"/>
    <w:rsid w:val="005A437C"/>
    <w:rsid w:val="005A7003"/>
    <w:rsid w:val="005B363B"/>
    <w:rsid w:val="005B3D34"/>
    <w:rsid w:val="005C0270"/>
    <w:rsid w:val="005F2207"/>
    <w:rsid w:val="005F6C3D"/>
    <w:rsid w:val="0060228B"/>
    <w:rsid w:val="0061054F"/>
    <w:rsid w:val="0061321D"/>
    <w:rsid w:val="00641324"/>
    <w:rsid w:val="00670738"/>
    <w:rsid w:val="00670D86"/>
    <w:rsid w:val="006761B3"/>
    <w:rsid w:val="006837D5"/>
    <w:rsid w:val="006A01B0"/>
    <w:rsid w:val="006A5895"/>
    <w:rsid w:val="006B029A"/>
    <w:rsid w:val="006B57C4"/>
    <w:rsid w:val="006C5A6F"/>
    <w:rsid w:val="006D6B9A"/>
    <w:rsid w:val="006D7031"/>
    <w:rsid w:val="006F3382"/>
    <w:rsid w:val="006F4AC8"/>
    <w:rsid w:val="00700795"/>
    <w:rsid w:val="007067E9"/>
    <w:rsid w:val="007304D4"/>
    <w:rsid w:val="00731B06"/>
    <w:rsid w:val="00733F62"/>
    <w:rsid w:val="00737C81"/>
    <w:rsid w:val="00780898"/>
    <w:rsid w:val="00781201"/>
    <w:rsid w:val="007818D6"/>
    <w:rsid w:val="0078625B"/>
    <w:rsid w:val="007A08E1"/>
    <w:rsid w:val="007B046B"/>
    <w:rsid w:val="007B3DCB"/>
    <w:rsid w:val="007B7AD1"/>
    <w:rsid w:val="007C499A"/>
    <w:rsid w:val="007D3C28"/>
    <w:rsid w:val="007E4DFD"/>
    <w:rsid w:val="007E72F9"/>
    <w:rsid w:val="00800238"/>
    <w:rsid w:val="008119DC"/>
    <w:rsid w:val="0082751C"/>
    <w:rsid w:val="008341CC"/>
    <w:rsid w:val="00837A58"/>
    <w:rsid w:val="008512D7"/>
    <w:rsid w:val="0086573E"/>
    <w:rsid w:val="008675E4"/>
    <w:rsid w:val="008706D7"/>
    <w:rsid w:val="00875653"/>
    <w:rsid w:val="008767CF"/>
    <w:rsid w:val="00880AC7"/>
    <w:rsid w:val="00880AFA"/>
    <w:rsid w:val="00891ADC"/>
    <w:rsid w:val="008B3AD7"/>
    <w:rsid w:val="008C3BD0"/>
    <w:rsid w:val="008C65C4"/>
    <w:rsid w:val="008D3797"/>
    <w:rsid w:val="008D4BD4"/>
    <w:rsid w:val="008E4347"/>
    <w:rsid w:val="008E5FBD"/>
    <w:rsid w:val="00921B3C"/>
    <w:rsid w:val="00927F53"/>
    <w:rsid w:val="00962D3C"/>
    <w:rsid w:val="00966A9B"/>
    <w:rsid w:val="00974C80"/>
    <w:rsid w:val="009756FF"/>
    <w:rsid w:val="0098623B"/>
    <w:rsid w:val="009A17D3"/>
    <w:rsid w:val="009C2F3D"/>
    <w:rsid w:val="009E46BB"/>
    <w:rsid w:val="009F5E5C"/>
    <w:rsid w:val="00A205B3"/>
    <w:rsid w:val="00A212F2"/>
    <w:rsid w:val="00A216E3"/>
    <w:rsid w:val="00A22077"/>
    <w:rsid w:val="00A2392C"/>
    <w:rsid w:val="00A23EEB"/>
    <w:rsid w:val="00A737CF"/>
    <w:rsid w:val="00A81F5E"/>
    <w:rsid w:val="00A82423"/>
    <w:rsid w:val="00A924BA"/>
    <w:rsid w:val="00AA0A2F"/>
    <w:rsid w:val="00AA0BE7"/>
    <w:rsid w:val="00AA5E3E"/>
    <w:rsid w:val="00AB19FA"/>
    <w:rsid w:val="00AC2F4F"/>
    <w:rsid w:val="00AC4EB5"/>
    <w:rsid w:val="00B0236C"/>
    <w:rsid w:val="00B06F47"/>
    <w:rsid w:val="00B07300"/>
    <w:rsid w:val="00B101AE"/>
    <w:rsid w:val="00B2594F"/>
    <w:rsid w:val="00B32F20"/>
    <w:rsid w:val="00B34C48"/>
    <w:rsid w:val="00B43CFE"/>
    <w:rsid w:val="00B46EC8"/>
    <w:rsid w:val="00B551F9"/>
    <w:rsid w:val="00B6369D"/>
    <w:rsid w:val="00B6542D"/>
    <w:rsid w:val="00B82AE7"/>
    <w:rsid w:val="00B82EC1"/>
    <w:rsid w:val="00B84024"/>
    <w:rsid w:val="00BA0B86"/>
    <w:rsid w:val="00BA1F88"/>
    <w:rsid w:val="00BA51A8"/>
    <w:rsid w:val="00BA6484"/>
    <w:rsid w:val="00BB43E4"/>
    <w:rsid w:val="00BB4886"/>
    <w:rsid w:val="00BC2049"/>
    <w:rsid w:val="00BD2AF6"/>
    <w:rsid w:val="00BD53F7"/>
    <w:rsid w:val="00BE3ADB"/>
    <w:rsid w:val="00BF0AE6"/>
    <w:rsid w:val="00BF1C25"/>
    <w:rsid w:val="00C01934"/>
    <w:rsid w:val="00C05F7F"/>
    <w:rsid w:val="00C10D34"/>
    <w:rsid w:val="00C10E90"/>
    <w:rsid w:val="00C17C9B"/>
    <w:rsid w:val="00C25176"/>
    <w:rsid w:val="00C25292"/>
    <w:rsid w:val="00C33DD2"/>
    <w:rsid w:val="00C362C4"/>
    <w:rsid w:val="00C379A8"/>
    <w:rsid w:val="00C46B20"/>
    <w:rsid w:val="00C51F95"/>
    <w:rsid w:val="00C6469E"/>
    <w:rsid w:val="00C65184"/>
    <w:rsid w:val="00C764A2"/>
    <w:rsid w:val="00C806E2"/>
    <w:rsid w:val="00CA04B6"/>
    <w:rsid w:val="00CB4409"/>
    <w:rsid w:val="00CB568F"/>
    <w:rsid w:val="00CC5A9B"/>
    <w:rsid w:val="00CC68C1"/>
    <w:rsid w:val="00CD14FE"/>
    <w:rsid w:val="00CD6C71"/>
    <w:rsid w:val="00CD767E"/>
    <w:rsid w:val="00CD78AF"/>
    <w:rsid w:val="00CF0C9F"/>
    <w:rsid w:val="00D01BAB"/>
    <w:rsid w:val="00D02EDD"/>
    <w:rsid w:val="00D05731"/>
    <w:rsid w:val="00D17052"/>
    <w:rsid w:val="00D24CE7"/>
    <w:rsid w:val="00D24EBF"/>
    <w:rsid w:val="00D4648E"/>
    <w:rsid w:val="00D5427E"/>
    <w:rsid w:val="00D672CF"/>
    <w:rsid w:val="00D727FF"/>
    <w:rsid w:val="00D770FB"/>
    <w:rsid w:val="00D82402"/>
    <w:rsid w:val="00D85C1D"/>
    <w:rsid w:val="00D90D31"/>
    <w:rsid w:val="00D91F86"/>
    <w:rsid w:val="00D9403E"/>
    <w:rsid w:val="00DA5691"/>
    <w:rsid w:val="00DB2E18"/>
    <w:rsid w:val="00DB79AE"/>
    <w:rsid w:val="00DC1443"/>
    <w:rsid w:val="00DD69EF"/>
    <w:rsid w:val="00DD6DDC"/>
    <w:rsid w:val="00E00E22"/>
    <w:rsid w:val="00E05204"/>
    <w:rsid w:val="00E066AC"/>
    <w:rsid w:val="00E10A71"/>
    <w:rsid w:val="00E31F52"/>
    <w:rsid w:val="00E33962"/>
    <w:rsid w:val="00E60467"/>
    <w:rsid w:val="00E63B9C"/>
    <w:rsid w:val="00E65FC7"/>
    <w:rsid w:val="00E66362"/>
    <w:rsid w:val="00E72442"/>
    <w:rsid w:val="00E77939"/>
    <w:rsid w:val="00E84949"/>
    <w:rsid w:val="00E85E41"/>
    <w:rsid w:val="00EA1D97"/>
    <w:rsid w:val="00EA51C0"/>
    <w:rsid w:val="00EB1A95"/>
    <w:rsid w:val="00EB3FDF"/>
    <w:rsid w:val="00EC22F2"/>
    <w:rsid w:val="00ED26E5"/>
    <w:rsid w:val="00ED2EA8"/>
    <w:rsid w:val="00EF0C13"/>
    <w:rsid w:val="00EF6AEF"/>
    <w:rsid w:val="00F062E4"/>
    <w:rsid w:val="00F14416"/>
    <w:rsid w:val="00F2237A"/>
    <w:rsid w:val="00F25801"/>
    <w:rsid w:val="00F2646A"/>
    <w:rsid w:val="00F334F1"/>
    <w:rsid w:val="00F36E86"/>
    <w:rsid w:val="00F5277C"/>
    <w:rsid w:val="00F57883"/>
    <w:rsid w:val="00F82C0E"/>
    <w:rsid w:val="00F9297C"/>
    <w:rsid w:val="00F9388D"/>
    <w:rsid w:val="00F95A73"/>
    <w:rsid w:val="00FA3275"/>
    <w:rsid w:val="00FB0F5B"/>
    <w:rsid w:val="00FB5B68"/>
    <w:rsid w:val="00FC2378"/>
    <w:rsid w:val="00FC3129"/>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FE6"/>
    <w:pPr>
      <w:widowControl w:val="0"/>
    </w:pPr>
    <w:rPr>
      <w:snapToGrid w:val="0"/>
      <w:kern w:val="28"/>
      <w:sz w:val="22"/>
    </w:rPr>
  </w:style>
  <w:style w:type="paragraph" w:styleId="Heading1">
    <w:name w:val="heading 1"/>
    <w:basedOn w:val="Normal"/>
    <w:next w:val="ParaNum"/>
    <w:qFormat/>
    <w:rsid w:val="00501FE6"/>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01FE6"/>
    <w:pPr>
      <w:keepNext/>
      <w:numPr>
        <w:ilvl w:val="1"/>
        <w:numId w:val="24"/>
      </w:numPr>
      <w:spacing w:after="120"/>
      <w:outlineLvl w:val="1"/>
    </w:pPr>
    <w:rPr>
      <w:b/>
    </w:rPr>
  </w:style>
  <w:style w:type="paragraph" w:styleId="Heading3">
    <w:name w:val="heading 3"/>
    <w:basedOn w:val="Normal"/>
    <w:next w:val="ParaNum"/>
    <w:qFormat/>
    <w:rsid w:val="00501FE6"/>
    <w:pPr>
      <w:keepNext/>
      <w:numPr>
        <w:ilvl w:val="2"/>
        <w:numId w:val="24"/>
      </w:numPr>
      <w:tabs>
        <w:tab w:val="left" w:pos="2160"/>
      </w:tabs>
      <w:spacing w:after="120"/>
      <w:outlineLvl w:val="2"/>
    </w:pPr>
    <w:rPr>
      <w:b/>
    </w:rPr>
  </w:style>
  <w:style w:type="paragraph" w:styleId="Heading4">
    <w:name w:val="heading 4"/>
    <w:basedOn w:val="Normal"/>
    <w:next w:val="ParaNum"/>
    <w:qFormat/>
    <w:rsid w:val="00501FE6"/>
    <w:pPr>
      <w:keepNext/>
      <w:numPr>
        <w:ilvl w:val="3"/>
        <w:numId w:val="24"/>
      </w:numPr>
      <w:tabs>
        <w:tab w:val="left" w:pos="2880"/>
      </w:tabs>
      <w:spacing w:after="120"/>
      <w:outlineLvl w:val="3"/>
    </w:pPr>
    <w:rPr>
      <w:b/>
    </w:rPr>
  </w:style>
  <w:style w:type="paragraph" w:styleId="Heading5">
    <w:name w:val="heading 5"/>
    <w:basedOn w:val="Normal"/>
    <w:next w:val="ParaNum"/>
    <w:qFormat/>
    <w:rsid w:val="00501FE6"/>
    <w:pPr>
      <w:keepNext/>
      <w:numPr>
        <w:ilvl w:val="4"/>
        <w:numId w:val="24"/>
      </w:numPr>
      <w:tabs>
        <w:tab w:val="left" w:pos="3600"/>
      </w:tabs>
      <w:suppressAutoHyphens/>
      <w:spacing w:after="120"/>
      <w:outlineLvl w:val="4"/>
    </w:pPr>
    <w:rPr>
      <w:b/>
    </w:rPr>
  </w:style>
  <w:style w:type="paragraph" w:styleId="Heading6">
    <w:name w:val="heading 6"/>
    <w:basedOn w:val="Normal"/>
    <w:next w:val="ParaNum"/>
    <w:qFormat/>
    <w:rsid w:val="00501FE6"/>
    <w:pPr>
      <w:numPr>
        <w:ilvl w:val="5"/>
        <w:numId w:val="24"/>
      </w:numPr>
      <w:tabs>
        <w:tab w:val="left" w:pos="4320"/>
      </w:tabs>
      <w:spacing w:after="120"/>
      <w:outlineLvl w:val="5"/>
    </w:pPr>
    <w:rPr>
      <w:b/>
    </w:rPr>
  </w:style>
  <w:style w:type="paragraph" w:styleId="Heading7">
    <w:name w:val="heading 7"/>
    <w:basedOn w:val="Normal"/>
    <w:next w:val="ParaNum"/>
    <w:qFormat/>
    <w:rsid w:val="00501FE6"/>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501FE6"/>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
    <w:qFormat/>
    <w:rsid w:val="00501FE6"/>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01F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1FE6"/>
  </w:style>
  <w:style w:type="paragraph" w:styleId="Caption">
    <w:name w:val="caption"/>
    <w:basedOn w:val="Normal"/>
    <w:next w:val="Normal"/>
    <w:qFormat/>
    <w:rsid w:val="00501FE6"/>
    <w:pPr>
      <w:spacing w:before="120" w:after="120"/>
    </w:pPr>
    <w:rPr>
      <w:b/>
    </w:rPr>
  </w:style>
  <w:style w:type="paragraph" w:customStyle="1" w:styleId="ParaNum">
    <w:name w:val="ParaNum"/>
    <w:basedOn w:val="Normal"/>
    <w:rsid w:val="00501FE6"/>
    <w:pPr>
      <w:numPr>
        <w:numId w:val="23"/>
      </w:numPr>
      <w:tabs>
        <w:tab w:val="clear" w:pos="1080"/>
        <w:tab w:val="num" w:pos="1440"/>
      </w:tabs>
      <w:spacing w:after="120"/>
    </w:pPr>
  </w:style>
  <w:style w:type="paragraph" w:styleId="FootnoteText">
    <w:name w:val="footnote text"/>
    <w:rsid w:val="00501FE6"/>
    <w:pPr>
      <w:spacing w:after="120"/>
    </w:pPr>
  </w:style>
  <w:style w:type="paragraph" w:customStyle="1" w:styleId="Bullet">
    <w:name w:val="Bullet"/>
    <w:basedOn w:val="Normal"/>
    <w:rsid w:val="00501FE6"/>
    <w:pPr>
      <w:tabs>
        <w:tab w:val="left" w:pos="2160"/>
      </w:tabs>
      <w:spacing w:after="220"/>
      <w:ind w:left="2160" w:hanging="720"/>
    </w:pPr>
  </w:style>
  <w:style w:type="paragraph" w:styleId="BlockText">
    <w:name w:val="Block Text"/>
    <w:basedOn w:val="Normal"/>
    <w:rsid w:val="00501FE6"/>
    <w:pPr>
      <w:spacing w:after="240"/>
      <w:ind w:left="1440" w:right="1440"/>
    </w:pPr>
  </w:style>
  <w:style w:type="paragraph" w:customStyle="1" w:styleId="TableFormat">
    <w:name w:val="TableFormat"/>
    <w:basedOn w:val="Bullet"/>
    <w:rsid w:val="00501FE6"/>
    <w:pPr>
      <w:tabs>
        <w:tab w:val="clear" w:pos="2160"/>
        <w:tab w:val="left" w:pos="5040"/>
      </w:tabs>
      <w:ind w:left="5040" w:hanging="3600"/>
    </w:pPr>
  </w:style>
  <w:style w:type="character" w:styleId="FootnoteReference">
    <w:name w:val="footnote reference"/>
    <w:rsid w:val="00501FE6"/>
    <w:rPr>
      <w:rFonts w:ascii="Times New Roman" w:hAnsi="Times New Roman"/>
      <w:dstrike w:val="0"/>
      <w:color w:val="auto"/>
      <w:sz w:val="20"/>
      <w:vertAlign w:val="superscript"/>
    </w:rPr>
  </w:style>
  <w:style w:type="paragraph" w:styleId="Header">
    <w:name w:val="header"/>
    <w:basedOn w:val="Normal"/>
    <w:autoRedefine/>
    <w:rsid w:val="00501FE6"/>
    <w:pPr>
      <w:tabs>
        <w:tab w:val="center" w:pos="4680"/>
        <w:tab w:val="right" w:pos="9360"/>
      </w:tabs>
    </w:pPr>
    <w:rPr>
      <w:b/>
    </w:rPr>
  </w:style>
  <w:style w:type="paragraph" w:styleId="Footer">
    <w:name w:val="footer"/>
    <w:basedOn w:val="Normal"/>
    <w:rsid w:val="00501FE6"/>
    <w:pPr>
      <w:tabs>
        <w:tab w:val="center" w:pos="4320"/>
        <w:tab w:val="right" w:pos="8640"/>
      </w:tabs>
    </w:pPr>
  </w:style>
  <w:style w:type="paragraph" w:styleId="TOC2">
    <w:name w:val="toc 2"/>
    <w:basedOn w:val="Normal"/>
    <w:next w:val="Normal"/>
    <w:semiHidden/>
    <w:rsid w:val="00501FE6"/>
    <w:pPr>
      <w:tabs>
        <w:tab w:val="left" w:pos="720"/>
        <w:tab w:val="right" w:leader="dot" w:pos="9360"/>
      </w:tabs>
      <w:suppressAutoHyphens/>
      <w:ind w:left="720" w:right="720" w:hanging="360"/>
    </w:pPr>
    <w:rPr>
      <w:noProof/>
    </w:rPr>
  </w:style>
  <w:style w:type="paragraph" w:customStyle="1" w:styleId="NumberedList">
    <w:name w:val="Numbered List"/>
    <w:basedOn w:val="Normal"/>
    <w:rsid w:val="00501FE6"/>
    <w:pPr>
      <w:numPr>
        <w:numId w:val="21"/>
      </w:numPr>
      <w:tabs>
        <w:tab w:val="clear" w:pos="1080"/>
      </w:tabs>
      <w:spacing w:after="220"/>
      <w:ind w:firstLine="0"/>
    </w:pPr>
  </w:style>
  <w:style w:type="paragraph" w:styleId="TOC1">
    <w:name w:val="toc 1"/>
    <w:basedOn w:val="Normal"/>
    <w:next w:val="Normal"/>
    <w:semiHidden/>
    <w:rsid w:val="00501FE6"/>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501FE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01FE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01FE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01FE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01FE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01FE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01FE6"/>
    <w:pPr>
      <w:tabs>
        <w:tab w:val="left" w:pos="3240"/>
        <w:tab w:val="right" w:leader="dot" w:pos="9360"/>
      </w:tabs>
      <w:suppressAutoHyphens/>
      <w:ind w:left="3240" w:hanging="360"/>
    </w:pPr>
    <w:rPr>
      <w:noProof/>
    </w:rPr>
  </w:style>
  <w:style w:type="character" w:styleId="PageNumber">
    <w:name w:val="page number"/>
    <w:basedOn w:val="DefaultParagraphFont"/>
    <w:rsid w:val="00501FE6"/>
  </w:style>
  <w:style w:type="paragraph" w:styleId="Title">
    <w:name w:val="Title"/>
    <w:basedOn w:val="Normal"/>
    <w:qFormat/>
    <w:rsid w:val="00501FE6"/>
    <w:pPr>
      <w:jc w:val="center"/>
    </w:pPr>
    <w:rPr>
      <w:b/>
    </w:rPr>
  </w:style>
  <w:style w:type="paragraph" w:styleId="EndnoteText">
    <w:name w:val="endnote text"/>
    <w:basedOn w:val="Normal"/>
    <w:link w:val="EndnoteTextChar"/>
    <w:rsid w:val="00501FE6"/>
    <w:rPr>
      <w:sz w:val="20"/>
    </w:rPr>
  </w:style>
  <w:style w:type="character" w:customStyle="1" w:styleId="EndnoteTextChar">
    <w:name w:val="Endnote Text Char"/>
    <w:basedOn w:val="DefaultParagraphFont"/>
    <w:link w:val="EndnoteText"/>
    <w:rsid w:val="00501FE6"/>
    <w:rPr>
      <w:snapToGrid w:val="0"/>
      <w:kern w:val="28"/>
    </w:rPr>
  </w:style>
  <w:style w:type="character" w:styleId="EndnoteReference">
    <w:name w:val="endnote reference"/>
    <w:rsid w:val="00501FE6"/>
    <w:rPr>
      <w:vertAlign w:val="superscript"/>
    </w:rPr>
  </w:style>
  <w:style w:type="paragraph" w:styleId="TOAHeading">
    <w:name w:val="toa heading"/>
    <w:basedOn w:val="Normal"/>
    <w:next w:val="Normal"/>
    <w:rsid w:val="00501FE6"/>
    <w:pPr>
      <w:tabs>
        <w:tab w:val="right" w:pos="9360"/>
      </w:tabs>
      <w:suppressAutoHyphens/>
    </w:pPr>
  </w:style>
  <w:style w:type="character" w:customStyle="1" w:styleId="EquationCaption">
    <w:name w:val="_Equation Caption"/>
    <w:rsid w:val="00501FE6"/>
  </w:style>
  <w:style w:type="paragraph" w:customStyle="1" w:styleId="Paratitle">
    <w:name w:val="Para title"/>
    <w:basedOn w:val="Normal"/>
    <w:rsid w:val="00501FE6"/>
    <w:pPr>
      <w:tabs>
        <w:tab w:val="center" w:pos="9270"/>
      </w:tabs>
      <w:spacing w:after="240"/>
    </w:pPr>
    <w:rPr>
      <w:spacing w:val="-2"/>
    </w:rPr>
  </w:style>
  <w:style w:type="paragraph" w:customStyle="1" w:styleId="TOCTitle">
    <w:name w:val="TOC Title"/>
    <w:basedOn w:val="Normal"/>
    <w:rsid w:val="00501FE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01FE6"/>
    <w:pPr>
      <w:jc w:val="center"/>
    </w:pPr>
    <w:rPr>
      <w:rFonts w:ascii="Times New Roman Bold" w:hAnsi="Times New Roman Bold"/>
      <w:b/>
      <w:bCs/>
      <w:caps/>
      <w:szCs w:val="22"/>
    </w:rPr>
  </w:style>
  <w:style w:type="character" w:styleId="Hyperlink">
    <w:name w:val="Hyperlink"/>
    <w:rsid w:val="00501FE6"/>
    <w:rPr>
      <w:color w:val="0000FF"/>
      <w:u w:val="single"/>
    </w:rPr>
  </w:style>
  <w:style w:type="paragraph" w:styleId="BalloonText">
    <w:name w:val="Balloon Text"/>
    <w:basedOn w:val="Normal"/>
    <w:link w:val="BalloonTextChar"/>
    <w:rsid w:val="002006E4"/>
    <w:rPr>
      <w:rFonts w:ascii="Segoe UI" w:hAnsi="Segoe UI" w:cs="Segoe UI"/>
      <w:sz w:val="18"/>
      <w:szCs w:val="18"/>
    </w:rPr>
  </w:style>
  <w:style w:type="character" w:customStyle="1" w:styleId="BalloonTextChar">
    <w:name w:val="Balloon Text Char"/>
    <w:basedOn w:val="DefaultParagraphFont"/>
    <w:link w:val="BalloonText"/>
    <w:rsid w:val="002006E4"/>
    <w:rPr>
      <w:rFonts w:ascii="Segoe UI" w:hAnsi="Segoe UI" w:cs="Segoe UI"/>
      <w:snapToGrid w:val="0"/>
      <w:kern w:val="28"/>
      <w:sz w:val="18"/>
      <w:szCs w:val="18"/>
    </w:rPr>
  </w:style>
  <w:style w:type="character" w:styleId="CommentReference">
    <w:name w:val="annotation reference"/>
    <w:basedOn w:val="DefaultParagraphFont"/>
    <w:uiPriority w:val="99"/>
    <w:unhideWhenUsed/>
    <w:rsid w:val="00A924BA"/>
    <w:rPr>
      <w:sz w:val="16"/>
      <w:szCs w:val="16"/>
    </w:rPr>
  </w:style>
  <w:style w:type="paragraph" w:styleId="CommentText">
    <w:name w:val="annotation text"/>
    <w:basedOn w:val="Normal"/>
    <w:link w:val="CommentTextChar"/>
    <w:uiPriority w:val="99"/>
    <w:unhideWhenUsed/>
    <w:rsid w:val="00A924BA"/>
    <w:rPr>
      <w:sz w:val="20"/>
    </w:rPr>
  </w:style>
  <w:style w:type="character" w:customStyle="1" w:styleId="CommentTextChar">
    <w:name w:val="Comment Text Char"/>
    <w:basedOn w:val="DefaultParagraphFont"/>
    <w:link w:val="CommentText"/>
    <w:uiPriority w:val="99"/>
    <w:rsid w:val="00A924BA"/>
    <w:rPr>
      <w:snapToGrid w:val="0"/>
      <w:kern w:val="28"/>
    </w:rPr>
  </w:style>
  <w:style w:type="paragraph" w:styleId="CommentSubject">
    <w:name w:val="annotation subject"/>
    <w:basedOn w:val="CommentText"/>
    <w:next w:val="CommentText"/>
    <w:link w:val="CommentSubjectChar"/>
    <w:semiHidden/>
    <w:unhideWhenUsed/>
    <w:rsid w:val="00A924BA"/>
    <w:rPr>
      <w:b/>
      <w:bCs/>
    </w:rPr>
  </w:style>
  <w:style w:type="character" w:customStyle="1" w:styleId="CommentSubjectChar">
    <w:name w:val="Comment Subject Char"/>
    <w:basedOn w:val="CommentTextChar"/>
    <w:link w:val="CommentSubject"/>
    <w:semiHidden/>
    <w:rsid w:val="00A924B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erratum-order.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erratum-order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