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52D588BC" w14:textId="77777777">
        <w:tblPrEx>
          <w:tblW w:w="0" w:type="auto"/>
          <w:tblLook w:val="0000"/>
        </w:tblPrEx>
        <w:trPr>
          <w:trHeight w:val="2181"/>
        </w:trPr>
        <w:tc>
          <w:tcPr>
            <w:tcW w:w="8856" w:type="dxa"/>
          </w:tcPr>
          <w:p w:rsidR="001A3E3D" w14:paraId="4D64EA8E"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830052"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A3E3D" w14:paraId="338726A6" w14:textId="77777777">
            <w:pPr>
              <w:rPr>
                <w:b/>
                <w:bCs/>
                <w:sz w:val="12"/>
                <w:szCs w:val="12"/>
              </w:rPr>
            </w:pPr>
          </w:p>
          <w:p w:rsidR="001A3E3D" w14:paraId="62E278B5" w14:textId="77777777">
            <w:pPr>
              <w:rPr>
                <w:b/>
                <w:bCs/>
                <w:sz w:val="22"/>
                <w:szCs w:val="22"/>
              </w:rPr>
            </w:pPr>
            <w:r>
              <w:rPr>
                <w:b/>
                <w:bCs/>
                <w:sz w:val="22"/>
                <w:szCs w:val="22"/>
              </w:rPr>
              <w:t xml:space="preserve">Media Contact: </w:t>
            </w:r>
          </w:p>
          <w:p w:rsidR="001A3E3D" w14:paraId="253D9FC2" w14:textId="77777777">
            <w:pPr>
              <w:rPr>
                <w:bCs/>
                <w:sz w:val="22"/>
                <w:szCs w:val="22"/>
              </w:rPr>
            </w:pPr>
            <w:r>
              <w:rPr>
                <w:bCs/>
                <w:sz w:val="22"/>
                <w:szCs w:val="22"/>
              </w:rPr>
              <w:t>Janice Wise, (202) 418-8165</w:t>
            </w:r>
          </w:p>
          <w:p w:rsidR="001A3E3D" w14:paraId="48268D73" w14:textId="77777777">
            <w:pPr>
              <w:rPr>
                <w:bCs/>
                <w:sz w:val="22"/>
                <w:szCs w:val="22"/>
              </w:rPr>
            </w:pPr>
            <w:r>
              <w:rPr>
                <w:bCs/>
                <w:sz w:val="22"/>
                <w:szCs w:val="22"/>
              </w:rPr>
              <w:t>janice.wise@fcc.gov</w:t>
            </w:r>
          </w:p>
          <w:p w:rsidR="001A3E3D" w14:paraId="0A0D428E" w14:textId="77777777">
            <w:pPr>
              <w:rPr>
                <w:bCs/>
                <w:sz w:val="22"/>
                <w:szCs w:val="22"/>
              </w:rPr>
            </w:pPr>
          </w:p>
          <w:p w:rsidR="001A3E3D" w14:paraId="39BF09E4" w14:textId="77777777">
            <w:pPr>
              <w:rPr>
                <w:b/>
                <w:sz w:val="22"/>
                <w:szCs w:val="22"/>
              </w:rPr>
            </w:pPr>
            <w:r>
              <w:rPr>
                <w:b/>
                <w:sz w:val="22"/>
                <w:szCs w:val="22"/>
              </w:rPr>
              <w:t>For Immediate Release</w:t>
            </w:r>
          </w:p>
          <w:p w:rsidR="001A3E3D" w14:paraId="70EB5487" w14:textId="77777777">
            <w:pPr>
              <w:jc w:val="center"/>
              <w:rPr>
                <w:b/>
                <w:bCs/>
                <w:sz w:val="22"/>
                <w:szCs w:val="22"/>
              </w:rPr>
            </w:pPr>
          </w:p>
          <w:p w:rsidR="001A3E3D" w:rsidP="00DE1C41" w14:paraId="0F16C40B" w14:textId="77777777">
            <w:pPr>
              <w:spacing w:after="120"/>
              <w:jc w:val="center"/>
              <w:rPr>
                <w:b/>
                <w:sz w:val="26"/>
                <w:szCs w:val="26"/>
              </w:rPr>
            </w:pPr>
            <w:r>
              <w:rPr>
                <w:b/>
                <w:sz w:val="26"/>
                <w:szCs w:val="26"/>
              </w:rPr>
              <w:t>FCC UPDATES PROGRAM CARRIAGE COMPLAINT PROCEDURES</w:t>
            </w:r>
          </w:p>
          <w:p w:rsidR="001A3E3D" w14:paraId="76809135" w14:textId="77777777">
            <w:pPr>
              <w:jc w:val="center"/>
              <w:rPr>
                <w:b/>
              </w:rPr>
            </w:pPr>
            <w:r>
              <w:rPr>
                <w:b/>
                <w:i/>
              </w:rPr>
              <w:t>Action Improves Complaint Process for Complainants and Defendants</w:t>
            </w:r>
          </w:p>
          <w:p w:rsidR="001A3E3D" w14:paraId="3D4FA6D9" w14:textId="77777777">
            <w:pPr>
              <w:tabs>
                <w:tab w:val="left" w:pos="8625"/>
              </w:tabs>
              <w:jc w:val="center"/>
              <w:rPr>
                <w:i/>
                <w:color w:val="F2F2F2" w:themeColor="background1" w:themeShade="F2"/>
                <w:sz w:val="28"/>
              </w:rPr>
            </w:pPr>
            <w:r>
              <w:rPr>
                <w:b/>
                <w:bCs/>
                <w:i/>
                <w:sz w:val="28"/>
                <w:szCs w:val="32"/>
              </w:rPr>
              <w:t xml:space="preserve">  </w:t>
            </w:r>
            <w:r>
              <w:rPr>
                <w:b/>
                <w:bCs/>
                <w:i/>
                <w:color w:val="F2F2F2" w:themeColor="background1" w:themeShade="F2"/>
                <w:sz w:val="28"/>
                <w:szCs w:val="32"/>
              </w:rPr>
              <w:t xml:space="preserve">-- </w:t>
            </w:r>
          </w:p>
          <w:p w:rsidR="001A3E3D" w14:paraId="33C0B1C4" w14:textId="5E51A81F">
            <w:pPr>
              <w:rPr>
                <w:sz w:val="22"/>
                <w:szCs w:val="22"/>
              </w:rPr>
            </w:pPr>
            <w:r>
              <w:rPr>
                <w:sz w:val="22"/>
                <w:szCs w:val="22"/>
              </w:rPr>
              <w:t>WASHINGTON, November 18, 2020</w:t>
            </w:r>
            <w:r w:rsidR="00DE1C41">
              <w:rPr>
                <w:sz w:val="22"/>
                <w:szCs w:val="22"/>
              </w:rPr>
              <w:t>—</w:t>
            </w:r>
            <w:r>
              <w:rPr>
                <w:sz w:val="22"/>
                <w:szCs w:val="22"/>
              </w:rPr>
              <w:t xml:space="preserve">The Federal Communications Commission today </w:t>
            </w:r>
            <w:r w:rsidR="006E5CB3">
              <w:rPr>
                <w:sz w:val="22"/>
                <w:szCs w:val="22"/>
              </w:rPr>
              <w:t xml:space="preserve">adopted </w:t>
            </w:r>
            <w:r>
              <w:rPr>
                <w:sz w:val="22"/>
                <w:szCs w:val="22"/>
              </w:rPr>
              <w:t xml:space="preserve">a Report and Order revising its rules governing </w:t>
            </w:r>
            <w:r w:rsidRPr="006D001B">
              <w:rPr>
                <w:sz w:val="22"/>
                <w:szCs w:val="22"/>
              </w:rPr>
              <w:t>the resolution of program carriage disputes between video programming vendors and multichannel video programming distributors (MVPDs).  It also amends</w:t>
            </w:r>
            <w:r>
              <w:rPr>
                <w:sz w:val="22"/>
                <w:szCs w:val="22"/>
              </w:rPr>
              <w:t xml:space="preserve"> parallel rules governing program access, open video system (OVS), and good-faith retransmission consent complaints.  These changes will help to ensure a clear and expeditious complaint process for potential complainants and defendants.</w:t>
            </w:r>
          </w:p>
          <w:p w:rsidR="001A3E3D" w14:paraId="02708B5E" w14:textId="77777777">
            <w:pPr>
              <w:rPr>
                <w:sz w:val="22"/>
                <w:szCs w:val="22"/>
              </w:rPr>
            </w:pPr>
          </w:p>
          <w:p w:rsidR="001A3E3D" w14:paraId="329F3C7D" w14:textId="6B0E373A">
            <w:pPr>
              <w:rPr>
                <w:sz w:val="22"/>
                <w:szCs w:val="22"/>
              </w:rPr>
            </w:pPr>
            <w:r>
              <w:rPr>
                <w:sz w:val="22"/>
                <w:szCs w:val="22"/>
              </w:rPr>
              <w:t xml:space="preserve">Specifically, the Report and Order amends the statute of limitations for filing program carriage complaints.  This revision </w:t>
            </w:r>
            <w:r w:rsidR="00DF45FE">
              <w:rPr>
                <w:sz w:val="22"/>
                <w:szCs w:val="22"/>
              </w:rPr>
              <w:t>clarifies</w:t>
            </w:r>
            <w:r w:rsidRPr="006D001B">
              <w:rPr>
                <w:sz w:val="22"/>
                <w:szCs w:val="22"/>
              </w:rPr>
              <w:t xml:space="preserve"> that the one-year period </w:t>
            </w:r>
            <w:r>
              <w:rPr>
                <w:sz w:val="22"/>
                <w:szCs w:val="22"/>
              </w:rPr>
              <w:t xml:space="preserve">in the third prong of the </w:t>
            </w:r>
            <w:r w:rsidR="00550849">
              <w:rPr>
                <w:sz w:val="22"/>
                <w:szCs w:val="22"/>
              </w:rPr>
              <w:t xml:space="preserve">statute of limitations </w:t>
            </w:r>
            <w:r w:rsidRPr="006D001B">
              <w:rPr>
                <w:sz w:val="22"/>
                <w:szCs w:val="22"/>
              </w:rPr>
              <w:t>begins to run when an MVPD rejects or fails to acknowledge a request for program carriage or request to negotiate for program carriage</w:t>
            </w:r>
            <w:r w:rsidR="006E5CB3">
              <w:rPr>
                <w:sz w:val="22"/>
                <w:szCs w:val="22"/>
              </w:rPr>
              <w:t>, rather than a year after a video programming vendor gives an MVPD notice of its intent to file a complaint</w:t>
            </w:r>
            <w:r w:rsidRPr="006D001B">
              <w:rPr>
                <w:sz w:val="22"/>
                <w:szCs w:val="22"/>
              </w:rPr>
              <w:t>.</w:t>
            </w:r>
            <w:r w:rsidRPr="006D001B">
              <w:rPr>
                <w:rFonts w:ascii="Helvetica" w:hAnsi="Helvetica" w:cs="Helvetica"/>
                <w:sz w:val="21"/>
                <w:szCs w:val="21"/>
              </w:rPr>
              <w:t xml:space="preserve">  </w:t>
            </w:r>
            <w:r>
              <w:rPr>
                <w:sz w:val="22"/>
                <w:szCs w:val="22"/>
              </w:rPr>
              <w:t xml:space="preserve">This change closes a loophole in the current </w:t>
            </w:r>
            <w:r w:rsidR="00CE7A39">
              <w:rPr>
                <w:sz w:val="22"/>
                <w:szCs w:val="22"/>
              </w:rPr>
              <w:t>rule</w:t>
            </w:r>
            <w:r>
              <w:rPr>
                <w:sz w:val="22"/>
                <w:szCs w:val="22"/>
              </w:rPr>
              <w:t xml:space="preserve"> that could permit the filing of program carriage complaints at essentially any time,</w:t>
            </w:r>
            <w:r w:rsidR="006E5CB3">
              <w:rPr>
                <w:sz w:val="22"/>
                <w:szCs w:val="22"/>
              </w:rPr>
              <w:t xml:space="preserve"> potentially years after an alleged rule violation,</w:t>
            </w:r>
            <w:r>
              <w:rPr>
                <w:sz w:val="22"/>
                <w:szCs w:val="22"/>
              </w:rPr>
              <w:t xml:space="preserve"> undermining </w:t>
            </w:r>
            <w:r w:rsidR="00CE7A39">
              <w:rPr>
                <w:sz w:val="22"/>
                <w:szCs w:val="22"/>
              </w:rPr>
              <w:t xml:space="preserve">the </w:t>
            </w:r>
            <w:r>
              <w:rPr>
                <w:sz w:val="22"/>
                <w:szCs w:val="22"/>
              </w:rPr>
              <w:t>fundamental purpose</w:t>
            </w:r>
            <w:r w:rsidR="00CE7A39">
              <w:rPr>
                <w:sz w:val="22"/>
                <w:szCs w:val="22"/>
              </w:rPr>
              <w:t xml:space="preserve"> of a statute of limitations</w:t>
            </w:r>
            <w:r>
              <w:rPr>
                <w:sz w:val="22"/>
                <w:szCs w:val="22"/>
              </w:rPr>
              <w:t>.  For consistency, the Report and Order similarly amends the parallel prongs in the statutes of limitations for program access, OVS, and good-faith retransmission consent complaints.</w:t>
            </w:r>
          </w:p>
          <w:p w:rsidR="001A3E3D" w14:paraId="21E048C1" w14:textId="77777777">
            <w:pPr>
              <w:rPr>
                <w:sz w:val="22"/>
                <w:szCs w:val="22"/>
              </w:rPr>
            </w:pPr>
          </w:p>
          <w:p w:rsidR="00B1166B" w:rsidRPr="00B1166B" w:rsidP="00B1166B" w14:paraId="0D14C803" w14:textId="77777777">
            <w:pPr>
              <w:rPr>
                <w:sz w:val="22"/>
                <w:szCs w:val="22"/>
              </w:rPr>
            </w:pPr>
            <w:r w:rsidRPr="00B1166B">
              <w:rPr>
                <w:sz w:val="22"/>
                <w:szCs w:val="22"/>
              </w:rPr>
              <w:t>The Report and Order also harmonizes the procedures governing the effective date and review of initial decisions by an administrative law judge (ALJ) in program carriage, program access, and OVS proceedings to match those generally applicable to other ALJ decisions.  This means that ALJ initial decisions in these contexts will not take effect for at least 50 days following release and will be stayed automatically if a decision is appealed to the Commission.</w:t>
            </w:r>
          </w:p>
          <w:p w:rsidR="00B1166B" w:rsidRPr="00B1166B" w:rsidP="00B1166B" w14:paraId="7149E557" w14:textId="77777777">
            <w:pPr>
              <w:rPr>
                <w:sz w:val="22"/>
                <w:szCs w:val="22"/>
              </w:rPr>
            </w:pPr>
          </w:p>
          <w:p w:rsidR="00B1166B" w:rsidRPr="00B1166B" w:rsidP="00B1166B" w14:paraId="3AF03B09" w14:textId="77777777">
            <w:pPr>
              <w:rPr>
                <w:sz w:val="22"/>
                <w:szCs w:val="22"/>
              </w:rPr>
            </w:pPr>
            <w:r w:rsidRPr="00B1166B">
              <w:rPr>
                <w:sz w:val="22"/>
                <w:szCs w:val="22"/>
              </w:rPr>
              <w:t xml:space="preserve">Today’s action is the 26th Order adopted as part of the Commission’s </w:t>
            </w:r>
            <w:r w:rsidRPr="00B1166B">
              <w:rPr>
                <w:i/>
                <w:iCs/>
                <w:sz w:val="22"/>
                <w:szCs w:val="22"/>
              </w:rPr>
              <w:t>Modernization of Media Regulation Initiative</w:t>
            </w:r>
            <w:r w:rsidRPr="00B1166B">
              <w:rPr>
                <w:sz w:val="22"/>
                <w:szCs w:val="22"/>
              </w:rPr>
              <w:t>, launched in 2017, to eliminate or modify media regulations that are outdated, unnecessary or unduly burdensome.</w:t>
            </w:r>
          </w:p>
          <w:p w:rsidR="00B1166B" w:rsidRPr="00B1166B" w:rsidP="00B1166B" w14:paraId="2D1588A2" w14:textId="77777777">
            <w:pPr>
              <w:rPr>
                <w:sz w:val="22"/>
                <w:szCs w:val="22"/>
              </w:rPr>
            </w:pPr>
          </w:p>
          <w:p w:rsidR="0034183B" w:rsidRPr="0034183B" w:rsidP="0034183B" w14:paraId="3A75C729" w14:textId="26BA5B8A">
            <w:pPr>
              <w:rPr>
                <w:sz w:val="22"/>
                <w:szCs w:val="22"/>
              </w:rPr>
            </w:pPr>
            <w:r w:rsidRPr="0034183B">
              <w:rPr>
                <w:sz w:val="22"/>
                <w:szCs w:val="22"/>
              </w:rPr>
              <w:t xml:space="preserve">Action by the Commission November 18, 2020 by Report and Order (FCC 20-162).  Chairman Pai, Commissioners O’Rielly, Carr, Rosenworcel, and Starks approving.  Chairman Pai, </w:t>
            </w:r>
            <w:r>
              <w:rPr>
                <w:sz w:val="22"/>
                <w:szCs w:val="22"/>
              </w:rPr>
              <w:t xml:space="preserve">and </w:t>
            </w:r>
            <w:r w:rsidRPr="0034183B">
              <w:rPr>
                <w:sz w:val="22"/>
                <w:szCs w:val="22"/>
              </w:rPr>
              <w:t>Commissioner O’Rielly</w:t>
            </w:r>
            <w:r>
              <w:rPr>
                <w:sz w:val="22"/>
                <w:szCs w:val="22"/>
              </w:rPr>
              <w:t xml:space="preserve"> </w:t>
            </w:r>
            <w:r w:rsidRPr="0034183B">
              <w:rPr>
                <w:sz w:val="22"/>
                <w:szCs w:val="22"/>
              </w:rPr>
              <w:t>issuing separate statements.</w:t>
            </w:r>
          </w:p>
          <w:p w:rsidR="0034183B" w:rsidRPr="0034183B" w:rsidP="0034183B" w14:paraId="53665067" w14:textId="77777777">
            <w:pPr>
              <w:rPr>
                <w:sz w:val="22"/>
                <w:szCs w:val="22"/>
              </w:rPr>
            </w:pPr>
          </w:p>
          <w:p w:rsidR="001A3E3D" w:rsidP="0034183B" w14:paraId="667DDF1C" w14:textId="5EC5860C">
            <w:pPr>
              <w:rPr>
                <w:rStyle w:val="Hyperlink"/>
                <w:color w:val="auto"/>
                <w:sz w:val="22"/>
                <w:szCs w:val="22"/>
                <w:u w:val="none"/>
              </w:rPr>
            </w:pPr>
            <w:r w:rsidRPr="0034183B">
              <w:rPr>
                <w:sz w:val="22"/>
                <w:szCs w:val="22"/>
              </w:rPr>
              <w:t>MB Docket Nos. 20-70, 17-105, 11-131</w:t>
            </w:r>
          </w:p>
          <w:p w:rsidR="001A3E3D" w14:paraId="05E51575" w14:textId="77777777">
            <w:pPr>
              <w:rPr>
                <w:rStyle w:val="Hyperlink"/>
                <w:color w:val="auto"/>
                <w:sz w:val="22"/>
                <w:szCs w:val="22"/>
                <w:u w:val="none"/>
              </w:rPr>
            </w:pPr>
          </w:p>
          <w:p w:rsidR="001A3E3D" w14:paraId="4074ECA4" w14:textId="77777777">
            <w:pPr>
              <w:ind w:right="72"/>
              <w:jc w:val="center"/>
              <w:rPr>
                <w:sz w:val="22"/>
                <w:szCs w:val="22"/>
              </w:rPr>
            </w:pPr>
            <w:r>
              <w:rPr>
                <w:sz w:val="22"/>
                <w:szCs w:val="22"/>
              </w:rPr>
              <w:t>###</w:t>
            </w:r>
          </w:p>
          <w:p w:rsidR="001A3E3D" w:rsidRPr="00DE1C41" w14:paraId="60A71FD3" w14:textId="77777777">
            <w:pPr>
              <w:ind w:right="72"/>
              <w:jc w:val="center"/>
              <w:rPr>
                <w:rStyle w:val="Hyperlink"/>
                <w:b/>
                <w:bCs/>
                <w:color w:val="auto"/>
                <w:sz w:val="17"/>
                <w:szCs w:val="17"/>
                <w:u w:val="none"/>
              </w:rPr>
            </w:pPr>
            <w:r>
              <w:rPr>
                <w:b/>
                <w:bCs/>
                <w:sz w:val="22"/>
                <w:szCs w:val="22"/>
              </w:rPr>
              <w:br/>
            </w:r>
            <w:r w:rsidRPr="00DE1C41">
              <w:rPr>
                <w:rStyle w:val="Hyperlink"/>
                <w:b/>
                <w:bCs/>
                <w:color w:val="auto"/>
                <w:sz w:val="17"/>
                <w:szCs w:val="17"/>
                <w:u w:val="none"/>
              </w:rPr>
              <w:t>Media Relations: (202) 418-0500 / ASL: (848) 432-2275 / Twitter: @FCC / www.fcc.gov</w:t>
            </w:r>
          </w:p>
          <w:p w:rsidR="001A3E3D" w14:paraId="067CD01A" w14:textId="77777777">
            <w:pPr>
              <w:ind w:right="72"/>
              <w:jc w:val="center"/>
              <w:rPr>
                <w:b/>
                <w:bCs/>
                <w:sz w:val="18"/>
                <w:szCs w:val="18"/>
              </w:rPr>
            </w:pPr>
          </w:p>
          <w:p w:rsidR="001A3E3D" w:rsidRPr="00DE1C41" w14:paraId="7D481EE1" w14:textId="77777777">
            <w:pPr>
              <w:ind w:right="72"/>
              <w:jc w:val="center"/>
              <w:rPr>
                <w:bCs/>
                <w:i/>
                <w:sz w:val="16"/>
                <w:szCs w:val="16"/>
              </w:rPr>
            </w:pPr>
            <w:r w:rsidRPr="00DE1C41">
              <w:rPr>
                <w:bCs/>
                <w:i/>
                <w:sz w:val="16"/>
                <w:szCs w:val="16"/>
              </w:rPr>
              <w:t>This is an unofficial announcement of Commission action.  Release of the full text of a Commission order constitutes official action.  See MCI v. FCC, 515 F.2d 385 (D.C. Cir. 1974).</w:t>
            </w:r>
          </w:p>
        </w:tc>
      </w:tr>
    </w:tbl>
    <w:p w:rsidR="001A3E3D" w14:paraId="64EB7CD2" w14:textId="77777777">
      <w:pPr>
        <w:rPr>
          <w:b/>
          <w:bCs/>
          <w:sz w:val="2"/>
          <w:szCs w:val="2"/>
        </w:rPr>
      </w:pPr>
    </w:p>
    <w:sectPr>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3D"/>
    <w:rsid w:val="000C648A"/>
    <w:rsid w:val="001076B0"/>
    <w:rsid w:val="001820A6"/>
    <w:rsid w:val="001A3E3D"/>
    <w:rsid w:val="001F06F6"/>
    <w:rsid w:val="00287BEC"/>
    <w:rsid w:val="0034183B"/>
    <w:rsid w:val="00447065"/>
    <w:rsid w:val="00550849"/>
    <w:rsid w:val="006B39F6"/>
    <w:rsid w:val="006D001B"/>
    <w:rsid w:val="006E5CB3"/>
    <w:rsid w:val="0082575C"/>
    <w:rsid w:val="00986F7E"/>
    <w:rsid w:val="00A52126"/>
    <w:rsid w:val="00B1166B"/>
    <w:rsid w:val="00B32823"/>
    <w:rsid w:val="00C20472"/>
    <w:rsid w:val="00CE7A39"/>
    <w:rsid w:val="00DE1C41"/>
    <w:rsid w:val="00DF45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92FEA1C6-BC1E-4EBB-A033-421E628D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articlehead1">
    <w:name w:val="articlehead1"/>
    <w:rPr>
      <w:b/>
      <w:bCs/>
      <w:color w:val="336699"/>
      <w:sz w:val="24"/>
      <w:szCs w:val="24"/>
    </w:rPr>
  </w:style>
  <w:style w:type="character" w:customStyle="1" w:styleId="byline1">
    <w:name w:val="byline1"/>
    <w:rPr>
      <w:rFonts w:ascii="Verdana" w:hAnsi="Verdana" w:hint="default"/>
      <w:color w:val="999999"/>
      <w:sz w:val="15"/>
      <w:szCs w:val="15"/>
    </w:rPr>
  </w:style>
  <w:style w:type="paragraph" w:styleId="NormalWeb">
    <w:name w:val="Normal (Web)"/>
    <w:basedOn w:val="Normal"/>
  </w:style>
  <w:style w:type="paragraph" w:styleId="Caption">
    <w:name w:val="caption"/>
    <w:basedOn w:val="Normal"/>
    <w:next w:val="Normal"/>
    <w:unhideWhenUsed/>
    <w:qFormat/>
    <w:rPr>
      <w:b/>
      <w:bCs/>
      <w:sz w:val="20"/>
      <w:szCs w:val="20"/>
    </w:rPr>
  </w:style>
  <w:style w:type="character" w:customStyle="1" w:styleId="UnresolvedMention">
    <w:name w:val="Unresolved Mention"/>
    <w:basedOn w:val="DefaultParagraphFont"/>
    <w:uiPriority w:val="99"/>
    <w:semiHidden/>
    <w:unhideWhenUsed/>
    <w:rPr>
      <w:color w:val="808080"/>
      <w:shd w:val="clear" w:color="auto" w:fill="E6E6E6"/>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basedOn w:val="DefaultParagraphFont"/>
    <w:link w:val="FootnoteText"/>
    <w:semiHidden/>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hAnsi="Segoe UI" w:cs="Segoe UI"/>
      <w:sz w:val="18"/>
      <w:szCs w:val="18"/>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