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9C5BDB6" w14:textId="77777777" w:rsidTr="2F6DBBD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CA4396D" w14:textId="3A430D1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34985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33BF7B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E9A2D1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BC1E6C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38BF95C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8E17DD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DA62BD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695321" w14:paraId="1AED164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2F37" w:rsidP="00D0415D" w14:paraId="147B56D1" w14:textId="3735D204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D0415D">
              <w:rPr>
                <w:b/>
                <w:bCs/>
                <w:sz w:val="26"/>
                <w:szCs w:val="26"/>
              </w:rPr>
              <w:t>ADOPTS</w:t>
            </w:r>
            <w:r>
              <w:rPr>
                <w:b/>
                <w:bCs/>
                <w:sz w:val="26"/>
                <w:szCs w:val="26"/>
              </w:rPr>
              <w:t xml:space="preserve"> R</w:t>
            </w:r>
            <w:r w:rsidR="00D0415D">
              <w:rPr>
                <w:b/>
                <w:bCs/>
                <w:sz w:val="26"/>
                <w:szCs w:val="26"/>
              </w:rPr>
              <w:t>ULES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0415D">
              <w:rPr>
                <w:b/>
                <w:bCs/>
                <w:sz w:val="26"/>
                <w:szCs w:val="26"/>
              </w:rPr>
              <w:t>FOR IDENTIFYING</w:t>
            </w:r>
            <w:r w:rsidR="00B0471C">
              <w:rPr>
                <w:b/>
                <w:bCs/>
                <w:sz w:val="26"/>
                <w:szCs w:val="26"/>
              </w:rPr>
              <w:t xml:space="preserve">, </w:t>
            </w:r>
            <w:r w:rsidR="00D0415D">
              <w:rPr>
                <w:b/>
                <w:bCs/>
                <w:sz w:val="26"/>
                <w:szCs w:val="26"/>
              </w:rPr>
              <w:t>REMOVING</w:t>
            </w:r>
            <w:r w:rsidR="00B0471C">
              <w:rPr>
                <w:b/>
                <w:bCs/>
                <w:sz w:val="26"/>
                <w:szCs w:val="26"/>
              </w:rPr>
              <w:t>, AND REPLACING</w:t>
            </w:r>
            <w:r w:rsidR="00D0415D">
              <w:rPr>
                <w:b/>
                <w:bCs/>
                <w:sz w:val="26"/>
                <w:szCs w:val="26"/>
              </w:rPr>
              <w:t xml:space="preserve"> </w:t>
            </w:r>
            <w:r w:rsidR="00956334">
              <w:rPr>
                <w:b/>
                <w:bCs/>
                <w:sz w:val="26"/>
                <w:szCs w:val="26"/>
              </w:rPr>
              <w:t xml:space="preserve">COMMUNICATIONS </w:t>
            </w:r>
            <w:r w:rsidR="00D0415D">
              <w:rPr>
                <w:b/>
                <w:bCs/>
                <w:sz w:val="26"/>
                <w:szCs w:val="26"/>
              </w:rPr>
              <w:t xml:space="preserve">EQUIPMENT AND SERVICES </w:t>
            </w:r>
            <w:r w:rsidR="00956334">
              <w:rPr>
                <w:b/>
                <w:bCs/>
                <w:sz w:val="26"/>
                <w:szCs w:val="26"/>
              </w:rPr>
              <w:t>POSING</w:t>
            </w:r>
            <w:r w:rsidR="00D0415D">
              <w:rPr>
                <w:b/>
                <w:bCs/>
                <w:sz w:val="26"/>
                <w:szCs w:val="26"/>
              </w:rPr>
              <w:t xml:space="preserve"> A THREAT TO </w:t>
            </w:r>
            <w:r w:rsidR="009566AD">
              <w:rPr>
                <w:b/>
                <w:bCs/>
                <w:sz w:val="26"/>
                <w:szCs w:val="26"/>
              </w:rPr>
              <w:t xml:space="preserve">U.S. </w:t>
            </w:r>
            <w:r w:rsidR="00B0471C">
              <w:rPr>
                <w:b/>
                <w:bCs/>
                <w:sz w:val="26"/>
                <w:szCs w:val="26"/>
              </w:rPr>
              <w:t xml:space="preserve">NATIONAL SECURITY </w:t>
            </w:r>
          </w:p>
          <w:p w:rsidR="00D42F37" w:rsidP="00D42F37" w14:paraId="5ABE40ED" w14:textId="6349E67A">
            <w:pPr>
              <w:spacing w:before="12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Establishes Program to Fund Replacement of </w:t>
            </w:r>
            <w:r w:rsidR="0043654F">
              <w:rPr>
                <w:b/>
                <w:bCs/>
                <w:i/>
                <w:iCs/>
              </w:rPr>
              <w:t xml:space="preserve">Insecure </w:t>
            </w:r>
            <w:r>
              <w:rPr>
                <w:b/>
                <w:bCs/>
                <w:i/>
                <w:iCs/>
              </w:rPr>
              <w:t>Equipment and</w:t>
            </w:r>
            <w:r w:rsidR="00804225">
              <w:rPr>
                <w:b/>
                <w:bCs/>
                <w:i/>
                <w:iCs/>
              </w:rPr>
              <w:t xml:space="preserve"> Services</w:t>
            </w:r>
          </w:p>
          <w:p w:rsidR="00027A2F" w:rsidP="00497495" w14:paraId="4FCDBC5B" w14:textId="77777777">
            <w:pPr>
              <w:rPr>
                <w:sz w:val="22"/>
                <w:szCs w:val="22"/>
              </w:rPr>
            </w:pPr>
          </w:p>
          <w:p w:rsidR="00552DA8" w:rsidP="00CD1FE2" w14:paraId="29DEED97" w14:textId="251BBDB9">
            <w:pPr>
              <w:rPr>
                <w:sz w:val="22"/>
                <w:szCs w:val="22"/>
              </w:rPr>
            </w:pPr>
            <w:r w:rsidRPr="00C56354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December 10</w:t>
            </w:r>
            <w:r w:rsidRPr="00C56354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>—</w:t>
            </w:r>
            <w:r w:rsidR="0049452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Federal Communications Commissi</w:t>
            </w:r>
            <w:r w:rsidR="00494520">
              <w:rPr>
                <w:sz w:val="22"/>
                <w:szCs w:val="22"/>
              </w:rPr>
              <w:t xml:space="preserve">on </w:t>
            </w:r>
            <w:r w:rsidR="006E5995">
              <w:rPr>
                <w:sz w:val="22"/>
                <w:szCs w:val="22"/>
              </w:rPr>
              <w:t xml:space="preserve">today </w:t>
            </w:r>
            <w:r w:rsidR="00017884">
              <w:rPr>
                <w:sz w:val="22"/>
                <w:szCs w:val="22"/>
              </w:rPr>
              <w:t>adopted rules</w:t>
            </w:r>
            <w:r w:rsidR="00494520">
              <w:rPr>
                <w:sz w:val="22"/>
                <w:szCs w:val="22"/>
              </w:rPr>
              <w:t xml:space="preserve"> to implement the Secure and Trusted Communications Networks Act of 2019</w:t>
            </w:r>
            <w:r w:rsidR="00A87A3C">
              <w:rPr>
                <w:sz w:val="22"/>
                <w:szCs w:val="22"/>
              </w:rPr>
              <w:t xml:space="preserve">, further </w:t>
            </w:r>
            <w:r w:rsidR="009B11B9">
              <w:rPr>
                <w:sz w:val="22"/>
                <w:szCs w:val="22"/>
              </w:rPr>
              <w:t xml:space="preserve">protecting </w:t>
            </w:r>
            <w:r w:rsidR="00A87A3C">
              <w:rPr>
                <w:sz w:val="22"/>
                <w:szCs w:val="22"/>
              </w:rPr>
              <w:t xml:space="preserve">the </w:t>
            </w:r>
            <w:r w:rsidR="00B0471C">
              <w:rPr>
                <w:sz w:val="22"/>
                <w:szCs w:val="22"/>
              </w:rPr>
              <w:t xml:space="preserve">security of the United States and the safety </w:t>
            </w:r>
            <w:r w:rsidR="00A87A3C">
              <w:rPr>
                <w:sz w:val="22"/>
                <w:szCs w:val="22"/>
              </w:rPr>
              <w:t xml:space="preserve">of U.S. communications </w:t>
            </w:r>
            <w:r w:rsidR="00B0471C">
              <w:rPr>
                <w:sz w:val="22"/>
                <w:szCs w:val="22"/>
              </w:rPr>
              <w:t>networks</w:t>
            </w:r>
            <w:r w:rsidR="00494520">
              <w:rPr>
                <w:sz w:val="22"/>
                <w:szCs w:val="22"/>
              </w:rPr>
              <w:t xml:space="preserve">.  </w:t>
            </w:r>
          </w:p>
          <w:p w:rsidR="00E352BA" w:rsidP="00CD1FE2" w14:paraId="33134AF0" w14:textId="4993D9D5">
            <w:pPr>
              <w:rPr>
                <w:sz w:val="22"/>
                <w:szCs w:val="22"/>
              </w:rPr>
            </w:pPr>
          </w:p>
          <w:p w:rsidR="00E352BA" w:rsidP="00E352BA" w14:paraId="75F4C494" w14:textId="0CEA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Specifically, the </w:t>
            </w:r>
            <w:r w:rsidRPr="00552DA8">
              <w:rPr>
                <w:sz w:val="22"/>
                <w:szCs w:val="22"/>
              </w:rPr>
              <w:t>Second Report and Order</w:t>
            </w:r>
            <w:r>
              <w:rPr>
                <w:sz w:val="22"/>
                <w:szCs w:val="22"/>
              </w:rPr>
              <w:t xml:space="preserve"> approved today</w:t>
            </w:r>
            <w:r w:rsidRPr="00552D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requires the Commission to publish a list of communications equipment and services determined to be a risk to national security </w:t>
            </w:r>
            <w:r w:rsidR="00A216B8">
              <w:rPr>
                <w:sz w:val="22"/>
                <w:szCs w:val="22"/>
              </w:rPr>
              <w:t xml:space="preserve">that has been </w:t>
            </w:r>
            <w:r>
              <w:rPr>
                <w:sz w:val="22"/>
                <w:szCs w:val="22"/>
              </w:rPr>
              <w:t xml:space="preserve">identified either by (1) executive branch interagency bodies with appropriate national security experience; (2) the Department of Commerce pursuant to its authority under Executive Order 13873; (3) Congress in the </w:t>
            </w:r>
            <w:r w:rsidRPr="00CD1FE2">
              <w:rPr>
                <w:sz w:val="22"/>
                <w:szCs w:val="22"/>
              </w:rPr>
              <w:t>John S. McCain National Defense Authorization</w:t>
            </w:r>
            <w:r>
              <w:rPr>
                <w:sz w:val="22"/>
                <w:szCs w:val="22"/>
              </w:rPr>
              <w:t xml:space="preserve"> </w:t>
            </w:r>
            <w:r w:rsidRPr="00CD1FE2">
              <w:rPr>
                <w:sz w:val="22"/>
                <w:szCs w:val="22"/>
              </w:rPr>
              <w:t>Act for Fiscal Year 2019</w:t>
            </w:r>
            <w:r>
              <w:rPr>
                <w:sz w:val="22"/>
                <w:szCs w:val="22"/>
              </w:rPr>
              <w:t xml:space="preserve">, or (4) U.S. national security agencies.  </w:t>
            </w:r>
            <w:r w:rsidRPr="009566AD" w:rsidR="00586D3A">
              <w:rPr>
                <w:sz w:val="22"/>
                <w:szCs w:val="22"/>
              </w:rPr>
              <w:t xml:space="preserve">Once Congress appropriates funding, </w:t>
            </w:r>
            <w:r w:rsidR="009566AD">
              <w:rPr>
                <w:sz w:val="22"/>
                <w:szCs w:val="22"/>
              </w:rPr>
              <w:t>e</w:t>
            </w:r>
            <w:r w:rsidRPr="009566AD">
              <w:rPr>
                <w:sz w:val="22"/>
                <w:szCs w:val="22"/>
              </w:rPr>
              <w:t>ligible</w:t>
            </w:r>
            <w:r>
              <w:rPr>
                <w:sz w:val="22"/>
                <w:szCs w:val="22"/>
              </w:rPr>
              <w:t xml:space="preserve"> </w:t>
            </w:r>
            <w:r w:rsidR="009566A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elecommunications </w:t>
            </w:r>
            <w:r w:rsidR="009566A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arriers</w:t>
            </w:r>
            <w:r w:rsidRPr="009B7902" w:rsidR="009B7902">
              <w:rPr>
                <w:sz w:val="22"/>
                <w:szCs w:val="22"/>
              </w:rPr>
              <w:t xml:space="preserve"> that receive universal service funding to provide service in remote areas of the country</w:t>
            </w:r>
            <w:r w:rsidR="00A216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must remove such equipment or services from their networks</w:t>
            </w:r>
            <w:r w:rsidR="000A11BA">
              <w:rPr>
                <w:sz w:val="22"/>
                <w:szCs w:val="22"/>
              </w:rPr>
              <w:t xml:space="preserve"> and properly dispose of it</w:t>
            </w:r>
            <w:r>
              <w:rPr>
                <w:sz w:val="22"/>
                <w:szCs w:val="22"/>
              </w:rPr>
              <w:t>.</w:t>
            </w:r>
            <w:r w:rsidR="00586D3A">
              <w:rPr>
                <w:sz w:val="22"/>
                <w:szCs w:val="22"/>
              </w:rPr>
              <w:t xml:space="preserve">  </w:t>
            </w:r>
          </w:p>
          <w:p w:rsidR="00BC4974" w:rsidP="00F829CC" w14:paraId="5F5F3151" w14:textId="77777777">
            <w:pPr>
              <w:rPr>
                <w:sz w:val="22"/>
                <w:szCs w:val="22"/>
              </w:rPr>
            </w:pPr>
          </w:p>
          <w:p w:rsidR="00BC4974" w:rsidP="003B0676" w14:paraId="621EEA4E" w14:textId="5BD7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829CC">
              <w:rPr>
                <w:sz w:val="22"/>
                <w:szCs w:val="22"/>
              </w:rPr>
              <w:t>Order</w:t>
            </w:r>
            <w:r>
              <w:rPr>
                <w:sz w:val="22"/>
                <w:szCs w:val="22"/>
              </w:rPr>
              <w:t xml:space="preserve"> also</w:t>
            </w:r>
            <w:r w:rsidR="00F829CC">
              <w:rPr>
                <w:sz w:val="22"/>
                <w:szCs w:val="22"/>
              </w:rPr>
              <w:t xml:space="preserve"> establishes </w:t>
            </w:r>
            <w:r w:rsidR="00B7634C">
              <w:rPr>
                <w:sz w:val="22"/>
                <w:szCs w:val="22"/>
              </w:rPr>
              <w:t xml:space="preserve">and adopts rules for </w:t>
            </w:r>
            <w:r w:rsidR="00F829CC">
              <w:rPr>
                <w:sz w:val="22"/>
                <w:szCs w:val="22"/>
              </w:rPr>
              <w:t>the Secure and Trusted Communications Network</w:t>
            </w:r>
            <w:r w:rsidR="00030482">
              <w:rPr>
                <w:sz w:val="22"/>
                <w:szCs w:val="22"/>
              </w:rPr>
              <w:t>s</w:t>
            </w:r>
            <w:r w:rsidR="00F829CC">
              <w:rPr>
                <w:sz w:val="22"/>
                <w:szCs w:val="22"/>
              </w:rPr>
              <w:t xml:space="preserve"> Reimbursement Program, which will provide funds to </w:t>
            </w:r>
            <w:r w:rsidR="006E5995">
              <w:rPr>
                <w:sz w:val="22"/>
                <w:szCs w:val="22"/>
              </w:rPr>
              <w:t xml:space="preserve">smaller </w:t>
            </w:r>
            <w:r w:rsidR="00CD1FE2">
              <w:rPr>
                <w:sz w:val="22"/>
                <w:szCs w:val="22"/>
              </w:rPr>
              <w:t xml:space="preserve">providers of advanced communications services </w:t>
            </w:r>
            <w:r w:rsidR="006E5995">
              <w:rPr>
                <w:sz w:val="22"/>
                <w:szCs w:val="22"/>
              </w:rPr>
              <w:t xml:space="preserve">for the </w:t>
            </w:r>
            <w:r w:rsidR="00F829CC">
              <w:rPr>
                <w:sz w:val="22"/>
                <w:szCs w:val="22"/>
              </w:rPr>
              <w:t>remov</w:t>
            </w:r>
            <w:r w:rsidR="006E5995">
              <w:rPr>
                <w:sz w:val="22"/>
                <w:szCs w:val="22"/>
              </w:rPr>
              <w:t>al</w:t>
            </w:r>
            <w:r w:rsidR="00F829CC">
              <w:rPr>
                <w:sz w:val="22"/>
                <w:szCs w:val="22"/>
              </w:rPr>
              <w:t xml:space="preserve"> and replace</w:t>
            </w:r>
            <w:r w:rsidR="006E5995">
              <w:rPr>
                <w:sz w:val="22"/>
                <w:szCs w:val="22"/>
              </w:rPr>
              <w:t>ment of</w:t>
            </w:r>
            <w:r w:rsidR="00F829CC">
              <w:rPr>
                <w:sz w:val="22"/>
                <w:szCs w:val="22"/>
              </w:rPr>
              <w:t xml:space="preserve"> communications equipment and services</w:t>
            </w:r>
            <w:r w:rsidR="004667C6">
              <w:rPr>
                <w:sz w:val="22"/>
                <w:szCs w:val="22"/>
              </w:rPr>
              <w:t xml:space="preserve"> on the list published by the Commission</w:t>
            </w:r>
            <w:r w:rsidR="00F829CC">
              <w:rPr>
                <w:sz w:val="22"/>
                <w:szCs w:val="22"/>
              </w:rPr>
              <w:t xml:space="preserve">, conditioned on </w:t>
            </w:r>
            <w:r w:rsidR="00487BC8">
              <w:rPr>
                <w:sz w:val="22"/>
                <w:szCs w:val="22"/>
              </w:rPr>
              <w:t xml:space="preserve">the </w:t>
            </w:r>
            <w:r w:rsidR="00F829CC">
              <w:rPr>
                <w:sz w:val="22"/>
                <w:szCs w:val="22"/>
              </w:rPr>
              <w:t xml:space="preserve">appropriation of funds by Congress.  </w:t>
            </w:r>
            <w:r w:rsidR="006E5995">
              <w:rPr>
                <w:sz w:val="22"/>
                <w:szCs w:val="22"/>
              </w:rPr>
              <w:t>Commission staff have estimated the program will require at least $1.6 billion to reimburse eligible providers, based on an</w:t>
            </w:r>
            <w:r w:rsidR="00E352BA">
              <w:rPr>
                <w:sz w:val="22"/>
                <w:szCs w:val="22"/>
              </w:rPr>
              <w:t xml:space="preserve"> </w:t>
            </w:r>
            <w:hyperlink r:id="rId5" w:history="1">
              <w:r w:rsidRPr="0086054E" w:rsidR="00E352BA">
                <w:rPr>
                  <w:rStyle w:val="Hyperlink"/>
                  <w:sz w:val="22"/>
                  <w:szCs w:val="22"/>
                </w:rPr>
                <w:t>analysis</w:t>
              </w:r>
            </w:hyperlink>
            <w:r w:rsidR="00E352BA">
              <w:rPr>
                <w:sz w:val="22"/>
                <w:szCs w:val="22"/>
              </w:rPr>
              <w:t xml:space="preserve"> </w:t>
            </w:r>
            <w:r w:rsidR="006E5995">
              <w:rPr>
                <w:sz w:val="22"/>
                <w:szCs w:val="22"/>
              </w:rPr>
              <w:t>conducted by t</w:t>
            </w:r>
            <w:r w:rsidRPr="2F6DBBDB" w:rsidR="006E5995">
              <w:rPr>
                <w:sz w:val="22"/>
                <w:szCs w:val="22"/>
              </w:rPr>
              <w:t>he Commission’s Wireline Competition Bureau and Office of Economics</w:t>
            </w:r>
            <w:r w:rsidR="00F26318">
              <w:rPr>
                <w:sz w:val="22"/>
                <w:szCs w:val="22"/>
              </w:rPr>
              <w:t xml:space="preserve"> and Analytics</w:t>
            </w:r>
            <w:r w:rsidR="006E5995">
              <w:rPr>
                <w:sz w:val="22"/>
                <w:szCs w:val="22"/>
              </w:rPr>
              <w:t>.</w:t>
            </w:r>
            <w:r w:rsidRPr="2F6DBBDB" w:rsidR="006E5995">
              <w:rPr>
                <w:sz w:val="22"/>
                <w:szCs w:val="22"/>
              </w:rPr>
              <w:t xml:space="preserve"> </w:t>
            </w:r>
            <w:r w:rsidR="006E5995">
              <w:rPr>
                <w:sz w:val="22"/>
                <w:szCs w:val="22"/>
              </w:rPr>
              <w:t xml:space="preserve"> </w:t>
            </w:r>
          </w:p>
          <w:p w:rsidR="00BC4974" w:rsidP="003B0676" w14:paraId="0DCBA621" w14:textId="77777777">
            <w:pPr>
              <w:rPr>
                <w:sz w:val="22"/>
                <w:szCs w:val="22"/>
              </w:rPr>
            </w:pPr>
          </w:p>
          <w:p w:rsidR="00F829CC" w:rsidP="003B0676" w14:paraId="527C985C" w14:textId="66BBC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Order </w:t>
            </w:r>
            <w:r w:rsidR="002D4BB7">
              <w:rPr>
                <w:sz w:val="22"/>
                <w:szCs w:val="22"/>
              </w:rPr>
              <w:t xml:space="preserve">further </w:t>
            </w:r>
            <w:r>
              <w:rPr>
                <w:sz w:val="22"/>
                <w:szCs w:val="22"/>
              </w:rPr>
              <w:t>requires a</w:t>
            </w:r>
            <w:r w:rsidR="006E5995">
              <w:rPr>
                <w:sz w:val="22"/>
                <w:szCs w:val="22"/>
              </w:rPr>
              <w:t>ll providers of advanced communications services</w:t>
            </w:r>
            <w:r>
              <w:rPr>
                <w:sz w:val="22"/>
                <w:szCs w:val="22"/>
              </w:rPr>
              <w:t xml:space="preserve"> to r</w:t>
            </w:r>
            <w:r w:rsidR="006E5995">
              <w:rPr>
                <w:sz w:val="22"/>
                <w:szCs w:val="22"/>
              </w:rPr>
              <w:t xml:space="preserve">eport whether their networks </w:t>
            </w:r>
            <w:r w:rsidR="00836DB9">
              <w:rPr>
                <w:sz w:val="22"/>
                <w:szCs w:val="22"/>
              </w:rPr>
              <w:t xml:space="preserve">include </w:t>
            </w:r>
            <w:r w:rsidR="006E5995">
              <w:rPr>
                <w:sz w:val="22"/>
                <w:szCs w:val="22"/>
              </w:rPr>
              <w:t xml:space="preserve">any covered communications equipment or services acquired after August 14, 2018.  </w:t>
            </w:r>
            <w:r>
              <w:rPr>
                <w:sz w:val="22"/>
                <w:szCs w:val="22"/>
              </w:rPr>
              <w:t>Finally, t</w:t>
            </w:r>
            <w:r w:rsidR="006E5995">
              <w:rPr>
                <w:sz w:val="22"/>
                <w:szCs w:val="22"/>
              </w:rPr>
              <w:t xml:space="preserve">he Order </w:t>
            </w:r>
            <w:r>
              <w:rPr>
                <w:sz w:val="22"/>
                <w:szCs w:val="22"/>
              </w:rPr>
              <w:t>mandate</w:t>
            </w:r>
            <w:r w:rsidR="006E5995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strict reporting requirements to ensure </w:t>
            </w:r>
            <w:r w:rsidR="00836DB9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the Commission is kept informed about the ongoing presence of insecure equipment in </w:t>
            </w:r>
            <w:r w:rsidR="00030482">
              <w:rPr>
                <w:sz w:val="22"/>
                <w:szCs w:val="22"/>
              </w:rPr>
              <w:t xml:space="preserve">U.S. </w:t>
            </w:r>
            <w:r>
              <w:rPr>
                <w:sz w:val="22"/>
                <w:szCs w:val="22"/>
              </w:rPr>
              <w:t>communications networks.</w:t>
            </w:r>
            <w:r w:rsidR="002617C6">
              <w:rPr>
                <w:sz w:val="22"/>
                <w:szCs w:val="22"/>
              </w:rPr>
              <w:t xml:space="preserve">  </w:t>
            </w:r>
            <w:r w:rsidR="00BC4974">
              <w:rPr>
                <w:sz w:val="22"/>
                <w:szCs w:val="22"/>
              </w:rPr>
              <w:t xml:space="preserve"> </w:t>
            </w:r>
            <w:r w:rsidR="002617C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</w:p>
          <w:p w:rsidR="003B0676" w:rsidP="00B23633" w14:paraId="3AD35F73" w14:textId="77777777">
            <w:pPr>
              <w:rPr>
                <w:sz w:val="22"/>
                <w:szCs w:val="22"/>
              </w:rPr>
            </w:pPr>
          </w:p>
          <w:p w:rsidR="00B23633" w:rsidP="00B23633" w14:paraId="5A018835" w14:textId="2F14F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Order </w:t>
            </w:r>
            <w:r w:rsidR="00714573">
              <w:rPr>
                <w:sz w:val="22"/>
                <w:szCs w:val="22"/>
              </w:rPr>
              <w:t>build</w:t>
            </w:r>
            <w:r w:rsidR="003B0676">
              <w:rPr>
                <w:sz w:val="22"/>
                <w:szCs w:val="22"/>
              </w:rPr>
              <w:t>s</w:t>
            </w:r>
            <w:r w:rsidR="00714573">
              <w:rPr>
                <w:sz w:val="22"/>
                <w:szCs w:val="22"/>
              </w:rPr>
              <w:t xml:space="preserve"> on a series of </w:t>
            </w:r>
            <w:r w:rsidR="00F26318">
              <w:rPr>
                <w:sz w:val="22"/>
                <w:szCs w:val="22"/>
              </w:rPr>
              <w:t xml:space="preserve">recent </w:t>
            </w:r>
            <w:r w:rsidR="00714573">
              <w:rPr>
                <w:sz w:val="22"/>
                <w:szCs w:val="22"/>
              </w:rPr>
              <w:t xml:space="preserve">actions the Commission </w:t>
            </w:r>
            <w:r w:rsidR="002C6726">
              <w:rPr>
                <w:sz w:val="22"/>
                <w:szCs w:val="22"/>
              </w:rPr>
              <w:t xml:space="preserve">has taken to protect </w:t>
            </w:r>
            <w:r w:rsidR="00645EFB">
              <w:rPr>
                <w:sz w:val="22"/>
                <w:szCs w:val="22"/>
              </w:rPr>
              <w:t xml:space="preserve">U.S. </w:t>
            </w:r>
            <w:r w:rsidR="002C6726">
              <w:rPr>
                <w:sz w:val="22"/>
                <w:szCs w:val="22"/>
              </w:rPr>
              <w:t xml:space="preserve">communications network supply chains, including </w:t>
            </w:r>
            <w:r w:rsidR="00433D0A">
              <w:rPr>
                <w:sz w:val="22"/>
                <w:szCs w:val="22"/>
              </w:rPr>
              <w:t xml:space="preserve">the </w:t>
            </w:r>
            <w:hyperlink r:id="rId6" w:history="1">
              <w:r w:rsidRPr="00291121" w:rsidR="00433D0A">
                <w:rPr>
                  <w:rStyle w:val="Hyperlink"/>
                  <w:sz w:val="22"/>
                  <w:szCs w:val="22"/>
                </w:rPr>
                <w:t>November 2019 ban</w:t>
              </w:r>
            </w:hyperlink>
            <w:r w:rsidR="00433D0A">
              <w:rPr>
                <w:sz w:val="22"/>
                <w:szCs w:val="22"/>
              </w:rPr>
              <w:t xml:space="preserve"> on</w:t>
            </w:r>
            <w:r w:rsidR="002C6726">
              <w:rPr>
                <w:sz w:val="22"/>
                <w:szCs w:val="22"/>
              </w:rPr>
              <w:t xml:space="preserve"> use of </w:t>
            </w:r>
            <w:r>
              <w:rPr>
                <w:sz w:val="22"/>
                <w:szCs w:val="22"/>
              </w:rPr>
              <w:t xml:space="preserve">the $8.3 billion </w:t>
            </w:r>
            <w:r w:rsidR="002C6726">
              <w:rPr>
                <w:sz w:val="22"/>
                <w:szCs w:val="22"/>
              </w:rPr>
              <w:t>Universal Service Fund to purchase any</w:t>
            </w:r>
            <w:r w:rsidRPr="00714573" w:rsidR="00714573">
              <w:rPr>
                <w:sz w:val="22"/>
                <w:szCs w:val="22"/>
              </w:rPr>
              <w:t xml:space="preserve"> equipment </w:t>
            </w:r>
            <w:r w:rsidR="002C6726">
              <w:rPr>
                <w:sz w:val="22"/>
                <w:szCs w:val="22"/>
              </w:rPr>
              <w:t xml:space="preserve">or </w:t>
            </w:r>
            <w:r w:rsidRPr="00714573" w:rsidR="00714573">
              <w:rPr>
                <w:sz w:val="22"/>
                <w:szCs w:val="22"/>
              </w:rPr>
              <w:t xml:space="preserve">services </w:t>
            </w:r>
            <w:r w:rsidR="00F26318">
              <w:rPr>
                <w:sz w:val="22"/>
                <w:szCs w:val="22"/>
              </w:rPr>
              <w:t xml:space="preserve">produced </w:t>
            </w:r>
            <w:r>
              <w:rPr>
                <w:sz w:val="22"/>
                <w:szCs w:val="22"/>
              </w:rPr>
              <w:t xml:space="preserve">by </w:t>
            </w:r>
            <w:r w:rsidRPr="00714573" w:rsidR="00714573">
              <w:rPr>
                <w:sz w:val="22"/>
                <w:szCs w:val="22"/>
              </w:rPr>
              <w:t>companies that</w:t>
            </w:r>
            <w:r w:rsidR="00714573">
              <w:rPr>
                <w:sz w:val="22"/>
                <w:szCs w:val="22"/>
              </w:rPr>
              <w:t xml:space="preserve"> </w:t>
            </w:r>
            <w:r w:rsidRPr="00714573" w:rsidR="00714573">
              <w:rPr>
                <w:sz w:val="22"/>
                <w:szCs w:val="22"/>
              </w:rPr>
              <w:t>pose a national security threat</w:t>
            </w:r>
            <w:r w:rsidR="00714573">
              <w:rPr>
                <w:sz w:val="22"/>
                <w:szCs w:val="22"/>
              </w:rPr>
              <w:t xml:space="preserve">.  </w:t>
            </w:r>
            <w:r w:rsidR="00027E44">
              <w:rPr>
                <w:sz w:val="22"/>
                <w:szCs w:val="22"/>
              </w:rPr>
              <w:t xml:space="preserve">In June 2020, </w:t>
            </w:r>
            <w:r w:rsidR="009652D6">
              <w:rPr>
                <w:sz w:val="22"/>
                <w:szCs w:val="22"/>
              </w:rPr>
              <w:t>t</w:t>
            </w:r>
            <w:r w:rsidR="00027E44">
              <w:rPr>
                <w:sz w:val="22"/>
                <w:szCs w:val="22"/>
              </w:rPr>
              <w:t>he Commission’s P</w:t>
            </w:r>
            <w:r w:rsidRPr="00B23633" w:rsidR="00027E44">
              <w:rPr>
                <w:sz w:val="22"/>
                <w:szCs w:val="22"/>
              </w:rPr>
              <w:t xml:space="preserve">ublic Safety and </w:t>
            </w:r>
            <w:r w:rsidRPr="00B23633" w:rsidR="00027E44">
              <w:rPr>
                <w:sz w:val="22"/>
                <w:szCs w:val="22"/>
              </w:rPr>
              <w:t xml:space="preserve">Homeland Security Bureau </w:t>
            </w:r>
            <w:hyperlink r:id="rId7" w:history="1">
              <w:r w:rsidRPr="00027E44" w:rsidR="00027E44">
                <w:rPr>
                  <w:rStyle w:val="Hyperlink"/>
                  <w:sz w:val="22"/>
                  <w:szCs w:val="22"/>
                </w:rPr>
                <w:t>formally designated</w:t>
              </w:r>
            </w:hyperlink>
            <w:r w:rsidRPr="00B23633" w:rsidR="00027E44">
              <w:rPr>
                <w:sz w:val="22"/>
                <w:szCs w:val="22"/>
              </w:rPr>
              <w:t xml:space="preserve"> Huawei and ZTE, as well as</w:t>
            </w:r>
            <w:r w:rsidR="00027E44">
              <w:rPr>
                <w:sz w:val="22"/>
                <w:szCs w:val="22"/>
              </w:rPr>
              <w:t xml:space="preserve"> </w:t>
            </w:r>
            <w:r w:rsidRPr="00B23633" w:rsidR="00027E44">
              <w:rPr>
                <w:sz w:val="22"/>
                <w:szCs w:val="22"/>
              </w:rPr>
              <w:t>their parents, affiliates, and subsidiarie</w:t>
            </w:r>
            <w:r w:rsidR="00F26318">
              <w:rPr>
                <w:sz w:val="22"/>
                <w:szCs w:val="22"/>
              </w:rPr>
              <w:t xml:space="preserve">s, </w:t>
            </w:r>
            <w:r w:rsidRPr="00B23633" w:rsidR="00027E44">
              <w:rPr>
                <w:sz w:val="22"/>
                <w:szCs w:val="22"/>
              </w:rPr>
              <w:t>as covered companies for purposes of the agency’s</w:t>
            </w:r>
            <w:r w:rsidR="00027E44">
              <w:rPr>
                <w:sz w:val="22"/>
                <w:szCs w:val="22"/>
              </w:rPr>
              <w:t xml:space="preserve"> </w:t>
            </w:r>
            <w:r w:rsidRPr="00B23633" w:rsidR="00027E44">
              <w:rPr>
                <w:sz w:val="22"/>
                <w:szCs w:val="22"/>
              </w:rPr>
              <w:t>ban</w:t>
            </w:r>
            <w:r w:rsidR="00027E44">
              <w:rPr>
                <w:sz w:val="22"/>
                <w:szCs w:val="22"/>
              </w:rPr>
              <w:t xml:space="preserve">.  </w:t>
            </w:r>
            <w:r w:rsidR="00BC4974">
              <w:rPr>
                <w:sz w:val="22"/>
                <w:szCs w:val="22"/>
              </w:rPr>
              <w:t xml:space="preserve"> </w:t>
            </w:r>
          </w:p>
          <w:p w:rsidR="003B0676" w:rsidP="00B23633" w14:paraId="07D33365" w14:textId="77777777">
            <w:pPr>
              <w:rPr>
                <w:sz w:val="22"/>
                <w:szCs w:val="22"/>
              </w:rPr>
            </w:pPr>
          </w:p>
          <w:p w:rsidR="006E5995" w:rsidP="006E5995" w14:paraId="3EA1B466" w14:textId="5226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also has taken action to block </w:t>
            </w:r>
            <w:r w:rsidR="00FD5B70">
              <w:rPr>
                <w:sz w:val="22"/>
                <w:szCs w:val="22"/>
              </w:rPr>
              <w:t xml:space="preserve">threats </w:t>
            </w:r>
            <w:r>
              <w:rPr>
                <w:sz w:val="22"/>
                <w:szCs w:val="22"/>
              </w:rPr>
              <w:t xml:space="preserve">to </w:t>
            </w:r>
            <w:r w:rsidR="00291121">
              <w:rPr>
                <w:sz w:val="22"/>
                <w:szCs w:val="22"/>
              </w:rPr>
              <w:t xml:space="preserve">U.S. </w:t>
            </w:r>
            <w:r>
              <w:rPr>
                <w:sz w:val="22"/>
                <w:szCs w:val="22"/>
              </w:rPr>
              <w:t xml:space="preserve">communications networks through </w:t>
            </w:r>
            <w:r w:rsidR="00FD5B70">
              <w:rPr>
                <w:sz w:val="22"/>
                <w:szCs w:val="22"/>
              </w:rPr>
              <w:t xml:space="preserve">the denial of authority </w:t>
            </w:r>
            <w:r w:rsidR="00EE6487">
              <w:rPr>
                <w:sz w:val="22"/>
                <w:szCs w:val="22"/>
              </w:rPr>
              <w:t>to provide services in the United States</w:t>
            </w:r>
            <w:r>
              <w:rPr>
                <w:sz w:val="22"/>
                <w:szCs w:val="22"/>
              </w:rPr>
              <w:t xml:space="preserve">, </w:t>
            </w:r>
            <w:hyperlink r:id="rId8" w:history="1">
              <w:r w:rsidRPr="0089748A">
                <w:rPr>
                  <w:rStyle w:val="Hyperlink"/>
                  <w:sz w:val="22"/>
                  <w:szCs w:val="22"/>
                </w:rPr>
                <w:t>declining in 2019</w:t>
              </w:r>
            </w:hyperlink>
            <w:r>
              <w:rPr>
                <w:sz w:val="22"/>
                <w:szCs w:val="22"/>
              </w:rPr>
              <w:t xml:space="preserve"> to grant China Mobile’s application</w:t>
            </w:r>
            <w:r w:rsidR="007E72AB">
              <w:rPr>
                <w:sz w:val="22"/>
                <w:szCs w:val="22"/>
              </w:rPr>
              <w:t xml:space="preserve"> for international </w:t>
            </w:r>
            <w:r w:rsidR="001257B3">
              <w:rPr>
                <w:sz w:val="22"/>
                <w:szCs w:val="22"/>
              </w:rPr>
              <w:t xml:space="preserve">Section </w:t>
            </w:r>
            <w:r w:rsidR="007E72AB">
              <w:rPr>
                <w:sz w:val="22"/>
                <w:szCs w:val="22"/>
              </w:rPr>
              <w:t>214 authority</w:t>
            </w:r>
            <w:r>
              <w:rPr>
                <w:sz w:val="22"/>
                <w:szCs w:val="22"/>
              </w:rPr>
              <w:t xml:space="preserve">. </w:t>
            </w:r>
            <w:r w:rsidR="0089748A">
              <w:rPr>
                <w:sz w:val="22"/>
                <w:szCs w:val="22"/>
              </w:rPr>
              <w:t xml:space="preserve"> </w:t>
            </w:r>
          </w:p>
          <w:p w:rsidR="00EB5121" w:rsidP="002E165B" w14:paraId="47313BE1" w14:textId="47ED1560">
            <w:pPr>
              <w:rPr>
                <w:sz w:val="22"/>
                <w:szCs w:val="22"/>
              </w:rPr>
            </w:pPr>
          </w:p>
          <w:p w:rsidR="00C16933" w:rsidRPr="0001544D" w:rsidP="00C16933" w14:paraId="682B49B3" w14:textId="4CD58C06">
            <w:pPr>
              <w:rPr>
                <w:sz w:val="22"/>
                <w:szCs w:val="22"/>
              </w:rPr>
            </w:pPr>
            <w:r w:rsidRPr="00C16933">
              <w:rPr>
                <w:sz w:val="22"/>
                <w:szCs w:val="22"/>
              </w:rPr>
              <w:t xml:space="preserve">Action by the </w:t>
            </w:r>
            <w:r w:rsidRPr="0001544D">
              <w:rPr>
                <w:sz w:val="22"/>
                <w:szCs w:val="22"/>
              </w:rPr>
              <w:t>Commission December 10, 2020 by Report and Order (FCC 20-176).  Chairman Pai, Commissioners O’Rielly, Carr, Rosenworcel, and Starks approving</w:t>
            </w:r>
            <w:r w:rsidRPr="0001544D" w:rsidR="003A5510">
              <w:rPr>
                <w:sz w:val="22"/>
                <w:szCs w:val="22"/>
              </w:rPr>
              <w:t xml:space="preserve"> and </w:t>
            </w:r>
            <w:r w:rsidRPr="0001544D">
              <w:rPr>
                <w:sz w:val="22"/>
                <w:szCs w:val="22"/>
              </w:rPr>
              <w:t>issuing separate statements.</w:t>
            </w:r>
          </w:p>
          <w:p w:rsidR="00C16933" w:rsidRPr="0001544D" w:rsidP="00C16933" w14:paraId="5FB7583A" w14:textId="77777777">
            <w:pPr>
              <w:rPr>
                <w:sz w:val="22"/>
                <w:szCs w:val="22"/>
              </w:rPr>
            </w:pPr>
          </w:p>
          <w:p w:rsidR="00C16933" w:rsidP="00C16933" w14:paraId="6D59E581" w14:textId="17C0A11C">
            <w:pPr>
              <w:rPr>
                <w:sz w:val="22"/>
                <w:szCs w:val="22"/>
              </w:rPr>
            </w:pPr>
            <w:r w:rsidRPr="0001544D">
              <w:rPr>
                <w:sz w:val="22"/>
                <w:szCs w:val="22"/>
              </w:rPr>
              <w:t>WC Docket No. 18-89</w:t>
            </w:r>
          </w:p>
          <w:p w:rsidR="00C16933" w:rsidRPr="008071F2" w:rsidP="002E165B" w14:paraId="5537C15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6D30AC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69420F" w:rsidP="00850E26" w14:paraId="20C18636" w14:textId="064CB5F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030EF3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 w:rsidR="00030EF3">
              <w:rPr>
                <w:b/>
                <w:sz w:val="17"/>
                <w:szCs w:val="17"/>
              </w:rPr>
              <w:t>www.fcc.gov</w:t>
            </w:r>
            <w:r w:rsidRPr="00EE0E90" w:rsidR="00030EF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30EF3" w:rsidRPr="00EE0E90" w:rsidP="00850E26" w14:paraId="1CCD8C0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B467A1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6D06BB5" w14:textId="77777777" w:rsidTr="2F6DBBD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645EFB" w:rsidP="006A7D75" w14:paraId="520BB94C" w14:textId="77777777">
            <w:pPr>
              <w:jc w:val="center"/>
              <w:rPr>
                <w:noProof/>
              </w:rPr>
            </w:pPr>
          </w:p>
        </w:tc>
      </w:tr>
    </w:tbl>
    <w:p w:rsidR="00D24C3D" w:rsidRPr="007528A5" w14:paraId="24C0C317" w14:textId="77777777">
      <w:pPr>
        <w:rPr>
          <w:b/>
          <w:bCs/>
          <w:sz w:val="2"/>
          <w:szCs w:val="2"/>
        </w:rPr>
      </w:pPr>
    </w:p>
    <w:sectPr w:rsidSect="00F8711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6F"/>
    <w:rsid w:val="00001F6C"/>
    <w:rsid w:val="0001544D"/>
    <w:rsid w:val="00017884"/>
    <w:rsid w:val="0002500C"/>
    <w:rsid w:val="00027A2F"/>
    <w:rsid w:val="00027E44"/>
    <w:rsid w:val="00030482"/>
    <w:rsid w:val="00030EF3"/>
    <w:rsid w:val="000311FC"/>
    <w:rsid w:val="00040127"/>
    <w:rsid w:val="00054E12"/>
    <w:rsid w:val="00056821"/>
    <w:rsid w:val="00065E2D"/>
    <w:rsid w:val="000672BC"/>
    <w:rsid w:val="00071BAF"/>
    <w:rsid w:val="00075F24"/>
    <w:rsid w:val="00081232"/>
    <w:rsid w:val="000900CF"/>
    <w:rsid w:val="00091E65"/>
    <w:rsid w:val="000949D0"/>
    <w:rsid w:val="00096D4A"/>
    <w:rsid w:val="000A11BA"/>
    <w:rsid w:val="000A38EA"/>
    <w:rsid w:val="000A766B"/>
    <w:rsid w:val="000B6481"/>
    <w:rsid w:val="000C1E47"/>
    <w:rsid w:val="000C26F3"/>
    <w:rsid w:val="000C3939"/>
    <w:rsid w:val="000C3AF8"/>
    <w:rsid w:val="000E049E"/>
    <w:rsid w:val="000E2EC8"/>
    <w:rsid w:val="0010601C"/>
    <w:rsid w:val="0010799B"/>
    <w:rsid w:val="00117DB2"/>
    <w:rsid w:val="00123ED2"/>
    <w:rsid w:val="001257B3"/>
    <w:rsid w:val="00125BE0"/>
    <w:rsid w:val="00142C13"/>
    <w:rsid w:val="00152776"/>
    <w:rsid w:val="00153222"/>
    <w:rsid w:val="001577D3"/>
    <w:rsid w:val="001733A6"/>
    <w:rsid w:val="00182BDC"/>
    <w:rsid w:val="001865A9"/>
    <w:rsid w:val="00187DB2"/>
    <w:rsid w:val="001A6B93"/>
    <w:rsid w:val="001B20BB"/>
    <w:rsid w:val="001B2AB3"/>
    <w:rsid w:val="001B6937"/>
    <w:rsid w:val="001B69B6"/>
    <w:rsid w:val="001C4370"/>
    <w:rsid w:val="001D3779"/>
    <w:rsid w:val="001E7C67"/>
    <w:rsid w:val="001F0469"/>
    <w:rsid w:val="001F0909"/>
    <w:rsid w:val="001F3271"/>
    <w:rsid w:val="00203A98"/>
    <w:rsid w:val="00206EDD"/>
    <w:rsid w:val="0021247E"/>
    <w:rsid w:val="0021407D"/>
    <w:rsid w:val="002146F6"/>
    <w:rsid w:val="00227BAF"/>
    <w:rsid w:val="00231C32"/>
    <w:rsid w:val="00240345"/>
    <w:rsid w:val="002421F0"/>
    <w:rsid w:val="00242D2B"/>
    <w:rsid w:val="00244C3D"/>
    <w:rsid w:val="00247274"/>
    <w:rsid w:val="00256DB1"/>
    <w:rsid w:val="00261645"/>
    <w:rsid w:val="002617C6"/>
    <w:rsid w:val="00261CFC"/>
    <w:rsid w:val="00262E3C"/>
    <w:rsid w:val="00266966"/>
    <w:rsid w:val="0027569A"/>
    <w:rsid w:val="00285C36"/>
    <w:rsid w:val="00287CE9"/>
    <w:rsid w:val="00291121"/>
    <w:rsid w:val="00294C0C"/>
    <w:rsid w:val="002A0934"/>
    <w:rsid w:val="002B1013"/>
    <w:rsid w:val="002B337C"/>
    <w:rsid w:val="002C32E1"/>
    <w:rsid w:val="002C6726"/>
    <w:rsid w:val="002D03E5"/>
    <w:rsid w:val="002D4BB7"/>
    <w:rsid w:val="002E165B"/>
    <w:rsid w:val="002E3F1D"/>
    <w:rsid w:val="002E4CF4"/>
    <w:rsid w:val="002F2437"/>
    <w:rsid w:val="002F31D0"/>
    <w:rsid w:val="00300359"/>
    <w:rsid w:val="0031773E"/>
    <w:rsid w:val="00333871"/>
    <w:rsid w:val="00340D28"/>
    <w:rsid w:val="00347716"/>
    <w:rsid w:val="003506E1"/>
    <w:rsid w:val="00353C3F"/>
    <w:rsid w:val="003601CE"/>
    <w:rsid w:val="00362209"/>
    <w:rsid w:val="00364114"/>
    <w:rsid w:val="003727E3"/>
    <w:rsid w:val="003748A2"/>
    <w:rsid w:val="00384433"/>
    <w:rsid w:val="00385A93"/>
    <w:rsid w:val="003910F1"/>
    <w:rsid w:val="00393287"/>
    <w:rsid w:val="003966DC"/>
    <w:rsid w:val="0039767F"/>
    <w:rsid w:val="003A5510"/>
    <w:rsid w:val="003B0676"/>
    <w:rsid w:val="003B2617"/>
    <w:rsid w:val="003B4EF7"/>
    <w:rsid w:val="003D6228"/>
    <w:rsid w:val="003D7B99"/>
    <w:rsid w:val="003E42FC"/>
    <w:rsid w:val="003E5991"/>
    <w:rsid w:val="003F2DEB"/>
    <w:rsid w:val="003F344A"/>
    <w:rsid w:val="003F4D07"/>
    <w:rsid w:val="00403FF0"/>
    <w:rsid w:val="0042046D"/>
    <w:rsid w:val="0042116E"/>
    <w:rsid w:val="00425AEF"/>
    <w:rsid w:val="00426518"/>
    <w:rsid w:val="00426790"/>
    <w:rsid w:val="00427B06"/>
    <w:rsid w:val="00433D0A"/>
    <w:rsid w:val="0043654F"/>
    <w:rsid w:val="00441F59"/>
    <w:rsid w:val="00444E07"/>
    <w:rsid w:val="00444FA9"/>
    <w:rsid w:val="004567FA"/>
    <w:rsid w:val="0046111C"/>
    <w:rsid w:val="004667C6"/>
    <w:rsid w:val="00473E9C"/>
    <w:rsid w:val="00480099"/>
    <w:rsid w:val="00483CC7"/>
    <w:rsid w:val="00485571"/>
    <w:rsid w:val="00487BC8"/>
    <w:rsid w:val="004941A2"/>
    <w:rsid w:val="00494520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D5D28"/>
    <w:rsid w:val="004E2BD8"/>
    <w:rsid w:val="004F0F1F"/>
    <w:rsid w:val="004F58F4"/>
    <w:rsid w:val="005022AA"/>
    <w:rsid w:val="00504845"/>
    <w:rsid w:val="0050757F"/>
    <w:rsid w:val="005107EC"/>
    <w:rsid w:val="00516AD2"/>
    <w:rsid w:val="00521A22"/>
    <w:rsid w:val="00531ACC"/>
    <w:rsid w:val="00532B28"/>
    <w:rsid w:val="00543B06"/>
    <w:rsid w:val="005455B1"/>
    <w:rsid w:val="00545DAE"/>
    <w:rsid w:val="00551612"/>
    <w:rsid w:val="00552DA8"/>
    <w:rsid w:val="00561B5D"/>
    <w:rsid w:val="005630F9"/>
    <w:rsid w:val="005633FA"/>
    <w:rsid w:val="00571B83"/>
    <w:rsid w:val="0057226B"/>
    <w:rsid w:val="00575A00"/>
    <w:rsid w:val="00586417"/>
    <w:rsid w:val="0058673C"/>
    <w:rsid w:val="00586D3A"/>
    <w:rsid w:val="0059678F"/>
    <w:rsid w:val="005A5BE8"/>
    <w:rsid w:val="005A7972"/>
    <w:rsid w:val="005B17E7"/>
    <w:rsid w:val="005B2643"/>
    <w:rsid w:val="005D0407"/>
    <w:rsid w:val="005D17FD"/>
    <w:rsid w:val="005D7589"/>
    <w:rsid w:val="005F0D55"/>
    <w:rsid w:val="005F183E"/>
    <w:rsid w:val="00600DDA"/>
    <w:rsid w:val="00603A30"/>
    <w:rsid w:val="00603DB8"/>
    <w:rsid w:val="00603FE5"/>
    <w:rsid w:val="00604211"/>
    <w:rsid w:val="00606352"/>
    <w:rsid w:val="00613498"/>
    <w:rsid w:val="00617B94"/>
    <w:rsid w:val="00620BED"/>
    <w:rsid w:val="00620DD1"/>
    <w:rsid w:val="00621A86"/>
    <w:rsid w:val="00625D45"/>
    <w:rsid w:val="006322E0"/>
    <w:rsid w:val="006415B4"/>
    <w:rsid w:val="00644E3D"/>
    <w:rsid w:val="00645194"/>
    <w:rsid w:val="00645A77"/>
    <w:rsid w:val="00645EFB"/>
    <w:rsid w:val="00651B9E"/>
    <w:rsid w:val="00651F0C"/>
    <w:rsid w:val="00652019"/>
    <w:rsid w:val="00657EC9"/>
    <w:rsid w:val="00665633"/>
    <w:rsid w:val="00667318"/>
    <w:rsid w:val="00674C86"/>
    <w:rsid w:val="0068015E"/>
    <w:rsid w:val="006840E1"/>
    <w:rsid w:val="006861AB"/>
    <w:rsid w:val="00686B89"/>
    <w:rsid w:val="006873D9"/>
    <w:rsid w:val="0069420F"/>
    <w:rsid w:val="00695321"/>
    <w:rsid w:val="006A2FC5"/>
    <w:rsid w:val="006A4E14"/>
    <w:rsid w:val="006A7D75"/>
    <w:rsid w:val="006B0A70"/>
    <w:rsid w:val="006B5A3B"/>
    <w:rsid w:val="006B606A"/>
    <w:rsid w:val="006C33AF"/>
    <w:rsid w:val="006C4AC5"/>
    <w:rsid w:val="006D16EF"/>
    <w:rsid w:val="006D5D22"/>
    <w:rsid w:val="006E0324"/>
    <w:rsid w:val="006E4A76"/>
    <w:rsid w:val="006E5995"/>
    <w:rsid w:val="006F1DBD"/>
    <w:rsid w:val="00700556"/>
    <w:rsid w:val="00700CD6"/>
    <w:rsid w:val="007034CA"/>
    <w:rsid w:val="0070477D"/>
    <w:rsid w:val="0070589A"/>
    <w:rsid w:val="00714573"/>
    <w:rsid w:val="007167DD"/>
    <w:rsid w:val="00723F64"/>
    <w:rsid w:val="0072478B"/>
    <w:rsid w:val="0073414D"/>
    <w:rsid w:val="007456AB"/>
    <w:rsid w:val="007475A1"/>
    <w:rsid w:val="0075235E"/>
    <w:rsid w:val="007528A5"/>
    <w:rsid w:val="00766C01"/>
    <w:rsid w:val="00770CFB"/>
    <w:rsid w:val="007732CC"/>
    <w:rsid w:val="00774079"/>
    <w:rsid w:val="0077752B"/>
    <w:rsid w:val="00793D6F"/>
    <w:rsid w:val="00794090"/>
    <w:rsid w:val="007A44F8"/>
    <w:rsid w:val="007B40B8"/>
    <w:rsid w:val="007D0C5A"/>
    <w:rsid w:val="007D21BF"/>
    <w:rsid w:val="007E72AB"/>
    <w:rsid w:val="007F3C12"/>
    <w:rsid w:val="007F5205"/>
    <w:rsid w:val="00804225"/>
    <w:rsid w:val="00804283"/>
    <w:rsid w:val="0080486B"/>
    <w:rsid w:val="008071F2"/>
    <w:rsid w:val="008150A9"/>
    <w:rsid w:val="008215E7"/>
    <w:rsid w:val="00830C99"/>
    <w:rsid w:val="00830FC6"/>
    <w:rsid w:val="00836DB9"/>
    <w:rsid w:val="00841AD3"/>
    <w:rsid w:val="00845A6F"/>
    <w:rsid w:val="00850E26"/>
    <w:rsid w:val="00856E34"/>
    <w:rsid w:val="0086054E"/>
    <w:rsid w:val="00863941"/>
    <w:rsid w:val="00865EAA"/>
    <w:rsid w:val="00866F06"/>
    <w:rsid w:val="00871C7A"/>
    <w:rsid w:val="008728F5"/>
    <w:rsid w:val="008824C2"/>
    <w:rsid w:val="008838E8"/>
    <w:rsid w:val="008960E4"/>
    <w:rsid w:val="0089748A"/>
    <w:rsid w:val="008A3940"/>
    <w:rsid w:val="008A490A"/>
    <w:rsid w:val="008B0B0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4B1B"/>
    <w:rsid w:val="00926E97"/>
    <w:rsid w:val="00927BD9"/>
    <w:rsid w:val="0093373C"/>
    <w:rsid w:val="00956334"/>
    <w:rsid w:val="009566AD"/>
    <w:rsid w:val="00961620"/>
    <w:rsid w:val="009652D6"/>
    <w:rsid w:val="0097326F"/>
    <w:rsid w:val="009734B6"/>
    <w:rsid w:val="00974ABA"/>
    <w:rsid w:val="0098096F"/>
    <w:rsid w:val="0098437A"/>
    <w:rsid w:val="00986C92"/>
    <w:rsid w:val="009938B3"/>
    <w:rsid w:val="00993C47"/>
    <w:rsid w:val="0099680D"/>
    <w:rsid w:val="009972BC"/>
    <w:rsid w:val="009B11B9"/>
    <w:rsid w:val="009B4B16"/>
    <w:rsid w:val="009B7902"/>
    <w:rsid w:val="009C7664"/>
    <w:rsid w:val="009E54A1"/>
    <w:rsid w:val="009F4E25"/>
    <w:rsid w:val="009F5461"/>
    <w:rsid w:val="009F5B1F"/>
    <w:rsid w:val="00A216B8"/>
    <w:rsid w:val="00A225A9"/>
    <w:rsid w:val="00A3308E"/>
    <w:rsid w:val="00A33EFF"/>
    <w:rsid w:val="00A35DFD"/>
    <w:rsid w:val="00A4539A"/>
    <w:rsid w:val="00A537C7"/>
    <w:rsid w:val="00A702DF"/>
    <w:rsid w:val="00A73933"/>
    <w:rsid w:val="00A774FB"/>
    <w:rsid w:val="00A775A3"/>
    <w:rsid w:val="00A81700"/>
    <w:rsid w:val="00A81B5B"/>
    <w:rsid w:val="00A82FAD"/>
    <w:rsid w:val="00A87A3C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5CE2"/>
    <w:rsid w:val="00AF051B"/>
    <w:rsid w:val="00AF318E"/>
    <w:rsid w:val="00AF4449"/>
    <w:rsid w:val="00AF480C"/>
    <w:rsid w:val="00B037A2"/>
    <w:rsid w:val="00B0471C"/>
    <w:rsid w:val="00B10FF9"/>
    <w:rsid w:val="00B17B7D"/>
    <w:rsid w:val="00B23633"/>
    <w:rsid w:val="00B31870"/>
    <w:rsid w:val="00B320B8"/>
    <w:rsid w:val="00B35EE2"/>
    <w:rsid w:val="00B36DEF"/>
    <w:rsid w:val="00B5012A"/>
    <w:rsid w:val="00B53867"/>
    <w:rsid w:val="00B57131"/>
    <w:rsid w:val="00B62F2C"/>
    <w:rsid w:val="00B706F0"/>
    <w:rsid w:val="00B727C9"/>
    <w:rsid w:val="00B7299D"/>
    <w:rsid w:val="00B735C8"/>
    <w:rsid w:val="00B7634C"/>
    <w:rsid w:val="00B76A63"/>
    <w:rsid w:val="00B827D4"/>
    <w:rsid w:val="00B954BD"/>
    <w:rsid w:val="00BA3F8A"/>
    <w:rsid w:val="00BA6350"/>
    <w:rsid w:val="00BA7BED"/>
    <w:rsid w:val="00BB47AA"/>
    <w:rsid w:val="00BB4E29"/>
    <w:rsid w:val="00BB74C9"/>
    <w:rsid w:val="00BC3AB6"/>
    <w:rsid w:val="00BC4974"/>
    <w:rsid w:val="00BD19E8"/>
    <w:rsid w:val="00BD4273"/>
    <w:rsid w:val="00BE141B"/>
    <w:rsid w:val="00BE7137"/>
    <w:rsid w:val="00BF02FC"/>
    <w:rsid w:val="00C16933"/>
    <w:rsid w:val="00C2547A"/>
    <w:rsid w:val="00C31ED8"/>
    <w:rsid w:val="00C35105"/>
    <w:rsid w:val="00C432E4"/>
    <w:rsid w:val="00C457D9"/>
    <w:rsid w:val="00C553C3"/>
    <w:rsid w:val="00C56354"/>
    <w:rsid w:val="00C62101"/>
    <w:rsid w:val="00C66A35"/>
    <w:rsid w:val="00C70C26"/>
    <w:rsid w:val="00C72001"/>
    <w:rsid w:val="00C7658C"/>
    <w:rsid w:val="00C772B7"/>
    <w:rsid w:val="00C80347"/>
    <w:rsid w:val="00C836F4"/>
    <w:rsid w:val="00CB24D2"/>
    <w:rsid w:val="00CB7C1A"/>
    <w:rsid w:val="00CC1362"/>
    <w:rsid w:val="00CC5667"/>
    <w:rsid w:val="00CC5E08"/>
    <w:rsid w:val="00CD1FE2"/>
    <w:rsid w:val="00CE14FD"/>
    <w:rsid w:val="00CF4A98"/>
    <w:rsid w:val="00CF6079"/>
    <w:rsid w:val="00CF6860"/>
    <w:rsid w:val="00D02AC6"/>
    <w:rsid w:val="00D03F0C"/>
    <w:rsid w:val="00D0415D"/>
    <w:rsid w:val="00D04312"/>
    <w:rsid w:val="00D06F13"/>
    <w:rsid w:val="00D074DD"/>
    <w:rsid w:val="00D16A7F"/>
    <w:rsid w:val="00D16AD2"/>
    <w:rsid w:val="00D22596"/>
    <w:rsid w:val="00D22691"/>
    <w:rsid w:val="00D24C3D"/>
    <w:rsid w:val="00D250D1"/>
    <w:rsid w:val="00D40E53"/>
    <w:rsid w:val="00D40E5D"/>
    <w:rsid w:val="00D42F37"/>
    <w:rsid w:val="00D46CB1"/>
    <w:rsid w:val="00D723F0"/>
    <w:rsid w:val="00D80837"/>
    <w:rsid w:val="00D8133F"/>
    <w:rsid w:val="00D861EE"/>
    <w:rsid w:val="00D95B05"/>
    <w:rsid w:val="00D97E2D"/>
    <w:rsid w:val="00DA07E7"/>
    <w:rsid w:val="00DA103D"/>
    <w:rsid w:val="00DA45D3"/>
    <w:rsid w:val="00DA4772"/>
    <w:rsid w:val="00DA7B44"/>
    <w:rsid w:val="00DB2667"/>
    <w:rsid w:val="00DB67B7"/>
    <w:rsid w:val="00DC08EA"/>
    <w:rsid w:val="00DC15A9"/>
    <w:rsid w:val="00DC3987"/>
    <w:rsid w:val="00DC40AA"/>
    <w:rsid w:val="00DD1750"/>
    <w:rsid w:val="00DE78FB"/>
    <w:rsid w:val="00DF67CF"/>
    <w:rsid w:val="00E349AA"/>
    <w:rsid w:val="00E352BA"/>
    <w:rsid w:val="00E40BAC"/>
    <w:rsid w:val="00E41390"/>
    <w:rsid w:val="00E41CA0"/>
    <w:rsid w:val="00E4208B"/>
    <w:rsid w:val="00E4366B"/>
    <w:rsid w:val="00E445F6"/>
    <w:rsid w:val="00E50A4A"/>
    <w:rsid w:val="00E606DE"/>
    <w:rsid w:val="00E644FE"/>
    <w:rsid w:val="00E66FAD"/>
    <w:rsid w:val="00E72733"/>
    <w:rsid w:val="00E742FA"/>
    <w:rsid w:val="00E76816"/>
    <w:rsid w:val="00E82429"/>
    <w:rsid w:val="00E83DBF"/>
    <w:rsid w:val="00E87C13"/>
    <w:rsid w:val="00E94CD9"/>
    <w:rsid w:val="00EA1A76"/>
    <w:rsid w:val="00EA290B"/>
    <w:rsid w:val="00EA7C4A"/>
    <w:rsid w:val="00EB5121"/>
    <w:rsid w:val="00EC182A"/>
    <w:rsid w:val="00EC5BEF"/>
    <w:rsid w:val="00EE0E90"/>
    <w:rsid w:val="00EE1204"/>
    <w:rsid w:val="00EE6487"/>
    <w:rsid w:val="00EF28F7"/>
    <w:rsid w:val="00EF3BCA"/>
    <w:rsid w:val="00EF43C8"/>
    <w:rsid w:val="00EF729B"/>
    <w:rsid w:val="00F01B0D"/>
    <w:rsid w:val="00F1238F"/>
    <w:rsid w:val="00F16485"/>
    <w:rsid w:val="00F228ED"/>
    <w:rsid w:val="00F26318"/>
    <w:rsid w:val="00F26E31"/>
    <w:rsid w:val="00F27C6C"/>
    <w:rsid w:val="00F34A8D"/>
    <w:rsid w:val="00F370CA"/>
    <w:rsid w:val="00F50D25"/>
    <w:rsid w:val="00F535D8"/>
    <w:rsid w:val="00F536DE"/>
    <w:rsid w:val="00F61155"/>
    <w:rsid w:val="00F64812"/>
    <w:rsid w:val="00F65152"/>
    <w:rsid w:val="00F708E3"/>
    <w:rsid w:val="00F76561"/>
    <w:rsid w:val="00F829CC"/>
    <w:rsid w:val="00F83978"/>
    <w:rsid w:val="00F84736"/>
    <w:rsid w:val="00F87112"/>
    <w:rsid w:val="00F93CA7"/>
    <w:rsid w:val="00FB2384"/>
    <w:rsid w:val="00FB2812"/>
    <w:rsid w:val="00FB62A7"/>
    <w:rsid w:val="00FC6C29"/>
    <w:rsid w:val="00FC77F4"/>
    <w:rsid w:val="00FD58E0"/>
    <w:rsid w:val="00FD5B70"/>
    <w:rsid w:val="00FD71AE"/>
    <w:rsid w:val="00FE0198"/>
    <w:rsid w:val="00FE1132"/>
    <w:rsid w:val="00FE3A7C"/>
    <w:rsid w:val="00FE4B8C"/>
    <w:rsid w:val="00FF1C0B"/>
    <w:rsid w:val="00FF232D"/>
    <w:rsid w:val="00FF7F9B"/>
    <w:rsid w:val="2F6DBB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A4E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E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E1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B706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06F0"/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B706F0"/>
    <w:rPr>
      <w:rFonts w:ascii="Times New Roman" w:hAnsi="Times New Roman"/>
      <w:dstrike w:val="0"/>
      <w:color w:val="auto"/>
      <w:sz w:val="22"/>
      <w:vertAlign w:val="superscript"/>
    </w:rPr>
  </w:style>
  <w:style w:type="character" w:customStyle="1" w:styleId="UnresolvedMention">
    <w:name w:val="Unresolved Mention"/>
    <w:basedOn w:val="DefaultParagraphFont"/>
    <w:rsid w:val="003B06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1BAF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B6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2A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6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6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releases-results-supply-chain-information-collection" TargetMode="External" /><Relationship Id="rId6" Type="http://schemas.openxmlformats.org/officeDocument/2006/relationships/hyperlink" Target="https://www.fcc.gov/document/fcc-bars-subsidies-equipment-posing-national-security-threats" TargetMode="External" /><Relationship Id="rId7" Type="http://schemas.openxmlformats.org/officeDocument/2006/relationships/hyperlink" Target="https://www.fcc.gov/document/fcc-designates-huawei-and-zte-national-security-threats" TargetMode="External" /><Relationship Id="rId8" Type="http://schemas.openxmlformats.org/officeDocument/2006/relationships/hyperlink" Target="https://www.fcc.gov/document/fcc-denies-china-mobile-telecom-services-application-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