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Java 20.10.0 -->
  <w:body>
    <w:tbl>
      <w:tblPr>
        <w:tblW w:w="8910" w:type="dxa"/>
        <w:tblInd w:w="-180" w:type="dxa"/>
        <w:tblLook w:val="0000"/>
      </w:tblPr>
      <w:tblGrid>
        <w:gridCol w:w="8910"/>
      </w:tblGrid>
      <w:tr w14:paraId="0EEB1671" w14:textId="77777777" w:rsidTr="00CB0123">
        <w:tblPrEx>
          <w:tblW w:w="8910" w:type="dxa"/>
          <w:tblInd w:w="-180" w:type="dxa"/>
          <w:tblLook w:val="0000"/>
        </w:tblPrEx>
        <w:trPr>
          <w:trHeight w:val="2181"/>
        </w:trPr>
        <w:tc>
          <w:tcPr>
            <w:tcW w:w="8910" w:type="dxa"/>
          </w:tcPr>
          <w:p w:rsidR="00FF232D" w:rsidRPr="003042E6" w:rsidP="006A7D75" w14:paraId="7DABF3E8" w14:textId="33DA1296">
            <w:pPr>
              <w:jc w:val="center"/>
              <w:rPr>
                <w:color w:val="000000" w:themeColor="text1"/>
                <w:sz w:val="22"/>
                <w:szCs w:val="22"/>
              </w:rPr>
            </w:pPr>
            <w:bookmarkStart w:id="0" w:name="_GoBack"/>
            <w:bookmarkEnd w:id="0"/>
            <w:r w:rsidRPr="003042E6">
              <w:rPr>
                <w:i/>
                <w:noProof/>
                <w:color w:val="000000" w:themeColor="text1"/>
                <w:sz w:val="22"/>
                <w:szCs w:val="22"/>
              </w:rPr>
              <w:drawing>
                <wp:inline distT="0" distB="0" distL="0" distR="0">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54955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9260" cy="762000"/>
                          </a:xfrm>
                          <a:prstGeom prst="rect">
                            <a:avLst/>
                          </a:prstGeom>
                          <a:noFill/>
                          <a:ln>
                            <a:noFill/>
                          </a:ln>
                        </pic:spPr>
                      </pic:pic>
                    </a:graphicData>
                  </a:graphic>
                </wp:inline>
              </w:drawing>
            </w:r>
          </w:p>
          <w:p w:rsidR="00426518" w:rsidRPr="003042E6" w:rsidP="00B57131" w14:paraId="48B908DC" w14:textId="77777777">
            <w:pPr>
              <w:rPr>
                <w:bCs/>
                <w:color w:val="000000" w:themeColor="text1"/>
                <w:sz w:val="22"/>
                <w:szCs w:val="22"/>
              </w:rPr>
            </w:pPr>
          </w:p>
          <w:p w:rsidR="007A44F8" w:rsidRPr="008E45AF" w:rsidP="00BB4E29" w14:paraId="7D95CA3E" w14:textId="77777777">
            <w:pPr>
              <w:rPr>
                <w:b/>
                <w:bCs/>
                <w:color w:val="000000" w:themeColor="text1"/>
                <w:sz w:val="22"/>
                <w:szCs w:val="22"/>
              </w:rPr>
            </w:pPr>
            <w:r w:rsidRPr="008E45AF">
              <w:rPr>
                <w:b/>
                <w:bCs/>
                <w:color w:val="000000" w:themeColor="text1"/>
                <w:sz w:val="22"/>
                <w:szCs w:val="22"/>
              </w:rPr>
              <w:t xml:space="preserve">Media Contact: </w:t>
            </w:r>
          </w:p>
          <w:p w:rsidR="008E192F" w:rsidRPr="004F310B" w:rsidP="00BB4E29" w14:paraId="767CA30F" w14:textId="77777777">
            <w:pPr>
              <w:rPr>
                <w:bCs/>
                <w:color w:val="000000" w:themeColor="text1"/>
                <w:sz w:val="22"/>
                <w:szCs w:val="22"/>
              </w:rPr>
            </w:pPr>
            <w:r>
              <w:rPr>
                <w:bCs/>
                <w:color w:val="000000" w:themeColor="text1"/>
                <w:sz w:val="22"/>
                <w:szCs w:val="22"/>
              </w:rPr>
              <w:t>Will Wiquist, (202) 418-0509</w:t>
            </w:r>
          </w:p>
          <w:p w:rsidR="000A736B" w:rsidRPr="00167D23" w:rsidP="00BB4E29" w14:paraId="26885E14" w14:textId="77777777">
            <w:pPr>
              <w:rPr>
                <w:bCs/>
                <w:color w:val="000000" w:themeColor="text1"/>
                <w:sz w:val="22"/>
                <w:szCs w:val="22"/>
              </w:rPr>
            </w:pPr>
            <w:r>
              <w:rPr>
                <w:bCs/>
                <w:sz w:val="22"/>
                <w:szCs w:val="22"/>
              </w:rPr>
              <w:t>will.wiquist@fcc.gov</w:t>
            </w:r>
          </w:p>
          <w:p w:rsidR="008E192F" w:rsidP="00BB4E29" w14:paraId="588DE0D5" w14:textId="77777777">
            <w:pPr>
              <w:rPr>
                <w:b/>
                <w:color w:val="000000" w:themeColor="text1"/>
                <w:sz w:val="22"/>
                <w:szCs w:val="22"/>
              </w:rPr>
            </w:pPr>
          </w:p>
          <w:p w:rsidR="007A44F8" w:rsidRPr="008E45AF" w:rsidP="00BB4E29" w14:paraId="55F734BA" w14:textId="77777777">
            <w:pPr>
              <w:rPr>
                <w:b/>
                <w:color w:val="000000" w:themeColor="text1"/>
                <w:sz w:val="22"/>
                <w:szCs w:val="22"/>
              </w:rPr>
            </w:pPr>
            <w:r w:rsidRPr="008E45AF">
              <w:rPr>
                <w:b/>
                <w:color w:val="000000" w:themeColor="text1"/>
                <w:sz w:val="22"/>
                <w:szCs w:val="22"/>
              </w:rPr>
              <w:t>For Immediate Release</w:t>
            </w:r>
          </w:p>
          <w:p w:rsidR="00A0622E" w:rsidRPr="0040507D" w:rsidP="00A6667C" w14:paraId="07AEAC40" w14:textId="77777777">
            <w:pPr>
              <w:pStyle w:val="Body"/>
              <w:tabs>
                <w:tab w:val="left" w:pos="8140"/>
              </w:tabs>
              <w:jc w:val="center"/>
              <w:rPr>
                <w:rFonts w:ascii="Times New Roman" w:hAnsi="Times New Roman" w:cs="Times New Roman"/>
                <w:b/>
                <w:color w:val="000000" w:themeColor="text1"/>
              </w:rPr>
            </w:pPr>
          </w:p>
          <w:p w:rsidR="005C5004" w:rsidRPr="00B14DFB" w:rsidP="0044724F" w14:paraId="5312BD36" w14:textId="587359DA">
            <w:pPr>
              <w:pStyle w:val="Body"/>
              <w:jc w:val="center"/>
              <w:rPr>
                <w:rFonts w:ascii="Times New Roman" w:hAnsi="Times New Roman" w:cs="Times New Roman"/>
                <w:b/>
                <w:color w:val="000000" w:themeColor="text1"/>
                <w:sz w:val="26"/>
                <w:szCs w:val="26"/>
              </w:rPr>
            </w:pPr>
            <w:r>
              <w:rPr>
                <w:rFonts w:ascii="Times New Roman" w:hAnsi="Times New Roman" w:cs="Times New Roman"/>
                <w:b/>
                <w:bCs/>
                <w:sz w:val="26"/>
                <w:szCs w:val="26"/>
              </w:rPr>
              <w:t>FCC INITIATES PROCEEDING</w:t>
            </w:r>
            <w:r w:rsidR="000C2131">
              <w:rPr>
                <w:rFonts w:ascii="Times New Roman" w:hAnsi="Times New Roman" w:cs="Times New Roman"/>
                <w:b/>
                <w:bCs/>
                <w:sz w:val="26"/>
                <w:szCs w:val="26"/>
              </w:rPr>
              <w:t xml:space="preserve"> REGARDING </w:t>
            </w:r>
            <w:r w:rsidR="009E2B92">
              <w:rPr>
                <w:rFonts w:ascii="Times New Roman" w:hAnsi="Times New Roman" w:cs="Times New Roman"/>
                <w:b/>
                <w:bCs/>
                <w:sz w:val="26"/>
                <w:szCs w:val="26"/>
              </w:rPr>
              <w:t xml:space="preserve">REVOCATION AND TERMINATION OF </w:t>
            </w:r>
            <w:r w:rsidR="00B14DFB">
              <w:rPr>
                <w:rFonts w:ascii="Times New Roman" w:hAnsi="Times New Roman" w:cs="Times New Roman"/>
                <w:b/>
                <w:bCs/>
                <w:sz w:val="26"/>
                <w:szCs w:val="26"/>
              </w:rPr>
              <w:t xml:space="preserve">CHINA TELECOM </w:t>
            </w:r>
            <w:r w:rsidR="00F60261">
              <w:rPr>
                <w:rFonts w:ascii="Times New Roman" w:hAnsi="Times New Roman" w:cs="Times New Roman"/>
                <w:b/>
                <w:bCs/>
                <w:sz w:val="26"/>
                <w:szCs w:val="26"/>
              </w:rPr>
              <w:t>(</w:t>
            </w:r>
            <w:r w:rsidR="009E2B92">
              <w:rPr>
                <w:rFonts w:ascii="Times New Roman" w:hAnsi="Times New Roman" w:cs="Times New Roman"/>
                <w:b/>
                <w:bCs/>
                <w:sz w:val="26"/>
                <w:szCs w:val="26"/>
              </w:rPr>
              <w:t>AMERICAS</w:t>
            </w:r>
            <w:r w:rsidR="00F60261">
              <w:rPr>
                <w:rFonts w:ascii="Times New Roman" w:hAnsi="Times New Roman" w:cs="Times New Roman"/>
                <w:b/>
                <w:bCs/>
                <w:sz w:val="26"/>
                <w:szCs w:val="26"/>
              </w:rPr>
              <w:t>) CORPORATION</w:t>
            </w:r>
            <w:r w:rsidR="009E2B92">
              <w:rPr>
                <w:rFonts w:ascii="Times New Roman" w:hAnsi="Times New Roman" w:cs="Times New Roman"/>
                <w:b/>
                <w:bCs/>
                <w:sz w:val="26"/>
                <w:szCs w:val="26"/>
              </w:rPr>
              <w:t>’</w:t>
            </w:r>
            <w:r w:rsidR="00F60261">
              <w:rPr>
                <w:rFonts w:ascii="Times New Roman" w:hAnsi="Times New Roman" w:cs="Times New Roman"/>
                <w:b/>
                <w:bCs/>
                <w:sz w:val="26"/>
                <w:szCs w:val="26"/>
              </w:rPr>
              <w:t>S</w:t>
            </w:r>
            <w:r w:rsidR="009E2B92">
              <w:rPr>
                <w:rFonts w:ascii="Times New Roman" w:hAnsi="Times New Roman" w:cs="Times New Roman"/>
                <w:b/>
                <w:bCs/>
                <w:sz w:val="26"/>
                <w:szCs w:val="26"/>
              </w:rPr>
              <w:t xml:space="preserve"> AUTHORIZATIONS</w:t>
            </w:r>
            <w:r w:rsidR="00B14DFB">
              <w:rPr>
                <w:rFonts w:ascii="Times New Roman" w:hAnsi="Times New Roman" w:cs="Times New Roman"/>
                <w:b/>
                <w:bCs/>
                <w:sz w:val="26"/>
                <w:szCs w:val="26"/>
              </w:rPr>
              <w:t xml:space="preserve"> </w:t>
            </w:r>
          </w:p>
          <w:p w:rsidR="00FA5B48" w:rsidRPr="003042E6" w:rsidP="00FA5B48" w14:paraId="10F18FAB" w14:textId="77777777">
            <w:pPr>
              <w:pStyle w:val="Body"/>
              <w:rPr>
                <w:rFonts w:ascii="Times New Roman" w:hAnsi="Times New Roman" w:cs="Times New Roman"/>
                <w:b/>
                <w:i/>
                <w:color w:val="000000" w:themeColor="text1"/>
              </w:rPr>
            </w:pPr>
          </w:p>
          <w:p w:rsidR="00B829DA" w:rsidP="00EF654C" w14:paraId="1570E7A3" w14:textId="7E9286F6">
            <w:pPr>
              <w:rPr>
                <w:sz w:val="22"/>
                <w:szCs w:val="22"/>
              </w:rPr>
            </w:pPr>
            <w:r w:rsidRPr="00EF654C">
              <w:rPr>
                <w:sz w:val="22"/>
                <w:szCs w:val="22"/>
              </w:rPr>
              <w:t xml:space="preserve">WASHINGTON, </w:t>
            </w:r>
            <w:r w:rsidRPr="000A7576" w:rsidR="00275674">
              <w:rPr>
                <w:sz w:val="22"/>
                <w:szCs w:val="22"/>
              </w:rPr>
              <w:t xml:space="preserve">December </w:t>
            </w:r>
            <w:r w:rsidR="00D32327">
              <w:rPr>
                <w:sz w:val="22"/>
                <w:szCs w:val="22"/>
              </w:rPr>
              <w:t>10</w:t>
            </w:r>
            <w:r w:rsidRPr="00EF654C" w:rsidR="00D32327">
              <w:rPr>
                <w:sz w:val="22"/>
                <w:szCs w:val="22"/>
              </w:rPr>
              <w:t xml:space="preserve">, </w:t>
            </w:r>
            <w:r w:rsidRPr="00EF654C">
              <w:rPr>
                <w:sz w:val="22"/>
                <w:szCs w:val="22"/>
              </w:rPr>
              <w:t>2020—The Federal Communications Commission today</w:t>
            </w:r>
            <w:r w:rsidR="00B14DFB">
              <w:rPr>
                <w:sz w:val="22"/>
                <w:szCs w:val="22"/>
              </w:rPr>
              <w:t xml:space="preserve"> launched </w:t>
            </w:r>
            <w:r w:rsidRPr="00EF654C">
              <w:rPr>
                <w:sz w:val="22"/>
                <w:szCs w:val="22"/>
              </w:rPr>
              <w:t xml:space="preserve">a proceeding to determine whether </w:t>
            </w:r>
            <w:r w:rsidR="003414D4">
              <w:rPr>
                <w:sz w:val="22"/>
                <w:szCs w:val="22"/>
              </w:rPr>
              <w:t xml:space="preserve">to </w:t>
            </w:r>
            <w:r w:rsidR="001A74C1">
              <w:rPr>
                <w:sz w:val="22"/>
                <w:szCs w:val="22"/>
              </w:rPr>
              <w:t>end</w:t>
            </w:r>
            <w:r w:rsidRPr="00EF654C" w:rsidR="001A74C1">
              <w:rPr>
                <w:sz w:val="22"/>
                <w:szCs w:val="22"/>
              </w:rPr>
              <w:t xml:space="preserve"> </w:t>
            </w:r>
            <w:r w:rsidR="009E2B92">
              <w:rPr>
                <w:sz w:val="22"/>
                <w:szCs w:val="22"/>
              </w:rPr>
              <w:t xml:space="preserve">China Telecom </w:t>
            </w:r>
            <w:r w:rsidR="001A74C1">
              <w:rPr>
                <w:sz w:val="22"/>
                <w:szCs w:val="22"/>
              </w:rPr>
              <w:t>(</w:t>
            </w:r>
            <w:r w:rsidR="009E2B92">
              <w:rPr>
                <w:sz w:val="22"/>
                <w:szCs w:val="22"/>
              </w:rPr>
              <w:t>Americas</w:t>
            </w:r>
            <w:r w:rsidR="001A74C1">
              <w:rPr>
                <w:sz w:val="22"/>
                <w:szCs w:val="22"/>
              </w:rPr>
              <w:t>) Corporation</w:t>
            </w:r>
            <w:r w:rsidR="009E2B92">
              <w:rPr>
                <w:sz w:val="22"/>
                <w:szCs w:val="22"/>
              </w:rPr>
              <w:t>’</w:t>
            </w:r>
            <w:r w:rsidR="001A74C1">
              <w:rPr>
                <w:sz w:val="22"/>
                <w:szCs w:val="22"/>
              </w:rPr>
              <w:t>s</w:t>
            </w:r>
            <w:r w:rsidR="009E2B92">
              <w:rPr>
                <w:sz w:val="22"/>
                <w:szCs w:val="22"/>
              </w:rPr>
              <w:t xml:space="preserve"> </w:t>
            </w:r>
            <w:r w:rsidR="001A74C1">
              <w:rPr>
                <w:sz w:val="22"/>
                <w:szCs w:val="22"/>
              </w:rPr>
              <w:t xml:space="preserve">authority to provide </w:t>
            </w:r>
            <w:r w:rsidRPr="0062242E" w:rsidR="0062242E">
              <w:rPr>
                <w:sz w:val="22"/>
                <w:szCs w:val="22"/>
              </w:rPr>
              <w:t xml:space="preserve">domestic </w:t>
            </w:r>
            <w:r w:rsidR="001A74C1">
              <w:rPr>
                <w:sz w:val="22"/>
                <w:szCs w:val="22"/>
              </w:rPr>
              <w:t xml:space="preserve">interstate and </w:t>
            </w:r>
            <w:r w:rsidRPr="00EF654C">
              <w:rPr>
                <w:sz w:val="22"/>
                <w:szCs w:val="22"/>
              </w:rPr>
              <w:t xml:space="preserve">international </w:t>
            </w:r>
            <w:r w:rsidR="001A74C1">
              <w:rPr>
                <w:sz w:val="22"/>
                <w:szCs w:val="22"/>
              </w:rPr>
              <w:t xml:space="preserve">telecommunications services within the United States </w:t>
            </w:r>
            <w:r w:rsidR="009E2B92">
              <w:rPr>
                <w:sz w:val="22"/>
                <w:szCs w:val="22"/>
              </w:rPr>
              <w:t>under section 214 of the Communications Act</w:t>
            </w:r>
            <w:r w:rsidR="003414D4">
              <w:rPr>
                <w:sz w:val="22"/>
                <w:szCs w:val="22"/>
              </w:rPr>
              <w:t xml:space="preserve">.  </w:t>
            </w:r>
            <w:r w:rsidR="00B23BFA">
              <w:rPr>
                <w:sz w:val="22"/>
                <w:szCs w:val="22"/>
              </w:rPr>
              <w:t xml:space="preserve">The protection </w:t>
            </w:r>
            <w:r w:rsidRPr="00EF654C">
              <w:rPr>
                <w:sz w:val="22"/>
                <w:szCs w:val="22"/>
              </w:rPr>
              <w:t xml:space="preserve">of national security is an integral part of the Commission’s </w:t>
            </w:r>
            <w:r w:rsidR="00B23BFA">
              <w:rPr>
                <w:sz w:val="22"/>
                <w:szCs w:val="22"/>
              </w:rPr>
              <w:t>responsib</w:t>
            </w:r>
            <w:r w:rsidR="009E347D">
              <w:rPr>
                <w:sz w:val="22"/>
                <w:szCs w:val="22"/>
              </w:rPr>
              <w:t>i</w:t>
            </w:r>
            <w:r w:rsidR="00B23BFA">
              <w:rPr>
                <w:sz w:val="22"/>
                <w:szCs w:val="22"/>
              </w:rPr>
              <w:t>lity to advance the public interest</w:t>
            </w:r>
            <w:r w:rsidRPr="00EF654C">
              <w:rPr>
                <w:sz w:val="22"/>
                <w:szCs w:val="22"/>
              </w:rPr>
              <w:t xml:space="preserve">, and </w:t>
            </w:r>
            <w:r w:rsidR="00B7512C">
              <w:rPr>
                <w:sz w:val="22"/>
                <w:szCs w:val="22"/>
              </w:rPr>
              <w:t xml:space="preserve">today’s action seeks to </w:t>
            </w:r>
            <w:r w:rsidR="009E347D">
              <w:rPr>
                <w:sz w:val="22"/>
                <w:szCs w:val="22"/>
              </w:rPr>
              <w:t>safeguard</w:t>
            </w:r>
            <w:r w:rsidRPr="00EF654C" w:rsidR="009E347D">
              <w:rPr>
                <w:sz w:val="22"/>
                <w:szCs w:val="22"/>
              </w:rPr>
              <w:t xml:space="preserve"> </w:t>
            </w:r>
            <w:r w:rsidRPr="00EF654C">
              <w:rPr>
                <w:sz w:val="22"/>
                <w:szCs w:val="22"/>
              </w:rPr>
              <w:t xml:space="preserve">the nation’s </w:t>
            </w:r>
            <w:r w:rsidRPr="007F23F4" w:rsidR="007F23F4">
              <w:rPr>
                <w:sz w:val="22"/>
                <w:szCs w:val="22"/>
              </w:rPr>
              <w:t xml:space="preserve">telecommunications </w:t>
            </w:r>
            <w:r w:rsidRPr="00EF654C">
              <w:rPr>
                <w:sz w:val="22"/>
                <w:szCs w:val="22"/>
              </w:rPr>
              <w:t>infrastructure from potential security threats.</w:t>
            </w:r>
            <w:r w:rsidR="008C2360">
              <w:rPr>
                <w:sz w:val="22"/>
                <w:szCs w:val="22"/>
              </w:rPr>
              <w:t xml:space="preserve">  </w:t>
            </w:r>
          </w:p>
          <w:p w:rsidR="00B829DA" w:rsidP="00EF654C" w14:paraId="04915719" w14:textId="77777777">
            <w:pPr>
              <w:rPr>
                <w:sz w:val="22"/>
                <w:szCs w:val="22"/>
              </w:rPr>
            </w:pPr>
          </w:p>
          <w:p w:rsidR="00EF654C" w:rsidRPr="00EF654C" w:rsidP="00EF654C" w14:paraId="64419059" w14:textId="1A31D368">
            <w:pPr>
              <w:rPr>
                <w:sz w:val="22"/>
                <w:szCs w:val="22"/>
              </w:rPr>
            </w:pPr>
            <w:r>
              <w:rPr>
                <w:sz w:val="22"/>
                <w:szCs w:val="22"/>
              </w:rPr>
              <w:t xml:space="preserve">In April 2020, several Executive Branch agencies recommended that the FCC </w:t>
            </w:r>
            <w:r w:rsidR="00BA50A3">
              <w:rPr>
                <w:sz w:val="22"/>
                <w:szCs w:val="22"/>
              </w:rPr>
              <w:t xml:space="preserve">revoke and </w:t>
            </w:r>
            <w:r>
              <w:rPr>
                <w:sz w:val="22"/>
                <w:szCs w:val="22"/>
              </w:rPr>
              <w:t xml:space="preserve">terminate the international section 214 authorizations of China Telecom (Americas) Corporation (China Telecom Americas) based on the </w:t>
            </w:r>
            <w:r w:rsidRPr="003414D4">
              <w:rPr>
                <w:sz w:val="22"/>
                <w:szCs w:val="22"/>
              </w:rPr>
              <w:t>“substantial and unacceptable national security and law enforcement risks associated with [China Telecom Americas’] continued access to U.S. telecommunications infrastructure</w:t>
            </w:r>
            <w:r>
              <w:rPr>
                <w:sz w:val="22"/>
                <w:szCs w:val="22"/>
              </w:rPr>
              <w:t>” pursuant to these authorization</w:t>
            </w:r>
            <w:r w:rsidR="00636AD9">
              <w:rPr>
                <w:sz w:val="22"/>
                <w:szCs w:val="22"/>
              </w:rPr>
              <w:t>s</w:t>
            </w:r>
            <w:r>
              <w:rPr>
                <w:sz w:val="22"/>
                <w:szCs w:val="22"/>
              </w:rPr>
              <w:t xml:space="preserve">. </w:t>
            </w:r>
            <w:r w:rsidR="00B829DA">
              <w:rPr>
                <w:sz w:val="22"/>
                <w:szCs w:val="22"/>
              </w:rPr>
              <w:t xml:space="preserve"> </w:t>
            </w:r>
            <w:r w:rsidR="008C2360">
              <w:rPr>
                <w:sz w:val="22"/>
                <w:szCs w:val="22"/>
              </w:rPr>
              <w:t xml:space="preserve">China Telecom Americas is </w:t>
            </w:r>
            <w:r w:rsidRPr="00EF654C" w:rsidR="008C2360">
              <w:rPr>
                <w:snapToGrid w:val="0"/>
                <w:sz w:val="22"/>
                <w:szCs w:val="22"/>
              </w:rPr>
              <w:t>indirectly and ultimately owned and controlled by the government of the People’s Republic of China</w:t>
            </w:r>
            <w:r w:rsidR="008C2360">
              <w:rPr>
                <w:snapToGrid w:val="0"/>
                <w:sz w:val="22"/>
                <w:szCs w:val="22"/>
              </w:rPr>
              <w:t>.</w:t>
            </w:r>
            <w:r w:rsidR="008C2360">
              <w:rPr>
                <w:sz w:val="22"/>
                <w:szCs w:val="22"/>
              </w:rPr>
              <w:t xml:space="preserve"> </w:t>
            </w:r>
            <w:r w:rsidR="00BA50A3">
              <w:rPr>
                <w:sz w:val="22"/>
                <w:szCs w:val="22"/>
              </w:rPr>
              <w:t xml:space="preserve"> </w:t>
            </w:r>
            <w:r w:rsidR="000B6FD3">
              <w:rPr>
                <w:sz w:val="22"/>
                <w:szCs w:val="22"/>
              </w:rPr>
              <w:t>Moreover, t</w:t>
            </w:r>
            <w:r w:rsidR="00B829DA">
              <w:rPr>
                <w:sz w:val="22"/>
                <w:szCs w:val="22"/>
              </w:rPr>
              <w:t xml:space="preserve">he corporate governance documents of China Telecom Americas’ parent company give the Chinese Communist Party substantial control over its management and business operations.  And China Telecom Americas has purportedly made inaccurate statements to U.S. authorities about its record storage policies and failed to provide adequate notice to Executive Branch agencies of applications it filed with the FCC—a requirement of </w:t>
            </w:r>
            <w:r w:rsidR="00A04EE8">
              <w:rPr>
                <w:sz w:val="22"/>
                <w:szCs w:val="22"/>
              </w:rPr>
              <w:t xml:space="preserve">the </w:t>
            </w:r>
            <w:r w:rsidR="00B829DA">
              <w:rPr>
                <w:sz w:val="22"/>
                <w:szCs w:val="22"/>
              </w:rPr>
              <w:t xml:space="preserve">mitigation agreement </w:t>
            </w:r>
            <w:r w:rsidR="00A04EE8">
              <w:rPr>
                <w:sz w:val="22"/>
                <w:szCs w:val="22"/>
              </w:rPr>
              <w:t xml:space="preserve">it entered into </w:t>
            </w:r>
            <w:r w:rsidR="00B829DA">
              <w:rPr>
                <w:sz w:val="22"/>
                <w:szCs w:val="22"/>
              </w:rPr>
              <w:t>with the Executive Branch</w:t>
            </w:r>
            <w:r w:rsidR="00A04EE8">
              <w:rPr>
                <w:sz w:val="22"/>
                <w:szCs w:val="22"/>
              </w:rPr>
              <w:t xml:space="preserve"> when it received </w:t>
            </w:r>
            <w:r w:rsidR="00950A37">
              <w:rPr>
                <w:sz w:val="22"/>
                <w:szCs w:val="22"/>
              </w:rPr>
              <w:t xml:space="preserve">FCC approval to transfer </w:t>
            </w:r>
            <w:r w:rsidR="00893F2B">
              <w:rPr>
                <w:sz w:val="22"/>
                <w:szCs w:val="22"/>
              </w:rPr>
              <w:t xml:space="preserve">control of </w:t>
            </w:r>
            <w:r w:rsidR="00B06395">
              <w:rPr>
                <w:sz w:val="22"/>
                <w:szCs w:val="22"/>
              </w:rPr>
              <w:t xml:space="preserve">its authorizations </w:t>
            </w:r>
            <w:r w:rsidR="00950A37">
              <w:rPr>
                <w:sz w:val="22"/>
                <w:szCs w:val="22"/>
              </w:rPr>
              <w:t>in 2007</w:t>
            </w:r>
            <w:r w:rsidR="00B829DA">
              <w:rPr>
                <w:sz w:val="22"/>
                <w:szCs w:val="22"/>
              </w:rPr>
              <w:t xml:space="preserve">.  </w:t>
            </w:r>
          </w:p>
          <w:p w:rsidR="00FE63DE" w:rsidP="0046096B" w14:paraId="38786800" w14:textId="77777777">
            <w:pPr>
              <w:rPr>
                <w:sz w:val="22"/>
                <w:szCs w:val="22"/>
              </w:rPr>
            </w:pPr>
          </w:p>
          <w:p w:rsidR="008C2360" w:rsidRPr="00690AD8" w14:paraId="58903ABD" w14:textId="28DD99F2">
            <w:pPr>
              <w:rPr>
                <w:sz w:val="22"/>
                <w:szCs w:val="22"/>
              </w:rPr>
            </w:pPr>
            <w:r>
              <w:rPr>
                <w:sz w:val="22"/>
                <w:szCs w:val="22"/>
              </w:rPr>
              <w:t xml:space="preserve">Based </w:t>
            </w:r>
            <w:r w:rsidR="009C50A6">
              <w:rPr>
                <w:sz w:val="22"/>
                <w:szCs w:val="22"/>
              </w:rPr>
              <w:t xml:space="preserve">in part </w:t>
            </w:r>
            <w:r>
              <w:rPr>
                <w:sz w:val="22"/>
                <w:szCs w:val="22"/>
              </w:rPr>
              <w:t xml:space="preserve">on the recommendation of the Executive Branch agencies, </w:t>
            </w:r>
            <w:r w:rsidR="007855FE">
              <w:rPr>
                <w:sz w:val="22"/>
                <w:szCs w:val="22"/>
              </w:rPr>
              <w:t>the</w:t>
            </w:r>
            <w:r w:rsidR="006B328E">
              <w:rPr>
                <w:sz w:val="22"/>
                <w:szCs w:val="22"/>
              </w:rPr>
              <w:t xml:space="preserve"> FCC</w:t>
            </w:r>
            <w:r w:rsidR="00580846">
              <w:rPr>
                <w:sz w:val="22"/>
                <w:szCs w:val="22"/>
              </w:rPr>
              <w:t>’s International Bureau, Wireline Competition Bureau, and Enforcement Bureau</w:t>
            </w:r>
            <w:r>
              <w:rPr>
                <w:sz w:val="22"/>
                <w:szCs w:val="22"/>
              </w:rPr>
              <w:t xml:space="preserve"> issued an</w:t>
            </w:r>
            <w:r w:rsidR="00960487">
              <w:rPr>
                <w:sz w:val="22"/>
                <w:szCs w:val="22"/>
              </w:rPr>
              <w:t xml:space="preserve"> </w:t>
            </w:r>
            <w:hyperlink r:id="rId5" w:history="1">
              <w:r w:rsidRPr="00CB0123" w:rsidR="007855FE">
                <w:rPr>
                  <w:rStyle w:val="Hyperlink"/>
                  <w:sz w:val="22"/>
                  <w:szCs w:val="22"/>
                </w:rPr>
                <w:t>Order</w:t>
              </w:r>
            </w:hyperlink>
            <w:r w:rsidRPr="00CB0123" w:rsidR="008B5032">
              <w:rPr>
                <w:sz w:val="22"/>
                <w:szCs w:val="22"/>
              </w:rPr>
              <w:t xml:space="preserve"> </w:t>
            </w:r>
            <w:r>
              <w:rPr>
                <w:sz w:val="22"/>
                <w:szCs w:val="22"/>
              </w:rPr>
              <w:t xml:space="preserve">in April requiring China Telecom Americas to show cause </w:t>
            </w:r>
            <w:r w:rsidRPr="00CB0123" w:rsidR="0046096B">
              <w:rPr>
                <w:sz w:val="22"/>
                <w:szCs w:val="22"/>
              </w:rPr>
              <w:t xml:space="preserve">why the Commission should not start </w:t>
            </w:r>
            <w:r>
              <w:rPr>
                <w:sz w:val="22"/>
                <w:szCs w:val="22"/>
              </w:rPr>
              <w:t>a</w:t>
            </w:r>
            <w:r w:rsidRPr="00CB0123">
              <w:rPr>
                <w:sz w:val="22"/>
                <w:szCs w:val="22"/>
              </w:rPr>
              <w:t xml:space="preserve"> </w:t>
            </w:r>
            <w:r w:rsidRPr="00CB0123" w:rsidR="0046096B">
              <w:rPr>
                <w:sz w:val="22"/>
                <w:szCs w:val="22"/>
              </w:rPr>
              <w:t xml:space="preserve">process </w:t>
            </w:r>
            <w:r>
              <w:rPr>
                <w:sz w:val="22"/>
                <w:szCs w:val="22"/>
              </w:rPr>
              <w:t>for</w:t>
            </w:r>
            <w:r w:rsidRPr="00CB0123" w:rsidR="0046096B">
              <w:rPr>
                <w:sz w:val="22"/>
                <w:szCs w:val="22"/>
              </w:rPr>
              <w:t xml:space="preserve"> revoking </w:t>
            </w:r>
            <w:r w:rsidR="00AA1466">
              <w:rPr>
                <w:sz w:val="22"/>
                <w:szCs w:val="22"/>
              </w:rPr>
              <w:t xml:space="preserve">and terminating </w:t>
            </w:r>
            <w:r w:rsidR="000671A8">
              <w:rPr>
                <w:sz w:val="22"/>
                <w:szCs w:val="22"/>
              </w:rPr>
              <w:t>its</w:t>
            </w:r>
            <w:r w:rsidRPr="00CB0123" w:rsidR="000671A8">
              <w:rPr>
                <w:sz w:val="22"/>
                <w:szCs w:val="22"/>
              </w:rPr>
              <w:t xml:space="preserve"> </w:t>
            </w:r>
            <w:r w:rsidRPr="00CB0123" w:rsidR="0046096B">
              <w:rPr>
                <w:sz w:val="22"/>
                <w:szCs w:val="22"/>
              </w:rPr>
              <w:t>domestic and international section authorizations</w:t>
            </w:r>
            <w:r w:rsidRPr="00EF654C" w:rsidR="00DF6250">
              <w:rPr>
                <w:sz w:val="22"/>
                <w:szCs w:val="22"/>
              </w:rPr>
              <w:t>.</w:t>
            </w:r>
            <w:r>
              <w:rPr>
                <w:sz w:val="22"/>
                <w:szCs w:val="22"/>
              </w:rPr>
              <w:t xml:space="preserve">  </w:t>
            </w:r>
            <w:r w:rsidR="00C86D57">
              <w:rPr>
                <w:sz w:val="22"/>
                <w:szCs w:val="22"/>
              </w:rPr>
              <w:t xml:space="preserve">Today, the Commission determined that </w:t>
            </w:r>
            <w:r>
              <w:rPr>
                <w:sz w:val="22"/>
                <w:szCs w:val="22"/>
              </w:rPr>
              <w:t xml:space="preserve">China Telecom Americas has failed to provide a satisfactory response to </w:t>
            </w:r>
            <w:r w:rsidR="006E1A53">
              <w:rPr>
                <w:sz w:val="22"/>
                <w:szCs w:val="22"/>
              </w:rPr>
              <w:t xml:space="preserve">the </w:t>
            </w:r>
            <w:r>
              <w:rPr>
                <w:sz w:val="22"/>
                <w:szCs w:val="22"/>
              </w:rPr>
              <w:t>concerns</w:t>
            </w:r>
            <w:r w:rsidR="00C86D57">
              <w:rPr>
                <w:sz w:val="22"/>
                <w:szCs w:val="22"/>
              </w:rPr>
              <w:t xml:space="preserve"> of the Executive Branch</w:t>
            </w:r>
            <w:r>
              <w:rPr>
                <w:sz w:val="22"/>
                <w:szCs w:val="22"/>
              </w:rPr>
              <w:t xml:space="preserve"> or to the FCC’s Order to Show Cause.  </w:t>
            </w:r>
            <w:r w:rsidR="00C570BA">
              <w:rPr>
                <w:sz w:val="22"/>
                <w:szCs w:val="22"/>
              </w:rPr>
              <w:t xml:space="preserve">Today’s action </w:t>
            </w:r>
            <w:r>
              <w:rPr>
                <w:sz w:val="22"/>
                <w:szCs w:val="22"/>
              </w:rPr>
              <w:t xml:space="preserve">therefore </w:t>
            </w:r>
            <w:r w:rsidR="006E1A53">
              <w:rPr>
                <w:sz w:val="22"/>
                <w:szCs w:val="22"/>
              </w:rPr>
              <w:t xml:space="preserve">formally </w:t>
            </w:r>
            <w:r w:rsidR="00C570BA">
              <w:rPr>
                <w:sz w:val="22"/>
                <w:szCs w:val="22"/>
              </w:rPr>
              <w:t xml:space="preserve">starts </w:t>
            </w:r>
            <w:r>
              <w:rPr>
                <w:sz w:val="22"/>
                <w:szCs w:val="22"/>
              </w:rPr>
              <w:t>th</w:t>
            </w:r>
            <w:r w:rsidR="006E1A53">
              <w:rPr>
                <w:sz w:val="22"/>
                <w:szCs w:val="22"/>
              </w:rPr>
              <w:t>e</w:t>
            </w:r>
            <w:r>
              <w:rPr>
                <w:sz w:val="22"/>
                <w:szCs w:val="22"/>
              </w:rPr>
              <w:t xml:space="preserve"> process </w:t>
            </w:r>
            <w:r w:rsidR="006E1A53">
              <w:rPr>
                <w:sz w:val="22"/>
                <w:szCs w:val="22"/>
              </w:rPr>
              <w:t>for determining</w:t>
            </w:r>
            <w:r>
              <w:rPr>
                <w:sz w:val="22"/>
                <w:szCs w:val="22"/>
              </w:rPr>
              <w:t xml:space="preserve"> whether</w:t>
            </w:r>
            <w:r w:rsidRPr="00BC14EC" w:rsidR="00BC14EC">
              <w:rPr>
                <w:sz w:val="22"/>
                <w:szCs w:val="22"/>
              </w:rPr>
              <w:t xml:space="preserve"> the public interest, convenience, and necessity warrant revocation of </w:t>
            </w:r>
            <w:r>
              <w:rPr>
                <w:sz w:val="22"/>
                <w:szCs w:val="22"/>
              </w:rPr>
              <w:t>the company’s</w:t>
            </w:r>
            <w:r w:rsidRPr="00BC14EC" w:rsidR="00BC14EC">
              <w:rPr>
                <w:sz w:val="22"/>
                <w:szCs w:val="22"/>
              </w:rPr>
              <w:t xml:space="preserve"> domestic section 214 authority </w:t>
            </w:r>
            <w:r w:rsidR="00BC14EC">
              <w:rPr>
                <w:sz w:val="22"/>
                <w:szCs w:val="22"/>
              </w:rPr>
              <w:t>and</w:t>
            </w:r>
            <w:r>
              <w:rPr>
                <w:sz w:val="22"/>
                <w:szCs w:val="22"/>
              </w:rPr>
              <w:t xml:space="preserve"> revocation and</w:t>
            </w:r>
            <w:r w:rsidR="00BC14EC">
              <w:rPr>
                <w:sz w:val="22"/>
                <w:szCs w:val="22"/>
              </w:rPr>
              <w:t>/</w:t>
            </w:r>
            <w:r w:rsidRPr="00BC14EC" w:rsidR="00BC14EC">
              <w:rPr>
                <w:sz w:val="22"/>
                <w:szCs w:val="22"/>
              </w:rPr>
              <w:t>or termination of its international section 214 authorizations</w:t>
            </w:r>
            <w:r w:rsidR="002A4657">
              <w:rPr>
                <w:sz w:val="22"/>
                <w:szCs w:val="22"/>
              </w:rPr>
              <w:t>.  Th</w:t>
            </w:r>
            <w:r w:rsidR="009E2B92">
              <w:rPr>
                <w:sz w:val="22"/>
                <w:szCs w:val="22"/>
              </w:rPr>
              <w:t xml:space="preserve">e proceeding </w:t>
            </w:r>
            <w:r w:rsidR="002A4657">
              <w:rPr>
                <w:sz w:val="22"/>
                <w:szCs w:val="22"/>
              </w:rPr>
              <w:t xml:space="preserve">will </w:t>
            </w:r>
            <w:r w:rsidR="0046096B">
              <w:rPr>
                <w:sz w:val="22"/>
                <w:szCs w:val="22"/>
              </w:rPr>
              <w:t xml:space="preserve">also </w:t>
            </w:r>
            <w:r w:rsidR="002A4657">
              <w:rPr>
                <w:sz w:val="22"/>
                <w:szCs w:val="22"/>
              </w:rPr>
              <w:t xml:space="preserve">consider whether the company complied with its 2007 </w:t>
            </w:r>
            <w:r w:rsidR="009B46F4">
              <w:rPr>
                <w:sz w:val="22"/>
                <w:szCs w:val="22"/>
              </w:rPr>
              <w:t>letter of assurances</w:t>
            </w:r>
            <w:r w:rsidR="002A4657">
              <w:rPr>
                <w:sz w:val="22"/>
                <w:szCs w:val="22"/>
              </w:rPr>
              <w:t xml:space="preserve"> to the </w:t>
            </w:r>
            <w:r w:rsidRPr="009B46F4" w:rsidR="009B46F4">
              <w:rPr>
                <w:sz w:val="22"/>
                <w:szCs w:val="22"/>
              </w:rPr>
              <w:t>Department of Justice</w:t>
            </w:r>
            <w:r w:rsidR="009B46F4">
              <w:rPr>
                <w:sz w:val="22"/>
                <w:szCs w:val="22"/>
              </w:rPr>
              <w:t>—including the FBI—</w:t>
            </w:r>
            <w:r w:rsidRPr="009B46F4" w:rsidR="009B46F4">
              <w:rPr>
                <w:sz w:val="22"/>
                <w:szCs w:val="22"/>
              </w:rPr>
              <w:t>and Department of Homeland Security</w:t>
            </w:r>
            <w:r w:rsidR="00CC7A60">
              <w:rPr>
                <w:sz w:val="22"/>
                <w:szCs w:val="22"/>
              </w:rPr>
              <w:t xml:space="preserve">.  </w:t>
            </w:r>
          </w:p>
          <w:p w:rsidR="001B3BF4" w:rsidP="00690AD8" w14:paraId="1D5A7859" w14:textId="1CFF0484">
            <w:pPr>
              <w:rPr>
                <w:sz w:val="22"/>
                <w:szCs w:val="22"/>
              </w:rPr>
            </w:pPr>
          </w:p>
          <w:p w:rsidR="0056337E" w:rsidRPr="0056337E" w:rsidP="0056337E" w14:paraId="4CDA88C6" w14:textId="3E2E48E3">
            <w:pPr>
              <w:rPr>
                <w:sz w:val="22"/>
                <w:szCs w:val="22"/>
              </w:rPr>
            </w:pPr>
            <w:r w:rsidRPr="0056337E">
              <w:rPr>
                <w:sz w:val="22"/>
                <w:szCs w:val="22"/>
              </w:rPr>
              <w:t xml:space="preserve">Action by the Commission December 10, 2020 by Order Instituting Proceedings on Revocation and Termination and Memorandum Opinion and Order (FCC 20-177).  Chairman Pai, </w:t>
            </w:r>
            <w:r w:rsidRPr="0056337E">
              <w:rPr>
                <w:sz w:val="22"/>
                <w:szCs w:val="22"/>
              </w:rPr>
              <w:t>Commissioners O’Rielly, Carr, Rosenworcel, and Starks approving.  Chairman Pai</w:t>
            </w:r>
            <w:r>
              <w:rPr>
                <w:sz w:val="22"/>
                <w:szCs w:val="22"/>
              </w:rPr>
              <w:t>, Commissioners Carr and Starks</w:t>
            </w:r>
            <w:r w:rsidRPr="0056337E">
              <w:rPr>
                <w:sz w:val="22"/>
                <w:szCs w:val="22"/>
              </w:rPr>
              <w:t xml:space="preserve"> issuing a separate statement.</w:t>
            </w:r>
          </w:p>
          <w:p w:rsidR="0056337E" w:rsidRPr="0056337E" w:rsidP="0056337E" w14:paraId="76BDE8AC" w14:textId="77777777">
            <w:pPr>
              <w:rPr>
                <w:sz w:val="22"/>
                <w:szCs w:val="22"/>
              </w:rPr>
            </w:pPr>
          </w:p>
          <w:p w:rsidR="008C47AE" w:rsidRPr="00EF654C" w:rsidP="00690AD8" w14:paraId="48E898C4" w14:textId="5FF52786">
            <w:pPr>
              <w:rPr>
                <w:sz w:val="22"/>
                <w:szCs w:val="22"/>
              </w:rPr>
            </w:pPr>
            <w:r w:rsidRPr="00EF654C">
              <w:rPr>
                <w:sz w:val="22"/>
                <w:szCs w:val="22"/>
              </w:rPr>
              <w:t>GN Docket No. 20-109</w:t>
            </w:r>
            <w:r w:rsidR="00CC7A60">
              <w:rPr>
                <w:sz w:val="22"/>
                <w:szCs w:val="22"/>
              </w:rPr>
              <w:t xml:space="preserve">; </w:t>
            </w:r>
            <w:r w:rsidRPr="00EF654C">
              <w:rPr>
                <w:sz w:val="22"/>
                <w:szCs w:val="22"/>
              </w:rPr>
              <w:t>ITC-214-20010613-00346</w:t>
            </w:r>
            <w:r w:rsidR="00CC7A60">
              <w:rPr>
                <w:sz w:val="22"/>
                <w:szCs w:val="22"/>
              </w:rPr>
              <w:t xml:space="preserve">; </w:t>
            </w:r>
            <w:r w:rsidRPr="00EF654C">
              <w:rPr>
                <w:sz w:val="22"/>
                <w:szCs w:val="22"/>
              </w:rPr>
              <w:t>ITC-214-20020716-00371</w:t>
            </w:r>
            <w:r w:rsidR="00CC7A60">
              <w:rPr>
                <w:sz w:val="22"/>
                <w:szCs w:val="22"/>
              </w:rPr>
              <w:t xml:space="preserve">; </w:t>
            </w:r>
            <w:r w:rsidRPr="00EF654C">
              <w:rPr>
                <w:sz w:val="22"/>
                <w:szCs w:val="22"/>
              </w:rPr>
              <w:t>ITC-T/C-20070725-00285</w:t>
            </w:r>
          </w:p>
          <w:p w:rsidR="003D2508" w:rsidRPr="00690AD8" w:rsidP="00690AD8" w14:paraId="1E3964D5" w14:textId="77777777">
            <w:pPr>
              <w:rPr>
                <w:sz w:val="22"/>
                <w:szCs w:val="22"/>
              </w:rPr>
            </w:pPr>
          </w:p>
          <w:p w:rsidR="004F0F1F" w:rsidRPr="003042E6" w:rsidP="00BB4E29" w14:paraId="1ADDF9C0" w14:textId="77777777">
            <w:pPr>
              <w:ind w:right="240"/>
              <w:jc w:val="center"/>
              <w:rPr>
                <w:color w:val="000000" w:themeColor="text1"/>
                <w:sz w:val="22"/>
                <w:szCs w:val="22"/>
              </w:rPr>
            </w:pPr>
            <w:r w:rsidRPr="003042E6">
              <w:rPr>
                <w:color w:val="000000" w:themeColor="text1"/>
                <w:sz w:val="22"/>
                <w:szCs w:val="22"/>
              </w:rPr>
              <w:t>###</w:t>
            </w:r>
          </w:p>
          <w:p w:rsidR="009957F9" w:rsidRPr="0080486B" w:rsidP="009957F9" w14:paraId="50C30155" w14:textId="77777777">
            <w:pPr>
              <w:ind w:right="72"/>
              <w:jc w:val="center"/>
              <w:rPr>
                <w:rStyle w:val="Hyperlink"/>
                <w:b/>
                <w:bCs/>
                <w:color w:val="auto"/>
                <w:sz w:val="17"/>
                <w:szCs w:val="17"/>
              </w:rPr>
            </w:pPr>
            <w:r w:rsidRPr="003042E6">
              <w:rPr>
                <w:bCs/>
                <w:color w:val="000000" w:themeColor="text1"/>
                <w:sz w:val="22"/>
                <w:szCs w:val="22"/>
              </w:rPr>
              <w:br/>
            </w:r>
            <w:r w:rsidRPr="0080486B">
              <w:rPr>
                <w:b/>
                <w:bCs/>
                <w:sz w:val="17"/>
                <w:szCs w:val="17"/>
              </w:rPr>
              <w:t xml:space="preserve">Media Relations: (202) 418-0500 / ASL: (844) 432-2275 / Twitter: @FCC / </w:t>
            </w:r>
            <w:r w:rsidRPr="0080486B">
              <w:rPr>
                <w:b/>
                <w:sz w:val="17"/>
                <w:szCs w:val="17"/>
              </w:rPr>
              <w:t>www.fcc.gov</w:t>
            </w:r>
            <w:r w:rsidRPr="0080486B">
              <w:rPr>
                <w:b/>
                <w:bCs/>
                <w:sz w:val="17"/>
                <w:szCs w:val="17"/>
              </w:rPr>
              <w:t xml:space="preserve"> </w:t>
            </w:r>
          </w:p>
          <w:p w:rsidR="009957F9" w:rsidRPr="00EE0E90" w:rsidP="009957F9" w14:paraId="6416F7C3" w14:textId="77777777">
            <w:pPr>
              <w:ind w:right="72"/>
              <w:jc w:val="center"/>
              <w:rPr>
                <w:b/>
                <w:bCs/>
                <w:sz w:val="18"/>
                <w:szCs w:val="18"/>
              </w:rPr>
            </w:pPr>
          </w:p>
          <w:p w:rsidR="00EE0E90" w:rsidRPr="003042E6" w:rsidP="00142C13" w14:paraId="602BE488" w14:textId="77777777">
            <w:pPr>
              <w:ind w:left="360" w:right="498"/>
              <w:jc w:val="center"/>
              <w:rPr>
                <w:bCs/>
                <w:color w:val="000000" w:themeColor="text1"/>
                <w:sz w:val="22"/>
                <w:szCs w:val="22"/>
              </w:rPr>
            </w:pPr>
            <w:r w:rsidRPr="00EF729B">
              <w:rPr>
                <w:bCs/>
                <w:i/>
                <w:sz w:val="16"/>
                <w:szCs w:val="16"/>
              </w:rPr>
              <w:t>This is an unofficial announcement of Commission action.  Release of the full text of a Commission order constitutes official action.  See MCI v. FCC, 515 F.2d 385 (D.C. Cir. 1974).</w:t>
            </w:r>
          </w:p>
        </w:tc>
      </w:tr>
      <w:tr w14:paraId="0C0DBDD9" w14:textId="77777777" w:rsidTr="00CB0123">
        <w:tblPrEx>
          <w:tblW w:w="8910" w:type="dxa"/>
          <w:tblInd w:w="-180" w:type="dxa"/>
          <w:tblLook w:val="0000"/>
        </w:tblPrEx>
        <w:trPr>
          <w:trHeight w:val="2181"/>
        </w:trPr>
        <w:tc>
          <w:tcPr>
            <w:tcW w:w="8910" w:type="dxa"/>
          </w:tcPr>
          <w:p w:rsidR="00D71B1F" w:rsidRPr="003042E6" w:rsidP="006A7D75" w14:paraId="6BC8A924" w14:textId="77777777">
            <w:pPr>
              <w:jc w:val="center"/>
              <w:rPr>
                <w:i/>
                <w:noProof/>
                <w:color w:val="000000" w:themeColor="text1"/>
                <w:sz w:val="22"/>
                <w:szCs w:val="22"/>
              </w:rPr>
            </w:pPr>
          </w:p>
        </w:tc>
      </w:tr>
    </w:tbl>
    <w:p w:rsidR="004F0F1F" w:rsidRPr="003042E6" w:rsidP="004610B3" w14:paraId="0638D360" w14:textId="77777777">
      <w:pPr>
        <w:rPr>
          <w:b/>
          <w:bCs/>
          <w:sz w:val="22"/>
          <w:szCs w:val="22"/>
        </w:rPr>
      </w:pPr>
    </w:p>
    <w:sectPr w:rsidSect="000C2131">
      <w:pgSz w:w="12240" w:h="15840" w:code="1"/>
      <w:pgMar w:top="1152"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08177E2D"/>
    <w:multiLevelType w:val="hybridMultilevel"/>
    <w:tmpl w:val="B1FC88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D951215"/>
    <w:multiLevelType w:val="hybridMultilevel"/>
    <w:tmpl w:val="BA4EFB5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E2E4E2D"/>
    <w:multiLevelType w:val="hybridMultilevel"/>
    <w:tmpl w:val="A6E8B3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2F7747A"/>
    <w:multiLevelType w:val="hybridMultilevel"/>
    <w:tmpl w:val="65668A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5">
    <w:nsid w:val="3A910BDE"/>
    <w:multiLevelType w:val="hybridMultilevel"/>
    <w:tmpl w:val="D4CE97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4745600A"/>
    <w:multiLevelType w:val="hybridMultilevel"/>
    <w:tmpl w:val="508C97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55368BA"/>
    <w:multiLevelType w:val="hybridMultilevel"/>
    <w:tmpl w:val="F8F807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705A699F"/>
    <w:multiLevelType w:val="hybridMultilevel"/>
    <w:tmpl w:val="765661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4955865"/>
    <w:multiLevelType w:val="hybridMultilevel"/>
    <w:tmpl w:val="DC380B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6EA2F37"/>
    <w:multiLevelType w:val="multilevel"/>
    <w:tmpl w:val="3C16704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4"/>
  </w:num>
  <w:num w:numId="2">
    <w:abstractNumId w:val="9"/>
  </w:num>
  <w:num w:numId="3">
    <w:abstractNumId w:val="3"/>
  </w:num>
  <w:num w:numId="4">
    <w:abstractNumId w:val="10"/>
  </w:num>
  <w:num w:numId="5">
    <w:abstractNumId w:val="8"/>
  </w:num>
  <w:num w:numId="6">
    <w:abstractNumId w:val="5"/>
  </w:num>
  <w:num w:numId="7">
    <w:abstractNumId w:val="2"/>
  </w:num>
  <w:num w:numId="8">
    <w:abstractNumId w:val="0"/>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1F"/>
    <w:rsid w:val="00001630"/>
    <w:rsid w:val="000023D9"/>
    <w:rsid w:val="000142F3"/>
    <w:rsid w:val="000151D3"/>
    <w:rsid w:val="000206B9"/>
    <w:rsid w:val="0002500C"/>
    <w:rsid w:val="000311FC"/>
    <w:rsid w:val="00032A06"/>
    <w:rsid w:val="000358D6"/>
    <w:rsid w:val="00037DDC"/>
    <w:rsid w:val="00040127"/>
    <w:rsid w:val="00046CB0"/>
    <w:rsid w:val="00054999"/>
    <w:rsid w:val="00055DFB"/>
    <w:rsid w:val="0005716E"/>
    <w:rsid w:val="0006104F"/>
    <w:rsid w:val="000612B1"/>
    <w:rsid w:val="000632A8"/>
    <w:rsid w:val="00063D3D"/>
    <w:rsid w:val="00064DFE"/>
    <w:rsid w:val="00065552"/>
    <w:rsid w:val="00066F2C"/>
    <w:rsid w:val="000671A8"/>
    <w:rsid w:val="00072097"/>
    <w:rsid w:val="0007319B"/>
    <w:rsid w:val="00074FBD"/>
    <w:rsid w:val="00081232"/>
    <w:rsid w:val="00083596"/>
    <w:rsid w:val="000869C6"/>
    <w:rsid w:val="00090640"/>
    <w:rsid w:val="00091E65"/>
    <w:rsid w:val="00092F31"/>
    <w:rsid w:val="000937C0"/>
    <w:rsid w:val="0009631B"/>
    <w:rsid w:val="00096D4A"/>
    <w:rsid w:val="00096FF6"/>
    <w:rsid w:val="000A3682"/>
    <w:rsid w:val="000A38EA"/>
    <w:rsid w:val="000A6C40"/>
    <w:rsid w:val="000A736B"/>
    <w:rsid w:val="000A7576"/>
    <w:rsid w:val="000B41B7"/>
    <w:rsid w:val="000B6FD3"/>
    <w:rsid w:val="000C02FE"/>
    <w:rsid w:val="000C0A42"/>
    <w:rsid w:val="000C0FC6"/>
    <w:rsid w:val="000C1E47"/>
    <w:rsid w:val="000C2131"/>
    <w:rsid w:val="000C2313"/>
    <w:rsid w:val="000C26F3"/>
    <w:rsid w:val="000C28D4"/>
    <w:rsid w:val="000C4896"/>
    <w:rsid w:val="000C5DF9"/>
    <w:rsid w:val="000C625A"/>
    <w:rsid w:val="000E049E"/>
    <w:rsid w:val="000E2838"/>
    <w:rsid w:val="000E3E22"/>
    <w:rsid w:val="000E4335"/>
    <w:rsid w:val="000E5145"/>
    <w:rsid w:val="000F75D2"/>
    <w:rsid w:val="0010131D"/>
    <w:rsid w:val="001026CE"/>
    <w:rsid w:val="00102AD3"/>
    <w:rsid w:val="0010799B"/>
    <w:rsid w:val="0011213C"/>
    <w:rsid w:val="00117DB2"/>
    <w:rsid w:val="00123ED2"/>
    <w:rsid w:val="00125BE0"/>
    <w:rsid w:val="0012751D"/>
    <w:rsid w:val="00136B37"/>
    <w:rsid w:val="0014076C"/>
    <w:rsid w:val="00140A43"/>
    <w:rsid w:val="00142C13"/>
    <w:rsid w:val="00142D53"/>
    <w:rsid w:val="00143AE4"/>
    <w:rsid w:val="00152776"/>
    <w:rsid w:val="00153222"/>
    <w:rsid w:val="001577D3"/>
    <w:rsid w:val="00162786"/>
    <w:rsid w:val="001678F8"/>
    <w:rsid w:val="00167D23"/>
    <w:rsid w:val="001733A6"/>
    <w:rsid w:val="00175805"/>
    <w:rsid w:val="00184F60"/>
    <w:rsid w:val="0018567F"/>
    <w:rsid w:val="001865A9"/>
    <w:rsid w:val="00187DB2"/>
    <w:rsid w:val="001905BD"/>
    <w:rsid w:val="00193156"/>
    <w:rsid w:val="001961AD"/>
    <w:rsid w:val="00196C45"/>
    <w:rsid w:val="001A74C1"/>
    <w:rsid w:val="001B20BB"/>
    <w:rsid w:val="001B2E1C"/>
    <w:rsid w:val="001B2FCC"/>
    <w:rsid w:val="001B3BF4"/>
    <w:rsid w:val="001C13A2"/>
    <w:rsid w:val="001C341B"/>
    <w:rsid w:val="001C4370"/>
    <w:rsid w:val="001C5E97"/>
    <w:rsid w:val="001D00D8"/>
    <w:rsid w:val="001D3580"/>
    <w:rsid w:val="001D3779"/>
    <w:rsid w:val="001D5B8E"/>
    <w:rsid w:val="001D7678"/>
    <w:rsid w:val="001E4A5B"/>
    <w:rsid w:val="001E4FD6"/>
    <w:rsid w:val="001F0469"/>
    <w:rsid w:val="002031D1"/>
    <w:rsid w:val="00203A98"/>
    <w:rsid w:val="00206EDD"/>
    <w:rsid w:val="0021247E"/>
    <w:rsid w:val="00212564"/>
    <w:rsid w:val="002146F6"/>
    <w:rsid w:val="00214930"/>
    <w:rsid w:val="002207E7"/>
    <w:rsid w:val="002248BD"/>
    <w:rsid w:val="00226D4F"/>
    <w:rsid w:val="00227A2D"/>
    <w:rsid w:val="00231C32"/>
    <w:rsid w:val="002377BD"/>
    <w:rsid w:val="00240271"/>
    <w:rsid w:val="00240345"/>
    <w:rsid w:val="002421F0"/>
    <w:rsid w:val="00247274"/>
    <w:rsid w:val="00247BE0"/>
    <w:rsid w:val="00260937"/>
    <w:rsid w:val="00266966"/>
    <w:rsid w:val="00275127"/>
    <w:rsid w:val="00275674"/>
    <w:rsid w:val="002759AD"/>
    <w:rsid w:val="002764F7"/>
    <w:rsid w:val="002778C1"/>
    <w:rsid w:val="00280533"/>
    <w:rsid w:val="0028287B"/>
    <w:rsid w:val="00285C85"/>
    <w:rsid w:val="00294C0C"/>
    <w:rsid w:val="002957DA"/>
    <w:rsid w:val="002A0934"/>
    <w:rsid w:val="002A4657"/>
    <w:rsid w:val="002A4D7B"/>
    <w:rsid w:val="002A7E3E"/>
    <w:rsid w:val="002B1013"/>
    <w:rsid w:val="002B585A"/>
    <w:rsid w:val="002B78BD"/>
    <w:rsid w:val="002D03E5"/>
    <w:rsid w:val="002D4684"/>
    <w:rsid w:val="002E24BD"/>
    <w:rsid w:val="002E3F1D"/>
    <w:rsid w:val="002E6DCF"/>
    <w:rsid w:val="002F31D0"/>
    <w:rsid w:val="002F3743"/>
    <w:rsid w:val="002F7482"/>
    <w:rsid w:val="00300359"/>
    <w:rsid w:val="00302845"/>
    <w:rsid w:val="003042E6"/>
    <w:rsid w:val="00305214"/>
    <w:rsid w:val="0031173E"/>
    <w:rsid w:val="0031773E"/>
    <w:rsid w:val="0032189A"/>
    <w:rsid w:val="00321ED6"/>
    <w:rsid w:val="0032524F"/>
    <w:rsid w:val="003258FC"/>
    <w:rsid w:val="003260E5"/>
    <w:rsid w:val="0032784D"/>
    <w:rsid w:val="00335E27"/>
    <w:rsid w:val="003401C1"/>
    <w:rsid w:val="003414D4"/>
    <w:rsid w:val="003429F8"/>
    <w:rsid w:val="00345337"/>
    <w:rsid w:val="0034535B"/>
    <w:rsid w:val="00346052"/>
    <w:rsid w:val="00346E12"/>
    <w:rsid w:val="00347716"/>
    <w:rsid w:val="003506E1"/>
    <w:rsid w:val="00357396"/>
    <w:rsid w:val="00360B5F"/>
    <w:rsid w:val="003610FA"/>
    <w:rsid w:val="00361AB6"/>
    <w:rsid w:val="00365AAB"/>
    <w:rsid w:val="003727E3"/>
    <w:rsid w:val="00376E02"/>
    <w:rsid w:val="003820E8"/>
    <w:rsid w:val="003835E7"/>
    <w:rsid w:val="0038372F"/>
    <w:rsid w:val="00383D78"/>
    <w:rsid w:val="00385A93"/>
    <w:rsid w:val="003910F1"/>
    <w:rsid w:val="0039289B"/>
    <w:rsid w:val="00394201"/>
    <w:rsid w:val="003958B4"/>
    <w:rsid w:val="003A21EC"/>
    <w:rsid w:val="003A540B"/>
    <w:rsid w:val="003B0D58"/>
    <w:rsid w:val="003B21A7"/>
    <w:rsid w:val="003B7D1D"/>
    <w:rsid w:val="003C4136"/>
    <w:rsid w:val="003C5A06"/>
    <w:rsid w:val="003C7C76"/>
    <w:rsid w:val="003D0CF9"/>
    <w:rsid w:val="003D1659"/>
    <w:rsid w:val="003D2508"/>
    <w:rsid w:val="003E0368"/>
    <w:rsid w:val="003E42FC"/>
    <w:rsid w:val="003E5991"/>
    <w:rsid w:val="003F0188"/>
    <w:rsid w:val="003F344A"/>
    <w:rsid w:val="003F487F"/>
    <w:rsid w:val="003F6FC2"/>
    <w:rsid w:val="00402A51"/>
    <w:rsid w:val="00402F3C"/>
    <w:rsid w:val="004038A3"/>
    <w:rsid w:val="00403FF0"/>
    <w:rsid w:val="0040507D"/>
    <w:rsid w:val="0040560D"/>
    <w:rsid w:val="00410112"/>
    <w:rsid w:val="0042046D"/>
    <w:rsid w:val="00423CF0"/>
    <w:rsid w:val="004247DA"/>
    <w:rsid w:val="00424BDF"/>
    <w:rsid w:val="00425AEF"/>
    <w:rsid w:val="00426518"/>
    <w:rsid w:val="00427005"/>
    <w:rsid w:val="00427B06"/>
    <w:rsid w:val="004404B4"/>
    <w:rsid w:val="00441396"/>
    <w:rsid w:val="00441DEC"/>
    <w:rsid w:val="00441F59"/>
    <w:rsid w:val="00444E07"/>
    <w:rsid w:val="00444FA9"/>
    <w:rsid w:val="00445786"/>
    <w:rsid w:val="00446581"/>
    <w:rsid w:val="0044724F"/>
    <w:rsid w:val="00450856"/>
    <w:rsid w:val="00457F88"/>
    <w:rsid w:val="0046096B"/>
    <w:rsid w:val="00460B1E"/>
    <w:rsid w:val="004610B3"/>
    <w:rsid w:val="00463262"/>
    <w:rsid w:val="004675E9"/>
    <w:rsid w:val="004702B2"/>
    <w:rsid w:val="00473E9C"/>
    <w:rsid w:val="00477782"/>
    <w:rsid w:val="00480099"/>
    <w:rsid w:val="004878F7"/>
    <w:rsid w:val="00491E41"/>
    <w:rsid w:val="004948FA"/>
    <w:rsid w:val="00495DD0"/>
    <w:rsid w:val="00497858"/>
    <w:rsid w:val="004A2A49"/>
    <w:rsid w:val="004A577C"/>
    <w:rsid w:val="004A6E5A"/>
    <w:rsid w:val="004B4FEA"/>
    <w:rsid w:val="004C0ADA"/>
    <w:rsid w:val="004C179A"/>
    <w:rsid w:val="004C433E"/>
    <w:rsid w:val="004C4512"/>
    <w:rsid w:val="004C4F36"/>
    <w:rsid w:val="004D0EF0"/>
    <w:rsid w:val="004D163E"/>
    <w:rsid w:val="004D3D85"/>
    <w:rsid w:val="004D4136"/>
    <w:rsid w:val="004D6060"/>
    <w:rsid w:val="004D7A10"/>
    <w:rsid w:val="004E2BD8"/>
    <w:rsid w:val="004E328F"/>
    <w:rsid w:val="004E6518"/>
    <w:rsid w:val="004F08A8"/>
    <w:rsid w:val="004F0F1F"/>
    <w:rsid w:val="004F27AC"/>
    <w:rsid w:val="004F310B"/>
    <w:rsid w:val="004F3880"/>
    <w:rsid w:val="005022AA"/>
    <w:rsid w:val="00504845"/>
    <w:rsid w:val="00504976"/>
    <w:rsid w:val="00505EB7"/>
    <w:rsid w:val="0050757F"/>
    <w:rsid w:val="00516AD2"/>
    <w:rsid w:val="00517489"/>
    <w:rsid w:val="00523CAF"/>
    <w:rsid w:val="00537779"/>
    <w:rsid w:val="00545DAE"/>
    <w:rsid w:val="00550965"/>
    <w:rsid w:val="0056337E"/>
    <w:rsid w:val="00567180"/>
    <w:rsid w:val="00571B83"/>
    <w:rsid w:val="00575A00"/>
    <w:rsid w:val="00580846"/>
    <w:rsid w:val="00580875"/>
    <w:rsid w:val="005851DE"/>
    <w:rsid w:val="005853DF"/>
    <w:rsid w:val="00585BC8"/>
    <w:rsid w:val="0058673C"/>
    <w:rsid w:val="005972DC"/>
    <w:rsid w:val="005A7972"/>
    <w:rsid w:val="005B144D"/>
    <w:rsid w:val="005B17E7"/>
    <w:rsid w:val="005B2643"/>
    <w:rsid w:val="005B40EB"/>
    <w:rsid w:val="005B505B"/>
    <w:rsid w:val="005B545B"/>
    <w:rsid w:val="005B5E13"/>
    <w:rsid w:val="005B7488"/>
    <w:rsid w:val="005C3789"/>
    <w:rsid w:val="005C5004"/>
    <w:rsid w:val="005D112F"/>
    <w:rsid w:val="005D17FD"/>
    <w:rsid w:val="005D305A"/>
    <w:rsid w:val="005D3D76"/>
    <w:rsid w:val="005D4116"/>
    <w:rsid w:val="005D6F92"/>
    <w:rsid w:val="005D7F00"/>
    <w:rsid w:val="005E55B0"/>
    <w:rsid w:val="005F0D55"/>
    <w:rsid w:val="005F183E"/>
    <w:rsid w:val="005F25B6"/>
    <w:rsid w:val="00600DDA"/>
    <w:rsid w:val="0060148A"/>
    <w:rsid w:val="00604211"/>
    <w:rsid w:val="006056C2"/>
    <w:rsid w:val="00613498"/>
    <w:rsid w:val="0061367C"/>
    <w:rsid w:val="00617923"/>
    <w:rsid w:val="00617B94"/>
    <w:rsid w:val="00620112"/>
    <w:rsid w:val="00620BED"/>
    <w:rsid w:val="0062242E"/>
    <w:rsid w:val="00623FD0"/>
    <w:rsid w:val="00625CD7"/>
    <w:rsid w:val="006263C8"/>
    <w:rsid w:val="00636AD9"/>
    <w:rsid w:val="00637426"/>
    <w:rsid w:val="00637891"/>
    <w:rsid w:val="00640808"/>
    <w:rsid w:val="006415B4"/>
    <w:rsid w:val="006415C0"/>
    <w:rsid w:val="00644E3D"/>
    <w:rsid w:val="00651B9E"/>
    <w:rsid w:val="00652019"/>
    <w:rsid w:val="006545BD"/>
    <w:rsid w:val="00657EC9"/>
    <w:rsid w:val="00660D79"/>
    <w:rsid w:val="00661DC9"/>
    <w:rsid w:val="00663F51"/>
    <w:rsid w:val="0066544B"/>
    <w:rsid w:val="00665633"/>
    <w:rsid w:val="00666E58"/>
    <w:rsid w:val="006707AB"/>
    <w:rsid w:val="00674082"/>
    <w:rsid w:val="00674C86"/>
    <w:rsid w:val="00677421"/>
    <w:rsid w:val="0068015E"/>
    <w:rsid w:val="006835FC"/>
    <w:rsid w:val="006861AB"/>
    <w:rsid w:val="00686B89"/>
    <w:rsid w:val="00690AD8"/>
    <w:rsid w:val="0069115E"/>
    <w:rsid w:val="00694ADF"/>
    <w:rsid w:val="00696852"/>
    <w:rsid w:val="00697227"/>
    <w:rsid w:val="006A2FC5"/>
    <w:rsid w:val="006A39EF"/>
    <w:rsid w:val="006A61CF"/>
    <w:rsid w:val="006A7D75"/>
    <w:rsid w:val="006B0A70"/>
    <w:rsid w:val="006B1FB7"/>
    <w:rsid w:val="006B328E"/>
    <w:rsid w:val="006B4976"/>
    <w:rsid w:val="006B49D1"/>
    <w:rsid w:val="006B597F"/>
    <w:rsid w:val="006B606A"/>
    <w:rsid w:val="006B62A6"/>
    <w:rsid w:val="006C24E7"/>
    <w:rsid w:val="006C33AF"/>
    <w:rsid w:val="006C3602"/>
    <w:rsid w:val="006C5111"/>
    <w:rsid w:val="006D5D22"/>
    <w:rsid w:val="006E0324"/>
    <w:rsid w:val="006E1A53"/>
    <w:rsid w:val="006E4A76"/>
    <w:rsid w:val="006E6DA1"/>
    <w:rsid w:val="006F1DBD"/>
    <w:rsid w:val="00700556"/>
    <w:rsid w:val="00706E32"/>
    <w:rsid w:val="00707D7B"/>
    <w:rsid w:val="00711458"/>
    <w:rsid w:val="0071199B"/>
    <w:rsid w:val="00715FD5"/>
    <w:rsid w:val="007167DD"/>
    <w:rsid w:val="00721D6F"/>
    <w:rsid w:val="00722B82"/>
    <w:rsid w:val="007232E5"/>
    <w:rsid w:val="0072478B"/>
    <w:rsid w:val="00724A6C"/>
    <w:rsid w:val="0073414D"/>
    <w:rsid w:val="00750FC3"/>
    <w:rsid w:val="0075235E"/>
    <w:rsid w:val="007536E4"/>
    <w:rsid w:val="00756234"/>
    <w:rsid w:val="00757B6C"/>
    <w:rsid w:val="007602E5"/>
    <w:rsid w:val="00765B6A"/>
    <w:rsid w:val="00767C9D"/>
    <w:rsid w:val="0077012B"/>
    <w:rsid w:val="00770CB8"/>
    <w:rsid w:val="007732CC"/>
    <w:rsid w:val="00774079"/>
    <w:rsid w:val="0077752B"/>
    <w:rsid w:val="007822F7"/>
    <w:rsid w:val="00782898"/>
    <w:rsid w:val="0078304A"/>
    <w:rsid w:val="007855FE"/>
    <w:rsid w:val="00786699"/>
    <w:rsid w:val="00790D0F"/>
    <w:rsid w:val="00793D6F"/>
    <w:rsid w:val="00794090"/>
    <w:rsid w:val="00795092"/>
    <w:rsid w:val="00796C76"/>
    <w:rsid w:val="007A2282"/>
    <w:rsid w:val="007A44F8"/>
    <w:rsid w:val="007A6A2E"/>
    <w:rsid w:val="007B5928"/>
    <w:rsid w:val="007B7BD8"/>
    <w:rsid w:val="007C3261"/>
    <w:rsid w:val="007D21BF"/>
    <w:rsid w:val="007D22E8"/>
    <w:rsid w:val="007D45D7"/>
    <w:rsid w:val="007D74D4"/>
    <w:rsid w:val="007D7E7B"/>
    <w:rsid w:val="007E00BC"/>
    <w:rsid w:val="007F0B9B"/>
    <w:rsid w:val="007F23F4"/>
    <w:rsid w:val="007F3C12"/>
    <w:rsid w:val="007F5205"/>
    <w:rsid w:val="007F5318"/>
    <w:rsid w:val="007F73BD"/>
    <w:rsid w:val="008000B6"/>
    <w:rsid w:val="0080486B"/>
    <w:rsid w:val="008052E3"/>
    <w:rsid w:val="008215E7"/>
    <w:rsid w:val="00827841"/>
    <w:rsid w:val="00827AAD"/>
    <w:rsid w:val="00830FC6"/>
    <w:rsid w:val="008336F7"/>
    <w:rsid w:val="008338E3"/>
    <w:rsid w:val="00835CE1"/>
    <w:rsid w:val="00851F06"/>
    <w:rsid w:val="008522FA"/>
    <w:rsid w:val="008563E3"/>
    <w:rsid w:val="00860C72"/>
    <w:rsid w:val="00865EAA"/>
    <w:rsid w:val="00866F06"/>
    <w:rsid w:val="00867539"/>
    <w:rsid w:val="00867E8F"/>
    <w:rsid w:val="008728F5"/>
    <w:rsid w:val="00873328"/>
    <w:rsid w:val="00874FD1"/>
    <w:rsid w:val="00875BBE"/>
    <w:rsid w:val="0087788D"/>
    <w:rsid w:val="008824C2"/>
    <w:rsid w:val="008845ED"/>
    <w:rsid w:val="00886751"/>
    <w:rsid w:val="0089362C"/>
    <w:rsid w:val="0089383D"/>
    <w:rsid w:val="00893F2B"/>
    <w:rsid w:val="008960E4"/>
    <w:rsid w:val="0089632C"/>
    <w:rsid w:val="008A3940"/>
    <w:rsid w:val="008A6754"/>
    <w:rsid w:val="008B13C9"/>
    <w:rsid w:val="008B15B5"/>
    <w:rsid w:val="008B5032"/>
    <w:rsid w:val="008C2360"/>
    <w:rsid w:val="008C248C"/>
    <w:rsid w:val="008C47AE"/>
    <w:rsid w:val="008C5432"/>
    <w:rsid w:val="008C7BF1"/>
    <w:rsid w:val="008D00D6"/>
    <w:rsid w:val="008D4D00"/>
    <w:rsid w:val="008D4E57"/>
    <w:rsid w:val="008D4E5E"/>
    <w:rsid w:val="008D78C9"/>
    <w:rsid w:val="008D7ABD"/>
    <w:rsid w:val="008D7F59"/>
    <w:rsid w:val="008E192F"/>
    <w:rsid w:val="008E45AF"/>
    <w:rsid w:val="008E4C61"/>
    <w:rsid w:val="008E55A2"/>
    <w:rsid w:val="008F11C5"/>
    <w:rsid w:val="008F1609"/>
    <w:rsid w:val="008F4CF1"/>
    <w:rsid w:val="008F56E5"/>
    <w:rsid w:val="008F76C7"/>
    <w:rsid w:val="008F78D8"/>
    <w:rsid w:val="00900446"/>
    <w:rsid w:val="00901F54"/>
    <w:rsid w:val="00902E83"/>
    <w:rsid w:val="00906EDA"/>
    <w:rsid w:val="00921953"/>
    <w:rsid w:val="0093033B"/>
    <w:rsid w:val="009326DB"/>
    <w:rsid w:val="00935035"/>
    <w:rsid w:val="009363B2"/>
    <w:rsid w:val="00936AA7"/>
    <w:rsid w:val="009370B6"/>
    <w:rsid w:val="00943F26"/>
    <w:rsid w:val="00950A37"/>
    <w:rsid w:val="00960487"/>
    <w:rsid w:val="00960A2F"/>
    <w:rsid w:val="00961620"/>
    <w:rsid w:val="0096214E"/>
    <w:rsid w:val="00965057"/>
    <w:rsid w:val="00967830"/>
    <w:rsid w:val="009678B3"/>
    <w:rsid w:val="009734B6"/>
    <w:rsid w:val="00976C87"/>
    <w:rsid w:val="0098096F"/>
    <w:rsid w:val="0098437A"/>
    <w:rsid w:val="00984636"/>
    <w:rsid w:val="009862BE"/>
    <w:rsid w:val="00986C92"/>
    <w:rsid w:val="00993C47"/>
    <w:rsid w:val="009957F9"/>
    <w:rsid w:val="009A014A"/>
    <w:rsid w:val="009A31A8"/>
    <w:rsid w:val="009A4780"/>
    <w:rsid w:val="009B46F4"/>
    <w:rsid w:val="009B4B16"/>
    <w:rsid w:val="009B63BC"/>
    <w:rsid w:val="009B7303"/>
    <w:rsid w:val="009B7561"/>
    <w:rsid w:val="009C50A6"/>
    <w:rsid w:val="009C7C31"/>
    <w:rsid w:val="009D561B"/>
    <w:rsid w:val="009D670F"/>
    <w:rsid w:val="009E2B92"/>
    <w:rsid w:val="009E347D"/>
    <w:rsid w:val="009E54A1"/>
    <w:rsid w:val="009E68D3"/>
    <w:rsid w:val="009F1B53"/>
    <w:rsid w:val="009F43B6"/>
    <w:rsid w:val="009F4E25"/>
    <w:rsid w:val="009F5B1F"/>
    <w:rsid w:val="00A04EE8"/>
    <w:rsid w:val="00A05834"/>
    <w:rsid w:val="00A0622E"/>
    <w:rsid w:val="00A22535"/>
    <w:rsid w:val="00A25F08"/>
    <w:rsid w:val="00A35DFD"/>
    <w:rsid w:val="00A36EA8"/>
    <w:rsid w:val="00A41570"/>
    <w:rsid w:val="00A50526"/>
    <w:rsid w:val="00A6667C"/>
    <w:rsid w:val="00A702DF"/>
    <w:rsid w:val="00A775A3"/>
    <w:rsid w:val="00A81B5B"/>
    <w:rsid w:val="00A828C5"/>
    <w:rsid w:val="00A82FAD"/>
    <w:rsid w:val="00A900C5"/>
    <w:rsid w:val="00A93044"/>
    <w:rsid w:val="00A94345"/>
    <w:rsid w:val="00A9673A"/>
    <w:rsid w:val="00A96BD1"/>
    <w:rsid w:val="00A96EF2"/>
    <w:rsid w:val="00AA1466"/>
    <w:rsid w:val="00AA1EA2"/>
    <w:rsid w:val="00AA2B13"/>
    <w:rsid w:val="00AA5608"/>
    <w:rsid w:val="00AA5C35"/>
    <w:rsid w:val="00AA5ED9"/>
    <w:rsid w:val="00AA637B"/>
    <w:rsid w:val="00AA72AB"/>
    <w:rsid w:val="00AB0D5F"/>
    <w:rsid w:val="00AB2DA5"/>
    <w:rsid w:val="00AB39E0"/>
    <w:rsid w:val="00AB3A8D"/>
    <w:rsid w:val="00AB462A"/>
    <w:rsid w:val="00AB47E1"/>
    <w:rsid w:val="00AC0A38"/>
    <w:rsid w:val="00AC4E0E"/>
    <w:rsid w:val="00AC517B"/>
    <w:rsid w:val="00AC75D8"/>
    <w:rsid w:val="00AD0D19"/>
    <w:rsid w:val="00AD3EAB"/>
    <w:rsid w:val="00AE4BFC"/>
    <w:rsid w:val="00AF051B"/>
    <w:rsid w:val="00B01537"/>
    <w:rsid w:val="00B02919"/>
    <w:rsid w:val="00B037A2"/>
    <w:rsid w:val="00B04F68"/>
    <w:rsid w:val="00B06395"/>
    <w:rsid w:val="00B12937"/>
    <w:rsid w:val="00B14DFB"/>
    <w:rsid w:val="00B17953"/>
    <w:rsid w:val="00B20564"/>
    <w:rsid w:val="00B21143"/>
    <w:rsid w:val="00B23BFA"/>
    <w:rsid w:val="00B25432"/>
    <w:rsid w:val="00B31870"/>
    <w:rsid w:val="00B320B8"/>
    <w:rsid w:val="00B35EE2"/>
    <w:rsid w:val="00B36131"/>
    <w:rsid w:val="00B36DEF"/>
    <w:rsid w:val="00B44E56"/>
    <w:rsid w:val="00B50A4E"/>
    <w:rsid w:val="00B57131"/>
    <w:rsid w:val="00B578E2"/>
    <w:rsid w:val="00B62F2C"/>
    <w:rsid w:val="00B67F97"/>
    <w:rsid w:val="00B70EEC"/>
    <w:rsid w:val="00B727C9"/>
    <w:rsid w:val="00B733F8"/>
    <w:rsid w:val="00B735C8"/>
    <w:rsid w:val="00B7512C"/>
    <w:rsid w:val="00B76A63"/>
    <w:rsid w:val="00B76DAC"/>
    <w:rsid w:val="00B829DA"/>
    <w:rsid w:val="00B8405B"/>
    <w:rsid w:val="00B9108D"/>
    <w:rsid w:val="00B94DAB"/>
    <w:rsid w:val="00B95FF8"/>
    <w:rsid w:val="00BA037D"/>
    <w:rsid w:val="00BA1771"/>
    <w:rsid w:val="00BA362E"/>
    <w:rsid w:val="00BA50A3"/>
    <w:rsid w:val="00BA6350"/>
    <w:rsid w:val="00BA6888"/>
    <w:rsid w:val="00BB0005"/>
    <w:rsid w:val="00BB1252"/>
    <w:rsid w:val="00BB3310"/>
    <w:rsid w:val="00BB4E29"/>
    <w:rsid w:val="00BB74C9"/>
    <w:rsid w:val="00BC14EC"/>
    <w:rsid w:val="00BC3AB6"/>
    <w:rsid w:val="00BC4F86"/>
    <w:rsid w:val="00BC66E1"/>
    <w:rsid w:val="00BC7830"/>
    <w:rsid w:val="00BD19E8"/>
    <w:rsid w:val="00BD4273"/>
    <w:rsid w:val="00BD71C2"/>
    <w:rsid w:val="00BE0EDC"/>
    <w:rsid w:val="00BE26BA"/>
    <w:rsid w:val="00BE32A0"/>
    <w:rsid w:val="00BF4D5E"/>
    <w:rsid w:val="00C04CA5"/>
    <w:rsid w:val="00C20887"/>
    <w:rsid w:val="00C23E94"/>
    <w:rsid w:val="00C24215"/>
    <w:rsid w:val="00C24642"/>
    <w:rsid w:val="00C33C23"/>
    <w:rsid w:val="00C40690"/>
    <w:rsid w:val="00C4102E"/>
    <w:rsid w:val="00C432E4"/>
    <w:rsid w:val="00C44F59"/>
    <w:rsid w:val="00C45B8B"/>
    <w:rsid w:val="00C47E6C"/>
    <w:rsid w:val="00C511F7"/>
    <w:rsid w:val="00C5611B"/>
    <w:rsid w:val="00C570BA"/>
    <w:rsid w:val="00C6068F"/>
    <w:rsid w:val="00C653BE"/>
    <w:rsid w:val="00C67776"/>
    <w:rsid w:val="00C709FB"/>
    <w:rsid w:val="00C70C26"/>
    <w:rsid w:val="00C72001"/>
    <w:rsid w:val="00C772B7"/>
    <w:rsid w:val="00C80347"/>
    <w:rsid w:val="00C818FC"/>
    <w:rsid w:val="00C83582"/>
    <w:rsid w:val="00C85AE4"/>
    <w:rsid w:val="00C86D57"/>
    <w:rsid w:val="00CA3767"/>
    <w:rsid w:val="00CB0123"/>
    <w:rsid w:val="00CB3474"/>
    <w:rsid w:val="00CB568F"/>
    <w:rsid w:val="00CB7C1A"/>
    <w:rsid w:val="00CC5E08"/>
    <w:rsid w:val="00CC7A60"/>
    <w:rsid w:val="00CD6112"/>
    <w:rsid w:val="00CD6FB8"/>
    <w:rsid w:val="00CE1D50"/>
    <w:rsid w:val="00CF0C19"/>
    <w:rsid w:val="00CF6860"/>
    <w:rsid w:val="00D02AC6"/>
    <w:rsid w:val="00D032BE"/>
    <w:rsid w:val="00D03F0C"/>
    <w:rsid w:val="00D04312"/>
    <w:rsid w:val="00D052EA"/>
    <w:rsid w:val="00D11762"/>
    <w:rsid w:val="00D11AE5"/>
    <w:rsid w:val="00D16A7F"/>
    <w:rsid w:val="00D16AD2"/>
    <w:rsid w:val="00D20F95"/>
    <w:rsid w:val="00D2117F"/>
    <w:rsid w:val="00D22596"/>
    <w:rsid w:val="00D22691"/>
    <w:rsid w:val="00D24C3D"/>
    <w:rsid w:val="00D313D0"/>
    <w:rsid w:val="00D31AEA"/>
    <w:rsid w:val="00D32327"/>
    <w:rsid w:val="00D43181"/>
    <w:rsid w:val="00D435D5"/>
    <w:rsid w:val="00D449B7"/>
    <w:rsid w:val="00D46CB1"/>
    <w:rsid w:val="00D56415"/>
    <w:rsid w:val="00D578BE"/>
    <w:rsid w:val="00D70422"/>
    <w:rsid w:val="00D71B1F"/>
    <w:rsid w:val="00D71DDF"/>
    <w:rsid w:val="00D723F0"/>
    <w:rsid w:val="00D72FA1"/>
    <w:rsid w:val="00D8133F"/>
    <w:rsid w:val="00D953FA"/>
    <w:rsid w:val="00D95B05"/>
    <w:rsid w:val="00D95B79"/>
    <w:rsid w:val="00D97E2D"/>
    <w:rsid w:val="00DA103D"/>
    <w:rsid w:val="00DA26AB"/>
    <w:rsid w:val="00DA332E"/>
    <w:rsid w:val="00DA45D3"/>
    <w:rsid w:val="00DA4772"/>
    <w:rsid w:val="00DA6D8E"/>
    <w:rsid w:val="00DA7440"/>
    <w:rsid w:val="00DB2667"/>
    <w:rsid w:val="00DB4698"/>
    <w:rsid w:val="00DB67B7"/>
    <w:rsid w:val="00DC15A9"/>
    <w:rsid w:val="00DC3925"/>
    <w:rsid w:val="00DC40AA"/>
    <w:rsid w:val="00DC5A7F"/>
    <w:rsid w:val="00DC78EF"/>
    <w:rsid w:val="00DC7DE6"/>
    <w:rsid w:val="00DD0D9D"/>
    <w:rsid w:val="00DD1750"/>
    <w:rsid w:val="00DD18F1"/>
    <w:rsid w:val="00DD1D18"/>
    <w:rsid w:val="00DD3AAF"/>
    <w:rsid w:val="00DE432F"/>
    <w:rsid w:val="00DF6250"/>
    <w:rsid w:val="00E02B1C"/>
    <w:rsid w:val="00E0596D"/>
    <w:rsid w:val="00E11E10"/>
    <w:rsid w:val="00E147DE"/>
    <w:rsid w:val="00E16827"/>
    <w:rsid w:val="00E16ECD"/>
    <w:rsid w:val="00E20EFD"/>
    <w:rsid w:val="00E222DD"/>
    <w:rsid w:val="00E246E1"/>
    <w:rsid w:val="00E26938"/>
    <w:rsid w:val="00E31C31"/>
    <w:rsid w:val="00E32CEE"/>
    <w:rsid w:val="00E32DA2"/>
    <w:rsid w:val="00E349AA"/>
    <w:rsid w:val="00E41390"/>
    <w:rsid w:val="00E41CA0"/>
    <w:rsid w:val="00E4366B"/>
    <w:rsid w:val="00E43FB8"/>
    <w:rsid w:val="00E475C7"/>
    <w:rsid w:val="00E50A4A"/>
    <w:rsid w:val="00E53A72"/>
    <w:rsid w:val="00E5626E"/>
    <w:rsid w:val="00E606DE"/>
    <w:rsid w:val="00E61465"/>
    <w:rsid w:val="00E644FE"/>
    <w:rsid w:val="00E661E8"/>
    <w:rsid w:val="00E70066"/>
    <w:rsid w:val="00E719D9"/>
    <w:rsid w:val="00E72733"/>
    <w:rsid w:val="00E72754"/>
    <w:rsid w:val="00E735F4"/>
    <w:rsid w:val="00E742FA"/>
    <w:rsid w:val="00E7550C"/>
    <w:rsid w:val="00E76816"/>
    <w:rsid w:val="00E77E12"/>
    <w:rsid w:val="00E81ED3"/>
    <w:rsid w:val="00E82974"/>
    <w:rsid w:val="00E83DBF"/>
    <w:rsid w:val="00E849D2"/>
    <w:rsid w:val="00E87C13"/>
    <w:rsid w:val="00E9053A"/>
    <w:rsid w:val="00E93593"/>
    <w:rsid w:val="00E94CD9"/>
    <w:rsid w:val="00E97080"/>
    <w:rsid w:val="00EA1A76"/>
    <w:rsid w:val="00EA290B"/>
    <w:rsid w:val="00EA2F5D"/>
    <w:rsid w:val="00EA477F"/>
    <w:rsid w:val="00EB0D51"/>
    <w:rsid w:val="00EB267F"/>
    <w:rsid w:val="00EC2DD4"/>
    <w:rsid w:val="00EC7748"/>
    <w:rsid w:val="00ED5484"/>
    <w:rsid w:val="00EE0E90"/>
    <w:rsid w:val="00EE4F3F"/>
    <w:rsid w:val="00EE6990"/>
    <w:rsid w:val="00EE6CDB"/>
    <w:rsid w:val="00EF3BCA"/>
    <w:rsid w:val="00EF4A7E"/>
    <w:rsid w:val="00EF654C"/>
    <w:rsid w:val="00EF729B"/>
    <w:rsid w:val="00F017FC"/>
    <w:rsid w:val="00F01B0D"/>
    <w:rsid w:val="00F10782"/>
    <w:rsid w:val="00F1238F"/>
    <w:rsid w:val="00F128AD"/>
    <w:rsid w:val="00F1311C"/>
    <w:rsid w:val="00F15952"/>
    <w:rsid w:val="00F16003"/>
    <w:rsid w:val="00F16485"/>
    <w:rsid w:val="00F228ED"/>
    <w:rsid w:val="00F26E31"/>
    <w:rsid w:val="00F27C6C"/>
    <w:rsid w:val="00F34A8D"/>
    <w:rsid w:val="00F35FFF"/>
    <w:rsid w:val="00F37B38"/>
    <w:rsid w:val="00F37D9B"/>
    <w:rsid w:val="00F4185C"/>
    <w:rsid w:val="00F42789"/>
    <w:rsid w:val="00F47D0D"/>
    <w:rsid w:val="00F50D25"/>
    <w:rsid w:val="00F5189D"/>
    <w:rsid w:val="00F51A62"/>
    <w:rsid w:val="00F522D6"/>
    <w:rsid w:val="00F535D8"/>
    <w:rsid w:val="00F545AA"/>
    <w:rsid w:val="00F54F61"/>
    <w:rsid w:val="00F54F88"/>
    <w:rsid w:val="00F60261"/>
    <w:rsid w:val="00F61155"/>
    <w:rsid w:val="00F61892"/>
    <w:rsid w:val="00F6411F"/>
    <w:rsid w:val="00F708E3"/>
    <w:rsid w:val="00F76561"/>
    <w:rsid w:val="00F774EB"/>
    <w:rsid w:val="00F77850"/>
    <w:rsid w:val="00F84736"/>
    <w:rsid w:val="00F854C7"/>
    <w:rsid w:val="00F865AA"/>
    <w:rsid w:val="00F915F0"/>
    <w:rsid w:val="00F92331"/>
    <w:rsid w:val="00F9446E"/>
    <w:rsid w:val="00FA4C38"/>
    <w:rsid w:val="00FA5B48"/>
    <w:rsid w:val="00FA7116"/>
    <w:rsid w:val="00FB4DC1"/>
    <w:rsid w:val="00FB4F8A"/>
    <w:rsid w:val="00FC34C1"/>
    <w:rsid w:val="00FC627D"/>
    <w:rsid w:val="00FC6C29"/>
    <w:rsid w:val="00FC6E6B"/>
    <w:rsid w:val="00FD0322"/>
    <w:rsid w:val="00FD091C"/>
    <w:rsid w:val="00FD1F40"/>
    <w:rsid w:val="00FD58E0"/>
    <w:rsid w:val="00FD5C5D"/>
    <w:rsid w:val="00FE0198"/>
    <w:rsid w:val="00FE2F32"/>
    <w:rsid w:val="00FE3871"/>
    <w:rsid w:val="00FE3A7C"/>
    <w:rsid w:val="00FE5466"/>
    <w:rsid w:val="00FE63DE"/>
    <w:rsid w:val="00FF051D"/>
    <w:rsid w:val="00FF1C0B"/>
    <w:rsid w:val="00FF232D"/>
    <w:rsid w:val="00FF7F9B"/>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15:docId w15:val="{01281554-004A-4987-A89D-3DDC99A3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0A736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B67F97"/>
    <w:rPr>
      <w:rFonts w:ascii="Segoe UI" w:hAnsi="Segoe UI" w:cs="Segoe UI"/>
      <w:sz w:val="18"/>
      <w:szCs w:val="18"/>
    </w:rPr>
  </w:style>
  <w:style w:type="character" w:customStyle="1" w:styleId="BalloonTextChar">
    <w:name w:val="Balloon Text Char"/>
    <w:basedOn w:val="DefaultParagraphFont"/>
    <w:link w:val="BalloonText"/>
    <w:semiHidden/>
    <w:rsid w:val="00B67F97"/>
    <w:rPr>
      <w:rFonts w:ascii="Segoe UI" w:hAnsi="Segoe UI" w:cs="Segoe UI"/>
      <w:sz w:val="18"/>
      <w:szCs w:val="18"/>
    </w:rPr>
  </w:style>
  <w:style w:type="paragraph" w:customStyle="1" w:styleId="Body">
    <w:name w:val="Body"/>
    <w:rsid w:val="00A6667C"/>
    <w:rPr>
      <w:rFonts w:ascii="Helvetica" w:eastAsia="Arial Unicode MS" w:hAnsi="Arial Unicode MS" w:cs="Arial Unicode MS"/>
      <w:color w:val="000000"/>
      <w:sz w:val="22"/>
      <w:szCs w:val="22"/>
    </w:rPr>
  </w:style>
  <w:style w:type="paragraph" w:customStyle="1" w:styleId="Default">
    <w:name w:val="Default"/>
    <w:rsid w:val="00A6667C"/>
    <w:rPr>
      <w:rFonts w:ascii="Arial Unicode MS" w:eastAsia="Arial Unicode MS" w:hAnsi="Helvetica" w:cs="Arial Unicode MS"/>
      <w:color w:val="000000"/>
      <w:sz w:val="22"/>
      <w:szCs w:val="22"/>
    </w:rPr>
  </w:style>
  <w:style w:type="character" w:customStyle="1" w:styleId="Hyperlink0">
    <w:name w:val="Hyperlink.0"/>
    <w:basedOn w:val="DefaultParagraphFont"/>
    <w:rsid w:val="00A6667C"/>
    <w:rPr>
      <w:color w:val="0000FF"/>
      <w:u w:val="single" w:color="0000FF"/>
      <w:lang w:val="en-US"/>
    </w:rPr>
  </w:style>
  <w:style w:type="paragraph" w:styleId="Header">
    <w:name w:val="header"/>
    <w:basedOn w:val="Normal"/>
    <w:link w:val="HeaderChar"/>
    <w:unhideWhenUsed/>
    <w:rsid w:val="000E3E22"/>
    <w:pPr>
      <w:tabs>
        <w:tab w:val="center" w:pos="4680"/>
        <w:tab w:val="right" w:pos="9360"/>
      </w:tabs>
    </w:pPr>
  </w:style>
  <w:style w:type="character" w:customStyle="1" w:styleId="HeaderChar">
    <w:name w:val="Header Char"/>
    <w:basedOn w:val="DefaultParagraphFont"/>
    <w:link w:val="Header"/>
    <w:rsid w:val="000E3E22"/>
    <w:rPr>
      <w:sz w:val="24"/>
      <w:szCs w:val="24"/>
    </w:rPr>
  </w:style>
  <w:style w:type="paragraph" w:styleId="Footer">
    <w:name w:val="footer"/>
    <w:basedOn w:val="Normal"/>
    <w:link w:val="FooterChar"/>
    <w:uiPriority w:val="99"/>
    <w:unhideWhenUsed/>
    <w:rsid w:val="000E3E22"/>
    <w:pPr>
      <w:tabs>
        <w:tab w:val="center" w:pos="4680"/>
        <w:tab w:val="right" w:pos="9360"/>
      </w:tabs>
    </w:pPr>
  </w:style>
  <w:style w:type="character" w:customStyle="1" w:styleId="FooterChar">
    <w:name w:val="Footer Char"/>
    <w:basedOn w:val="DefaultParagraphFont"/>
    <w:link w:val="Footer"/>
    <w:uiPriority w:val="99"/>
    <w:rsid w:val="000E3E22"/>
    <w:rPr>
      <w:sz w:val="24"/>
      <w:szCs w:val="24"/>
    </w:r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f,fn,fn Char,rrfootnote"/>
    <w:basedOn w:val="Normal"/>
    <w:link w:val="FootnoteTextChar"/>
    <w:unhideWhenUsed/>
    <w:rsid w:val="00A0622E"/>
    <w:rPr>
      <w:sz w:val="20"/>
      <w:szCs w:val="20"/>
    </w:rPr>
  </w:style>
  <w:style w:type="character" w:customStyle="1" w:styleId="FootnoteTextChar">
    <w:name w:val="Footnote Text Char"/>
    <w:aliases w:val="Footnote Text Char Char Char4 Char Char1,Footnote Text Char1 Char1,Footnote Text Char4 Char1 Char Char Char Char Char1,Footnote Text Char4 Char1 Char Char1,Footnote Text Char7 Char Char Char Char Char1,Footnote Text Char7 Char Char1"/>
    <w:basedOn w:val="DefaultParagraphFont"/>
    <w:link w:val="FootnoteText"/>
    <w:semiHidden/>
    <w:rsid w:val="00A0622E"/>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0622E"/>
    <w:rPr>
      <w:rFonts w:ascii="Times New Roman" w:hAnsi="Times New Roman"/>
      <w:dstrike w:val="0"/>
      <w:color w:val="auto"/>
      <w:sz w:val="20"/>
      <w:vertAlign w:val="superscript"/>
    </w:rPr>
  </w:style>
  <w:style w:type="character" w:styleId="CommentReference">
    <w:name w:val="annotation reference"/>
    <w:basedOn w:val="DefaultParagraphFont"/>
    <w:unhideWhenUsed/>
    <w:rsid w:val="005B545B"/>
    <w:rPr>
      <w:sz w:val="16"/>
      <w:szCs w:val="16"/>
    </w:rPr>
  </w:style>
  <w:style w:type="paragraph" w:styleId="CommentText">
    <w:name w:val="annotation text"/>
    <w:basedOn w:val="Normal"/>
    <w:link w:val="CommentTextChar"/>
    <w:semiHidden/>
    <w:unhideWhenUsed/>
    <w:rsid w:val="003F0188"/>
    <w:rPr>
      <w:sz w:val="20"/>
      <w:szCs w:val="20"/>
    </w:rPr>
  </w:style>
  <w:style w:type="character" w:customStyle="1" w:styleId="CommentTextChar">
    <w:name w:val="Comment Text Char"/>
    <w:basedOn w:val="DefaultParagraphFont"/>
    <w:link w:val="CommentText"/>
    <w:semiHidden/>
    <w:rsid w:val="003F0188"/>
  </w:style>
  <w:style w:type="paragraph" w:styleId="CommentSubject">
    <w:name w:val="annotation subject"/>
    <w:basedOn w:val="CommentText"/>
    <w:next w:val="CommentText"/>
    <w:link w:val="CommentSubjectChar"/>
    <w:semiHidden/>
    <w:unhideWhenUsed/>
    <w:rsid w:val="003F0188"/>
    <w:rPr>
      <w:b/>
      <w:bCs/>
    </w:rPr>
  </w:style>
  <w:style w:type="character" w:customStyle="1" w:styleId="CommentSubjectChar">
    <w:name w:val="Comment Subject Char"/>
    <w:basedOn w:val="CommentTextChar"/>
    <w:link w:val="CommentSubject"/>
    <w:semiHidden/>
    <w:rsid w:val="003F0188"/>
    <w:rPr>
      <w:b/>
      <w:bCs/>
    </w:rPr>
  </w:style>
  <w:style w:type="paragraph" w:styleId="Revision">
    <w:name w:val="Revision"/>
    <w:hidden/>
    <w:uiPriority w:val="99"/>
    <w:semiHidden/>
    <w:rsid w:val="00463262"/>
    <w:rPr>
      <w:sz w:val="24"/>
      <w:szCs w:val="24"/>
    </w:rPr>
  </w:style>
  <w:style w:type="character" w:customStyle="1" w:styleId="UnresolvedMention">
    <w:name w:val="Unresolved Mention"/>
    <w:basedOn w:val="DefaultParagraphFont"/>
    <w:rsid w:val="00C47E6C"/>
    <w:rPr>
      <w:color w:val="605E5C"/>
      <w:shd w:val="clear" w:color="auto" w:fill="E1DFDD"/>
    </w:rPr>
  </w:style>
  <w:style w:type="character" w:customStyle="1" w:styleId="FootnoteTextChar2">
    <w:name w:val="Footnote Text Char2"/>
    <w:aliases w:val="Footnote Text Char Char Char4 Char Char,Footnote Text Char1 Char,Footnote Text Char4 Char1 Char Char,Footnote Text Char4 Char1 Char Char Char Char Char,Footnote Text Char7 Char Char,Footnote Text Char7 Char Char Char Char Char,f Char"/>
    <w:locked/>
    <w:rsid w:val="00BC1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A-20-448A1.pdf"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