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28B" w:rsidRPr="00A01E5A" w14:paraId="03BFE213" w14:textId="77777777">
      <w:pPr>
        <w:jc w:val="center"/>
        <w:rPr>
          <w:b/>
          <w:szCs w:val="22"/>
        </w:rPr>
      </w:pPr>
      <w:r w:rsidRPr="00A01E5A">
        <w:rPr>
          <w:b/>
          <w:szCs w:val="22"/>
        </w:rPr>
        <w:t>Before the</w:t>
      </w:r>
    </w:p>
    <w:p w:rsidR="0060228B" w:rsidRPr="00A01E5A" w14:paraId="7350A95F" w14:textId="77777777">
      <w:pPr>
        <w:jc w:val="center"/>
        <w:rPr>
          <w:b/>
          <w:szCs w:val="22"/>
        </w:rPr>
      </w:pPr>
      <w:r w:rsidRPr="00A01E5A">
        <w:rPr>
          <w:b/>
          <w:szCs w:val="22"/>
        </w:rPr>
        <w:t>Federal Communications Commission</w:t>
      </w:r>
    </w:p>
    <w:p w:rsidR="0060228B" w:rsidRPr="00A01E5A" w14:paraId="787EA3BC" w14:textId="77777777">
      <w:pPr>
        <w:jc w:val="center"/>
        <w:rPr>
          <w:b/>
          <w:szCs w:val="22"/>
        </w:rPr>
      </w:pPr>
      <w:r w:rsidRPr="00A01E5A">
        <w:rPr>
          <w:b/>
          <w:szCs w:val="22"/>
        </w:rPr>
        <w:t>Washington, D.C. 20554</w:t>
      </w:r>
    </w:p>
    <w:p w:rsidR="0060228B" w:rsidRPr="00A01E5A" w14:paraId="2D5C57D0" w14:textId="77777777">
      <w:pPr>
        <w:rPr>
          <w:szCs w:val="22"/>
        </w:rPr>
      </w:pPr>
    </w:p>
    <w:p w:rsidR="0060228B" w:rsidRPr="00A01E5A" w14:paraId="4AA18B6C" w14:textId="77777777">
      <w:pPr>
        <w:rPr>
          <w:szCs w:val="22"/>
        </w:rPr>
      </w:pPr>
    </w:p>
    <w:tbl>
      <w:tblPr>
        <w:tblW w:w="9576" w:type="dxa"/>
        <w:tblInd w:w="-108" w:type="dxa"/>
        <w:tblLayout w:type="fixed"/>
        <w:tblLook w:val="0000"/>
      </w:tblPr>
      <w:tblGrid>
        <w:gridCol w:w="4698"/>
        <w:gridCol w:w="630"/>
        <w:gridCol w:w="4248"/>
      </w:tblGrid>
      <w:tr w14:paraId="12BC67C6" w14:textId="77777777" w:rsidTr="005C02BC">
        <w:tblPrEx>
          <w:tblW w:w="9576" w:type="dxa"/>
          <w:tblInd w:w="-108" w:type="dxa"/>
          <w:tblLayout w:type="fixed"/>
          <w:tblLook w:val="0000"/>
        </w:tblPrEx>
        <w:tc>
          <w:tcPr>
            <w:tcW w:w="4698" w:type="dxa"/>
          </w:tcPr>
          <w:p w:rsidR="005C02BC" w:rsidRPr="00A01E5A" w:rsidP="008833E7" w14:paraId="326E854D" w14:textId="77777777">
            <w:pPr>
              <w:tabs>
                <w:tab w:val="center" w:pos="4680"/>
              </w:tabs>
              <w:suppressAutoHyphens/>
              <w:rPr>
                <w:spacing w:val="-2"/>
                <w:szCs w:val="22"/>
              </w:rPr>
            </w:pPr>
            <w:r w:rsidRPr="00A01E5A">
              <w:rPr>
                <w:spacing w:val="-2"/>
                <w:szCs w:val="22"/>
              </w:rPr>
              <w:t>In the Matter of</w:t>
            </w:r>
          </w:p>
          <w:p w:rsidR="005C02BC" w:rsidRPr="00A01E5A" w:rsidP="008833E7" w14:paraId="54FCB75C" w14:textId="77777777">
            <w:pPr>
              <w:tabs>
                <w:tab w:val="center" w:pos="4680"/>
              </w:tabs>
              <w:suppressAutoHyphens/>
              <w:rPr>
                <w:spacing w:val="-2"/>
                <w:szCs w:val="22"/>
              </w:rPr>
            </w:pPr>
          </w:p>
          <w:p w:rsidR="00D71584" w:rsidRPr="00A01E5A" w:rsidP="00D71584" w14:paraId="3E462478" w14:textId="4CC83C26">
            <w:pPr>
              <w:tabs>
                <w:tab w:val="center" w:pos="4680"/>
              </w:tabs>
              <w:suppressAutoHyphens/>
              <w:rPr>
                <w:spacing w:val="-2"/>
                <w:szCs w:val="22"/>
              </w:rPr>
            </w:pPr>
            <w:r w:rsidRPr="00A01E5A">
              <w:rPr>
                <w:spacing w:val="-2"/>
                <w:szCs w:val="22"/>
              </w:rPr>
              <w:t xml:space="preserve">Use of the </w:t>
            </w:r>
            <w:r w:rsidRPr="00A01E5A" w:rsidR="00AE1462">
              <w:rPr>
                <w:spacing w:val="-2"/>
                <w:szCs w:val="22"/>
              </w:rPr>
              <w:t>5.850-5.925</w:t>
            </w:r>
            <w:r w:rsidRPr="00A01E5A">
              <w:rPr>
                <w:spacing w:val="-2"/>
                <w:szCs w:val="22"/>
              </w:rPr>
              <w:t xml:space="preserve"> GHz Band</w:t>
            </w:r>
          </w:p>
          <w:p w:rsidR="005C02BC" w:rsidRPr="00A01E5A" w:rsidP="00D71584" w14:paraId="12C316EE" w14:textId="77777777">
            <w:pPr>
              <w:tabs>
                <w:tab w:val="center" w:pos="4680"/>
              </w:tabs>
              <w:suppressAutoHyphens/>
              <w:rPr>
                <w:spacing w:val="-2"/>
                <w:szCs w:val="22"/>
              </w:rPr>
            </w:pPr>
          </w:p>
        </w:tc>
        <w:tc>
          <w:tcPr>
            <w:tcW w:w="630" w:type="dxa"/>
          </w:tcPr>
          <w:p w:rsidR="005C02BC" w:rsidRPr="00A01E5A" w:rsidP="008833E7" w14:paraId="61536646" w14:textId="77777777">
            <w:pPr>
              <w:tabs>
                <w:tab w:val="center" w:pos="4680"/>
              </w:tabs>
              <w:suppressAutoHyphens/>
              <w:rPr>
                <w:b/>
                <w:spacing w:val="-2"/>
                <w:szCs w:val="22"/>
              </w:rPr>
            </w:pPr>
            <w:r w:rsidRPr="00A01E5A">
              <w:rPr>
                <w:b/>
                <w:spacing w:val="-2"/>
                <w:szCs w:val="22"/>
              </w:rPr>
              <w:t>)</w:t>
            </w:r>
          </w:p>
          <w:p w:rsidR="005C02BC" w:rsidRPr="00A01E5A" w:rsidP="008833E7" w14:paraId="57878603" w14:textId="77777777">
            <w:pPr>
              <w:tabs>
                <w:tab w:val="center" w:pos="4680"/>
              </w:tabs>
              <w:suppressAutoHyphens/>
              <w:rPr>
                <w:b/>
                <w:spacing w:val="-2"/>
                <w:szCs w:val="22"/>
              </w:rPr>
            </w:pPr>
            <w:r w:rsidRPr="00A01E5A">
              <w:rPr>
                <w:b/>
                <w:spacing w:val="-2"/>
                <w:szCs w:val="22"/>
              </w:rPr>
              <w:t>)</w:t>
            </w:r>
          </w:p>
          <w:p w:rsidR="005C02BC" w:rsidRPr="00A01E5A" w:rsidP="008833E7" w14:paraId="052D013A" w14:textId="77777777">
            <w:pPr>
              <w:tabs>
                <w:tab w:val="center" w:pos="4680"/>
              </w:tabs>
              <w:suppressAutoHyphens/>
              <w:rPr>
                <w:b/>
                <w:spacing w:val="-2"/>
                <w:szCs w:val="22"/>
              </w:rPr>
            </w:pPr>
            <w:r w:rsidRPr="00A01E5A">
              <w:rPr>
                <w:b/>
                <w:spacing w:val="-2"/>
                <w:szCs w:val="22"/>
              </w:rPr>
              <w:t>)</w:t>
            </w:r>
          </w:p>
          <w:p w:rsidR="005C02BC" w:rsidRPr="00A01E5A" w:rsidP="008833E7" w14:paraId="44899800" w14:textId="77777777">
            <w:pPr>
              <w:tabs>
                <w:tab w:val="center" w:pos="4680"/>
              </w:tabs>
              <w:suppressAutoHyphens/>
              <w:rPr>
                <w:spacing w:val="-2"/>
                <w:szCs w:val="22"/>
              </w:rPr>
            </w:pPr>
          </w:p>
        </w:tc>
        <w:tc>
          <w:tcPr>
            <w:tcW w:w="4248" w:type="dxa"/>
          </w:tcPr>
          <w:p w:rsidR="005C02BC" w:rsidRPr="00A01E5A" w:rsidP="008833E7" w14:paraId="6D98FF7B" w14:textId="77777777">
            <w:pPr>
              <w:tabs>
                <w:tab w:val="center" w:pos="4680"/>
              </w:tabs>
              <w:suppressAutoHyphens/>
              <w:rPr>
                <w:spacing w:val="-2"/>
                <w:szCs w:val="22"/>
              </w:rPr>
            </w:pPr>
          </w:p>
          <w:p w:rsidR="005C02BC" w:rsidRPr="00A01E5A" w:rsidP="008833E7" w14:paraId="218DF677" w14:textId="77777777">
            <w:pPr>
              <w:pStyle w:val="TOAHeading"/>
              <w:tabs>
                <w:tab w:val="center" w:pos="4680"/>
                <w:tab w:val="clear" w:pos="9360"/>
              </w:tabs>
              <w:rPr>
                <w:spacing w:val="-2"/>
                <w:szCs w:val="22"/>
              </w:rPr>
            </w:pPr>
          </w:p>
          <w:p w:rsidR="00D71584" w:rsidRPr="00A01E5A" w:rsidP="00D71584" w14:paraId="3049AAFE" w14:textId="53E329D2">
            <w:pPr>
              <w:tabs>
                <w:tab w:val="center" w:pos="4680"/>
              </w:tabs>
              <w:suppressAutoHyphens/>
              <w:rPr>
                <w:spacing w:val="-2"/>
                <w:szCs w:val="22"/>
              </w:rPr>
            </w:pPr>
            <w:r w:rsidRPr="00A01E5A">
              <w:rPr>
                <w:spacing w:val="-2"/>
                <w:szCs w:val="22"/>
              </w:rPr>
              <w:t xml:space="preserve">ET Docket No. </w:t>
            </w:r>
            <w:r w:rsidRPr="00A01E5A" w:rsidR="00AE1462">
              <w:rPr>
                <w:spacing w:val="-2"/>
                <w:szCs w:val="22"/>
              </w:rPr>
              <w:t>19-138</w:t>
            </w:r>
          </w:p>
          <w:p w:rsidR="005C02BC" w:rsidRPr="00A01E5A" w:rsidP="00960650" w14:paraId="2DBBA52D" w14:textId="77777777">
            <w:pPr>
              <w:tabs>
                <w:tab w:val="center" w:pos="4680"/>
              </w:tabs>
              <w:suppressAutoHyphens/>
              <w:rPr>
                <w:spacing w:val="-2"/>
                <w:szCs w:val="22"/>
              </w:rPr>
            </w:pPr>
          </w:p>
        </w:tc>
      </w:tr>
    </w:tbl>
    <w:p w:rsidR="0060228B" w:rsidRPr="00A01E5A" w14:paraId="60E5C1C9" w14:textId="77777777">
      <w:pPr>
        <w:rPr>
          <w:szCs w:val="22"/>
        </w:rPr>
      </w:pPr>
    </w:p>
    <w:p w:rsidR="0060228B" w:rsidRPr="00A01E5A" w:rsidP="002D76D6" w14:paraId="69483853" w14:textId="77777777">
      <w:pPr>
        <w:jc w:val="center"/>
        <w:rPr>
          <w:b/>
          <w:spacing w:val="-2"/>
          <w:szCs w:val="22"/>
        </w:rPr>
      </w:pPr>
      <w:r w:rsidRPr="00A01E5A">
        <w:rPr>
          <w:b/>
          <w:spacing w:val="-2"/>
          <w:szCs w:val="22"/>
        </w:rPr>
        <w:t>ERRATUM</w:t>
      </w:r>
    </w:p>
    <w:p w:rsidR="002D76D6" w:rsidRPr="00A01E5A" w:rsidP="002D76D6" w14:paraId="12A5AF1B" w14:textId="77777777">
      <w:pPr>
        <w:rPr>
          <w:b/>
          <w:spacing w:val="-2"/>
          <w:szCs w:val="22"/>
        </w:rPr>
      </w:pPr>
    </w:p>
    <w:p w:rsidR="0060228B" w:rsidRPr="00A01E5A" w:rsidP="002D76D6" w14:paraId="793B684F" w14:textId="209D0932">
      <w:pPr>
        <w:jc w:val="right"/>
        <w:rPr>
          <w:b/>
          <w:szCs w:val="22"/>
        </w:rPr>
      </w:pPr>
      <w:r w:rsidRPr="00A01E5A">
        <w:rPr>
          <w:b/>
          <w:szCs w:val="22"/>
        </w:rPr>
        <w:t xml:space="preserve">Released:  </w:t>
      </w:r>
      <w:r w:rsidRPr="00A01E5A" w:rsidR="00A01E5A">
        <w:rPr>
          <w:b/>
          <w:szCs w:val="22"/>
        </w:rPr>
        <w:t>December 1</w:t>
      </w:r>
      <w:r w:rsidR="003A172B">
        <w:rPr>
          <w:b/>
          <w:szCs w:val="22"/>
        </w:rPr>
        <w:t>1</w:t>
      </w:r>
      <w:r w:rsidRPr="00A01E5A" w:rsidR="00A01E5A">
        <w:rPr>
          <w:b/>
          <w:szCs w:val="22"/>
        </w:rPr>
        <w:t>, 2020</w:t>
      </w:r>
    </w:p>
    <w:p w:rsidR="002D76D6" w:rsidRPr="00A01E5A" w:rsidP="002D76D6" w14:paraId="771DA62B" w14:textId="77777777">
      <w:pPr>
        <w:rPr>
          <w:b/>
          <w:szCs w:val="22"/>
        </w:rPr>
      </w:pPr>
    </w:p>
    <w:p w:rsidR="0060228B" w:rsidRPr="00A01E5A" w:rsidP="003A172B" w14:paraId="477CA90C" w14:textId="4F722A16">
      <w:pPr>
        <w:rPr>
          <w:spacing w:val="-2"/>
          <w:szCs w:val="22"/>
        </w:rPr>
      </w:pPr>
      <w:r w:rsidRPr="00A01E5A">
        <w:rPr>
          <w:szCs w:val="22"/>
        </w:rPr>
        <w:t xml:space="preserve">By the </w:t>
      </w:r>
      <w:r w:rsidRPr="00A01E5A" w:rsidR="00BF3382">
        <w:rPr>
          <w:szCs w:val="22"/>
        </w:rPr>
        <w:t xml:space="preserve">Acting </w:t>
      </w:r>
      <w:r w:rsidRPr="00A01E5A">
        <w:rPr>
          <w:szCs w:val="22"/>
        </w:rPr>
        <w:t>Chief, Office of Engineering and Technology</w:t>
      </w:r>
      <w:r w:rsidRPr="00A01E5A">
        <w:rPr>
          <w:spacing w:val="-2"/>
          <w:szCs w:val="22"/>
        </w:rPr>
        <w:t>:</w:t>
      </w:r>
    </w:p>
    <w:p w:rsidR="002D76D6" w:rsidRPr="00A01E5A" w:rsidP="003A172B" w14:paraId="146DFAB8" w14:textId="77777777">
      <w:pPr>
        <w:rPr>
          <w:szCs w:val="22"/>
        </w:rPr>
      </w:pPr>
    </w:p>
    <w:p w:rsidR="003612DC" w:rsidRPr="00A01E5A" w:rsidP="00094409" w14:paraId="5A3811A6" w14:textId="5E4BED74">
      <w:pPr>
        <w:pStyle w:val="ParaNum"/>
        <w:numPr>
          <w:ilvl w:val="0"/>
          <w:numId w:val="0"/>
        </w:numPr>
        <w:ind w:firstLine="720"/>
        <w:rPr>
          <w:szCs w:val="22"/>
        </w:rPr>
      </w:pPr>
      <w:r w:rsidRPr="00A01E5A">
        <w:rPr>
          <w:szCs w:val="22"/>
        </w:rPr>
        <w:t xml:space="preserve">On </w:t>
      </w:r>
      <w:r w:rsidRPr="00A01E5A" w:rsidR="00AE1462">
        <w:rPr>
          <w:szCs w:val="22"/>
        </w:rPr>
        <w:t>November 20</w:t>
      </w:r>
      <w:r w:rsidRPr="00A01E5A" w:rsidR="00B216E9">
        <w:rPr>
          <w:szCs w:val="22"/>
        </w:rPr>
        <w:t>, 20</w:t>
      </w:r>
      <w:r w:rsidRPr="00A01E5A" w:rsidR="00D71584">
        <w:rPr>
          <w:szCs w:val="22"/>
        </w:rPr>
        <w:t>20</w:t>
      </w:r>
      <w:r w:rsidRPr="00A01E5A" w:rsidR="00B216E9">
        <w:rPr>
          <w:szCs w:val="22"/>
        </w:rPr>
        <w:t xml:space="preserve">, the Commission </w:t>
      </w:r>
      <w:r w:rsidRPr="00A01E5A">
        <w:rPr>
          <w:szCs w:val="22"/>
        </w:rPr>
        <w:t xml:space="preserve">released a </w:t>
      </w:r>
      <w:r w:rsidRPr="00A01E5A" w:rsidR="00AE1462">
        <w:rPr>
          <w:i/>
          <w:iCs/>
          <w:szCs w:val="22"/>
        </w:rPr>
        <w:t xml:space="preserve">First </w:t>
      </w:r>
      <w:r w:rsidRPr="00A01E5A" w:rsidR="00B216E9">
        <w:rPr>
          <w:i/>
          <w:szCs w:val="22"/>
        </w:rPr>
        <w:t>Report</w:t>
      </w:r>
      <w:r w:rsidRPr="00A01E5A" w:rsidR="00AE1462">
        <w:rPr>
          <w:i/>
          <w:szCs w:val="22"/>
        </w:rPr>
        <w:t xml:space="preserve"> and Order, Further</w:t>
      </w:r>
      <w:r w:rsidRPr="00A01E5A" w:rsidR="00B216E9">
        <w:rPr>
          <w:i/>
          <w:szCs w:val="22"/>
        </w:rPr>
        <w:t xml:space="preserve"> </w:t>
      </w:r>
      <w:r w:rsidRPr="00A01E5A" w:rsidR="00D71584">
        <w:rPr>
          <w:i/>
          <w:szCs w:val="22"/>
        </w:rPr>
        <w:t>Notice of Proposed Rulemaking</w:t>
      </w:r>
      <w:r w:rsidRPr="00A01E5A" w:rsidR="00AE1462">
        <w:rPr>
          <w:i/>
          <w:szCs w:val="22"/>
        </w:rPr>
        <w:t>, and Order of Proposed Modification</w:t>
      </w:r>
      <w:r w:rsidRPr="00A01E5A" w:rsidR="00B216E9">
        <w:rPr>
          <w:szCs w:val="22"/>
        </w:rPr>
        <w:t xml:space="preserve">, FCC </w:t>
      </w:r>
      <w:r w:rsidRPr="00A01E5A" w:rsidR="00D71584">
        <w:rPr>
          <w:szCs w:val="22"/>
        </w:rPr>
        <w:t>20-</w:t>
      </w:r>
      <w:r w:rsidRPr="00A01E5A" w:rsidR="00AE1462">
        <w:rPr>
          <w:szCs w:val="22"/>
        </w:rPr>
        <w:t>164</w:t>
      </w:r>
      <w:r w:rsidRPr="00A01E5A" w:rsidR="00B216E9">
        <w:rPr>
          <w:szCs w:val="22"/>
        </w:rPr>
        <w:t>, in the above-</w:t>
      </w:r>
      <w:r w:rsidRPr="00A01E5A">
        <w:rPr>
          <w:szCs w:val="22"/>
        </w:rPr>
        <w:t xml:space="preserve">captioned proceeding.  </w:t>
      </w:r>
      <w:r w:rsidRPr="00A01E5A" w:rsidR="00B978E5">
        <w:rPr>
          <w:szCs w:val="22"/>
        </w:rPr>
        <w:t>T</w:t>
      </w:r>
      <w:r w:rsidRPr="00A01E5A">
        <w:rPr>
          <w:szCs w:val="22"/>
        </w:rPr>
        <w:t xml:space="preserve">his Erratum </w:t>
      </w:r>
      <w:r w:rsidR="009862C1">
        <w:rPr>
          <w:szCs w:val="22"/>
        </w:rPr>
        <w:t>corrects footnote 146 to read as follows:</w:t>
      </w:r>
    </w:p>
    <w:p w:rsidR="000F1A34" w:rsidRPr="00A01E5A" w:rsidP="003A172B" w14:paraId="45EA6BEC" w14:textId="4DD19234">
      <w:pPr>
        <w:pStyle w:val="ParaNum"/>
        <w:numPr>
          <w:ilvl w:val="0"/>
          <w:numId w:val="0"/>
        </w:numPr>
        <w:ind w:left="720"/>
        <w:rPr>
          <w:szCs w:val="22"/>
        </w:rPr>
      </w:pPr>
      <w:r w:rsidRPr="00A01E5A">
        <w:rPr>
          <w:szCs w:val="22"/>
        </w:rPr>
        <w:t>“</w:t>
      </w:r>
      <w:r w:rsidRPr="003A172B" w:rsidR="009862C1">
        <w:rPr>
          <w:szCs w:val="22"/>
          <w:vertAlign w:val="superscript"/>
        </w:rPr>
        <w:t>146</w:t>
      </w:r>
      <w:r w:rsidR="009862C1">
        <w:rPr>
          <w:szCs w:val="22"/>
        </w:rPr>
        <w:t xml:space="preserve"> </w:t>
      </w:r>
      <w:r w:rsidRPr="00A01E5A" w:rsidR="0047526F">
        <w:rPr>
          <w:szCs w:val="22"/>
        </w:rPr>
        <w:t xml:space="preserve">As per 47 U.S.C. § 316, </w:t>
      </w:r>
      <w:r w:rsidRPr="00A01E5A" w:rsidR="00DC7532">
        <w:rPr>
          <w:szCs w:val="22"/>
        </w:rPr>
        <w:t xml:space="preserve">we provide for a 30-day protest period before </w:t>
      </w:r>
      <w:r w:rsidRPr="00A01E5A" w:rsidR="0047526F">
        <w:rPr>
          <w:szCs w:val="22"/>
        </w:rPr>
        <w:t xml:space="preserve">these modifications </w:t>
      </w:r>
      <w:r w:rsidRPr="00A01E5A" w:rsidR="00DC7532">
        <w:rPr>
          <w:szCs w:val="22"/>
        </w:rPr>
        <w:t xml:space="preserve">can become final.  </w:t>
      </w:r>
      <w:r w:rsidRPr="00A01E5A" w:rsidR="00410C0D">
        <w:rPr>
          <w:i/>
          <w:iCs/>
          <w:szCs w:val="22"/>
        </w:rPr>
        <w:t xml:space="preserve">See infra. </w:t>
      </w:r>
      <w:r w:rsidRPr="00A01E5A" w:rsidR="00410C0D">
        <w:rPr>
          <w:szCs w:val="22"/>
        </w:rPr>
        <w:t>paragraph 204</w:t>
      </w:r>
      <w:r w:rsidRPr="00A01E5A" w:rsidR="003C4935">
        <w:rPr>
          <w:szCs w:val="22"/>
        </w:rPr>
        <w:t>.</w:t>
      </w:r>
      <w:r w:rsidRPr="00A01E5A">
        <w:rPr>
          <w:szCs w:val="22"/>
        </w:rPr>
        <w:t>”</w:t>
      </w:r>
    </w:p>
    <w:p w:rsidR="00EC31EE" w:rsidRPr="00A01E5A" w:rsidP="003A172B" w14:paraId="53658DDA" w14:textId="5BAC5F57">
      <w:pPr>
        <w:pStyle w:val="ParaNum"/>
        <w:numPr>
          <w:ilvl w:val="0"/>
          <w:numId w:val="0"/>
        </w:numPr>
        <w:ind w:firstLine="720"/>
        <w:rPr>
          <w:szCs w:val="22"/>
        </w:rPr>
      </w:pPr>
      <w:bookmarkStart w:id="0" w:name="_Hlk40076946"/>
      <w:r>
        <w:rPr>
          <w:szCs w:val="22"/>
        </w:rPr>
        <w:t xml:space="preserve">This Erratum also amends </w:t>
      </w:r>
      <w:r w:rsidRPr="00A01E5A" w:rsidR="00363EE0">
        <w:rPr>
          <w:szCs w:val="22"/>
        </w:rPr>
        <w:t xml:space="preserve">the </w:t>
      </w:r>
      <w:r w:rsidRPr="00A01E5A" w:rsidR="009118F8">
        <w:rPr>
          <w:szCs w:val="22"/>
        </w:rPr>
        <w:t xml:space="preserve">Final Rules in </w:t>
      </w:r>
      <w:r w:rsidRPr="003A172B" w:rsidR="00F876A9">
        <w:rPr>
          <w:b/>
          <w:bCs/>
          <w:szCs w:val="22"/>
        </w:rPr>
        <w:t>A</w:t>
      </w:r>
      <w:r w:rsidRPr="003A172B">
        <w:rPr>
          <w:b/>
          <w:bCs/>
          <w:szCs w:val="22"/>
        </w:rPr>
        <w:t>PPENDIX</w:t>
      </w:r>
      <w:r w:rsidRPr="003A172B" w:rsidR="00F876A9">
        <w:rPr>
          <w:b/>
          <w:bCs/>
          <w:szCs w:val="22"/>
        </w:rPr>
        <w:t xml:space="preserve"> A</w:t>
      </w:r>
      <w:r>
        <w:rPr>
          <w:szCs w:val="22"/>
        </w:rPr>
        <w:t xml:space="preserve"> of the document</w:t>
      </w:r>
      <w:r w:rsidRPr="00A01E5A" w:rsidR="000C3D73">
        <w:rPr>
          <w:szCs w:val="22"/>
        </w:rPr>
        <w:t>,</w:t>
      </w:r>
      <w:r w:rsidRPr="00A01E5A" w:rsidR="009118F8">
        <w:rPr>
          <w:szCs w:val="22"/>
        </w:rPr>
        <w:t xml:space="preserve"> </w:t>
      </w:r>
      <w:r w:rsidRPr="00A01E5A" w:rsidR="002A2FB4">
        <w:rPr>
          <w:szCs w:val="22"/>
        </w:rPr>
        <w:t xml:space="preserve">as </w:t>
      </w:r>
      <w:r>
        <w:rPr>
          <w:szCs w:val="22"/>
        </w:rPr>
        <w:t>indicated below:</w:t>
      </w:r>
    </w:p>
    <w:p w:rsidR="00B028B9" w:rsidP="003A172B" w14:paraId="4235E2EB" w14:textId="4318A754">
      <w:pPr>
        <w:pStyle w:val="ParaNum"/>
        <w:tabs>
          <w:tab w:val="num" w:pos="720"/>
          <w:tab w:val="clear" w:pos="1440"/>
        </w:tabs>
        <w:ind w:firstLine="360"/>
      </w:pPr>
      <w:r>
        <w:t xml:space="preserve">Paragraphs </w:t>
      </w:r>
      <w:r w:rsidRPr="00A01E5A">
        <w:t xml:space="preserve">(a)(3)(ii) </w:t>
      </w:r>
      <w:r w:rsidR="00940B49">
        <w:t>–</w:t>
      </w:r>
      <w:r>
        <w:t xml:space="preserve"> (iv) of</w:t>
      </w:r>
      <w:r w:rsidRPr="00A01E5A" w:rsidR="00F876A9">
        <w:t xml:space="preserve"> </w:t>
      </w:r>
      <w:r>
        <w:t>S</w:t>
      </w:r>
      <w:r w:rsidRPr="00A01E5A" w:rsidR="00755DCF">
        <w:t xml:space="preserve">ection </w:t>
      </w:r>
      <w:r w:rsidRPr="00A01E5A" w:rsidR="00F876A9">
        <w:t>15.407</w:t>
      </w:r>
      <w:r>
        <w:t xml:space="preserve"> are corrected </w:t>
      </w:r>
      <w:r w:rsidRPr="00A01E5A" w:rsidR="00F876A9">
        <w:t>to read as follows:</w:t>
      </w:r>
    </w:p>
    <w:p w:rsidR="00FA7E76" w:rsidP="003A172B" w14:paraId="6C8DB1B7" w14:textId="5A40640F">
      <w:pPr>
        <w:spacing w:after="120"/>
        <w:ind w:left="720"/>
      </w:pPr>
      <w:r w:rsidRPr="00A01E5A">
        <w:t>“</w:t>
      </w:r>
      <w:bookmarkEnd w:id="0"/>
      <w:r w:rsidR="00B028B9">
        <w:t xml:space="preserve">(ii) </w:t>
      </w:r>
      <w:r w:rsidRPr="00A01E5A" w:rsidR="003C4935">
        <w:t xml:space="preserve">For an indoor access point operating in the 5.850-5.895 GHz band, the maximum power spectral density must not exceed 20 dBm </w:t>
      </w:r>
      <w:r w:rsidRPr="00A01E5A" w:rsidR="003C4935">
        <w:t>e.i.r.p</w:t>
      </w:r>
      <w:r w:rsidRPr="00A01E5A" w:rsidR="003C4935">
        <w:t xml:space="preserve">. in any 1-megahertz band. In addition, the maximum </w:t>
      </w:r>
      <w:r w:rsidRPr="00A01E5A" w:rsidR="003C4935">
        <w:t>e.i.r.p</w:t>
      </w:r>
      <w:r w:rsidRPr="00A01E5A" w:rsidR="003C4935">
        <w:t xml:space="preserve">. over the frequency band of operation must not exceed 36 dBm. Indoor access points operating on a channel that spans the 5.725-5.850 GHz and 5.850-5.895 GHz bands must not exceed an </w:t>
      </w:r>
      <w:r w:rsidRPr="00A01E5A" w:rsidR="003C4935">
        <w:t>e.i.r.p</w:t>
      </w:r>
      <w:r w:rsidRPr="00A01E5A" w:rsidR="003C4935">
        <w:t>. of 36 dBm.</w:t>
      </w:r>
    </w:p>
    <w:p w:rsidR="000F1A34" w:rsidRPr="00A01E5A" w:rsidP="003A172B" w14:paraId="12E797D1" w14:textId="22DC45E6">
      <w:pPr>
        <w:spacing w:after="120"/>
        <w:ind w:left="720"/>
      </w:pPr>
      <w:r>
        <w:t xml:space="preserve">(iii) </w:t>
      </w:r>
      <w:r w:rsidRPr="00A01E5A" w:rsidR="003C4935">
        <w:t xml:space="preserve">For client devices operating under the control of an indoor access point in the 5.850-5.895 GHz band, the maximum power spectral density must not exceed 14 dBm </w:t>
      </w:r>
      <w:r w:rsidRPr="00A01E5A" w:rsidR="003C4935">
        <w:t>e.i.r.p</w:t>
      </w:r>
      <w:r w:rsidRPr="00A01E5A" w:rsidR="003C4935">
        <w:t xml:space="preserve">. in any 1-megahertz band, and the maximum </w:t>
      </w:r>
      <w:r w:rsidRPr="00A01E5A" w:rsidR="003C4935">
        <w:t>e.i.r.p</w:t>
      </w:r>
      <w:r w:rsidRPr="00A01E5A" w:rsidR="003C4935">
        <w:t xml:space="preserve">. over the frequency band of operation must not exceed 30 dBm. Client devices operating on a channel that spans the 5.725-5.850 GHz and 5.850-5.895 GHz bands must not exceed an </w:t>
      </w:r>
      <w:r w:rsidRPr="00A01E5A" w:rsidR="003C4935">
        <w:t>e.i.r.p</w:t>
      </w:r>
      <w:r w:rsidRPr="00A01E5A" w:rsidR="003C4935">
        <w:t>. of 30 dBm.</w:t>
      </w:r>
    </w:p>
    <w:p w:rsidR="00960650" w:rsidRPr="00A01E5A" w:rsidP="003A172B" w14:paraId="55BB80F3" w14:textId="79D99280">
      <w:pPr>
        <w:spacing w:after="120"/>
        <w:ind w:left="720"/>
      </w:pPr>
      <w:r>
        <w:t xml:space="preserve">(iv) </w:t>
      </w:r>
      <w:r w:rsidRPr="00A01E5A">
        <w:t xml:space="preserve">For a subordinate device operating under the control of an indoor access point in the 5.850-5.895 GHz band, the maximum power spectral density must not exceed 20 dBm </w:t>
      </w:r>
      <w:r w:rsidRPr="00A01E5A">
        <w:t>e.i.r.p</w:t>
      </w:r>
      <w:r w:rsidRPr="00A01E5A">
        <w:t xml:space="preserve"> in any 1</w:t>
      </w:r>
      <w:r w:rsidRPr="00A01E5A" w:rsidR="00575217">
        <w:t>-</w:t>
      </w:r>
      <w:r w:rsidRPr="00A01E5A">
        <w:t xml:space="preserve">megahertz band, and the maximum </w:t>
      </w:r>
      <w:r w:rsidRPr="00A01E5A">
        <w:t>e.i.r.p</w:t>
      </w:r>
      <w:r w:rsidRPr="00A01E5A">
        <w:t>. over the frequency band of operation must not exceed 36 dBm.”</w:t>
      </w:r>
    </w:p>
    <w:p w:rsidR="00940B49" w:rsidP="00940B49" w14:paraId="7538DC77" w14:textId="29E20E00">
      <w:pPr>
        <w:pStyle w:val="ParaNum"/>
        <w:tabs>
          <w:tab w:val="num" w:pos="720"/>
          <w:tab w:val="clear" w:pos="1440"/>
        </w:tabs>
        <w:ind w:firstLine="360"/>
      </w:pPr>
      <w:r>
        <w:t xml:space="preserve">Paragraphs </w:t>
      </w:r>
      <w:r w:rsidRPr="00A01E5A">
        <w:t>(b)(5)(</w:t>
      </w:r>
      <w:r w:rsidRPr="00A01E5A">
        <w:t>i</w:t>
      </w:r>
      <w:r w:rsidRPr="00A01E5A">
        <w:t xml:space="preserve">) </w:t>
      </w:r>
      <w:r>
        <w:t>and (b)(5)(iii) of</w:t>
      </w:r>
      <w:r w:rsidRPr="00A01E5A">
        <w:t xml:space="preserve"> </w:t>
      </w:r>
      <w:r>
        <w:t>S</w:t>
      </w:r>
      <w:r w:rsidRPr="00A01E5A" w:rsidR="00960650">
        <w:t>ection 15.407</w:t>
      </w:r>
      <w:r>
        <w:t xml:space="preserve"> are corrected </w:t>
      </w:r>
      <w:r w:rsidRPr="00A01E5A" w:rsidR="00960650">
        <w:t xml:space="preserve">to read as follows:  </w:t>
      </w:r>
    </w:p>
    <w:p w:rsidR="00960650" w:rsidRPr="00A01E5A" w:rsidP="003A172B" w14:paraId="26D357B7" w14:textId="43BD53CE">
      <w:pPr>
        <w:spacing w:after="120"/>
        <w:ind w:left="720"/>
      </w:pPr>
      <w:r w:rsidRPr="00A01E5A">
        <w:t>“</w:t>
      </w:r>
      <w:r w:rsidR="00940B49">
        <w:t>(</w:t>
      </w:r>
      <w:r w:rsidR="00940B49">
        <w:t>i</w:t>
      </w:r>
      <w:r w:rsidR="00940B49">
        <w:t xml:space="preserve">) </w:t>
      </w:r>
      <w:r w:rsidRPr="00A01E5A">
        <w:t xml:space="preserve">For an indoor access point or subordinate device, all emissions at or above 5.895 GHz shall not exceed an </w:t>
      </w:r>
      <w:r w:rsidRPr="00A01E5A">
        <w:t>e.i.r.p</w:t>
      </w:r>
      <w:r w:rsidRPr="00A01E5A">
        <w:t xml:space="preserve">. of 15 dBm/MHz and shall decrease linearly to an </w:t>
      </w:r>
      <w:r w:rsidRPr="00A01E5A">
        <w:t>e.i.r.p</w:t>
      </w:r>
      <w:r w:rsidRPr="00A01E5A">
        <w:t>. of -7 dBm/MHz at or above 5.925 GHz.”</w:t>
      </w:r>
    </w:p>
    <w:p w:rsidR="00467AC4" w:rsidRPr="00A01E5A" w:rsidP="003A172B" w14:paraId="56BD6CB9" w14:textId="603FE5F2">
      <w:pPr>
        <w:keepNext/>
        <w:widowControl/>
        <w:spacing w:after="120"/>
        <w:ind w:left="720"/>
        <w:rPr>
          <w:szCs w:val="22"/>
        </w:rPr>
      </w:pPr>
      <w:r>
        <w:rPr>
          <w:szCs w:val="22"/>
        </w:rPr>
        <w:t>“</w:t>
      </w:r>
      <w:r w:rsidRPr="00A01E5A" w:rsidR="00960650">
        <w:rPr>
          <w:szCs w:val="22"/>
        </w:rPr>
        <w:t xml:space="preserve">(iii) to read as follows:  “For a client device or indoor access point or subordinate device, all emissions below 5.725 GHz shall not exceed an </w:t>
      </w:r>
      <w:r w:rsidRPr="00A01E5A" w:rsidR="00960650">
        <w:rPr>
          <w:szCs w:val="22"/>
        </w:rPr>
        <w:t>e.i.r.p</w:t>
      </w:r>
      <w:r w:rsidRPr="00A01E5A" w:rsidR="00960650">
        <w:rPr>
          <w:szCs w:val="22"/>
        </w:rPr>
        <w:t xml:space="preserve">. of −27 dBm/MHz at 5.65 GHz increasing linearly to 10 dBm/MHz at 5.7 GHz, and from 5.7 GHz increasing linearly to a level of 15.6 </w:t>
      </w:r>
      <w:r w:rsidRPr="00A01E5A" w:rsidR="00960650">
        <w:rPr>
          <w:szCs w:val="22"/>
        </w:rPr>
        <w:t>dBm/MHz at 5.72 GHz, and from 5.72 GHz increasing linearly to a level of 27 dBm/MHz at 5.725 GHz.”</w:t>
      </w:r>
    </w:p>
    <w:p w:rsidR="00D71584" w:rsidRPr="00A01E5A" w:rsidP="003A172B" w14:paraId="188A6243" w14:textId="77777777">
      <w:pPr>
        <w:pStyle w:val="ParaNum"/>
        <w:keepNext/>
        <w:widowControl/>
        <w:numPr>
          <w:ilvl w:val="0"/>
          <w:numId w:val="0"/>
        </w:numPr>
        <w:spacing w:after="0"/>
        <w:rPr>
          <w:szCs w:val="22"/>
        </w:rPr>
      </w:pPr>
    </w:p>
    <w:p w:rsidR="00B07300" w:rsidRPr="00A01E5A" w:rsidP="00940B49" w14:paraId="0FE85CFE" w14:textId="77777777">
      <w:pPr>
        <w:pStyle w:val="Heading1"/>
        <w:widowControl/>
        <w:numPr>
          <w:ilvl w:val="0"/>
          <w:numId w:val="0"/>
        </w:numPr>
        <w:suppressAutoHyphens w:val="0"/>
        <w:spacing w:after="0"/>
        <w:rPr>
          <w:rFonts w:ascii="Times New Roman" w:hAnsi="Times New Roman"/>
          <w:b w:val="0"/>
          <w:caps w:val="0"/>
          <w:spacing w:val="-2"/>
          <w:szCs w:val="22"/>
        </w:rPr>
      </w:pP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rFonts w:ascii="Times New Roman" w:hAnsi="Times New Roman"/>
          <w:b w:val="0"/>
          <w:caps w:val="0"/>
          <w:spacing w:val="-2"/>
          <w:szCs w:val="22"/>
        </w:rPr>
        <w:t>FEDERAL COMMUNICATIONS COMMISSION</w:t>
      </w:r>
    </w:p>
    <w:p w:rsidR="00506419" w:rsidRPr="00A01E5A" w14:paraId="60442CAD" w14:textId="77777777">
      <w:pPr>
        <w:pStyle w:val="ParaNum"/>
        <w:keepNext/>
        <w:widowControl/>
        <w:numPr>
          <w:ilvl w:val="0"/>
          <w:numId w:val="0"/>
        </w:numPr>
        <w:spacing w:after="0"/>
        <w:rPr>
          <w:szCs w:val="22"/>
        </w:rPr>
      </w:pPr>
    </w:p>
    <w:p w:rsidR="00506419" w:rsidRPr="00A01E5A" w14:paraId="3272CFBA" w14:textId="77777777">
      <w:pPr>
        <w:pStyle w:val="ParaNum"/>
        <w:keepNext/>
        <w:widowControl/>
        <w:numPr>
          <w:ilvl w:val="0"/>
          <w:numId w:val="0"/>
        </w:numPr>
        <w:spacing w:after="0"/>
        <w:rPr>
          <w:szCs w:val="22"/>
        </w:rPr>
      </w:pPr>
    </w:p>
    <w:p w:rsidR="00506419" w:rsidRPr="00A01E5A" w14:paraId="7997D51A" w14:textId="77777777">
      <w:pPr>
        <w:pStyle w:val="ParaNum"/>
        <w:keepNext/>
        <w:widowControl/>
        <w:numPr>
          <w:ilvl w:val="0"/>
          <w:numId w:val="0"/>
        </w:numPr>
        <w:spacing w:after="0"/>
        <w:rPr>
          <w:szCs w:val="22"/>
        </w:rPr>
      </w:pPr>
    </w:p>
    <w:p w:rsidR="00940B49" w:rsidP="003A172B" w14:paraId="60D842E3" w14:textId="77777777">
      <w:pPr>
        <w:pStyle w:val="ParaNum"/>
        <w:keepNext/>
        <w:widowControl/>
        <w:numPr>
          <w:ilvl w:val="0"/>
          <w:numId w:val="0"/>
        </w:numPr>
        <w:spacing w:after="0"/>
        <w:rPr>
          <w:szCs w:val="22"/>
        </w:rPr>
      </w:pPr>
    </w:p>
    <w:p w:rsidR="00506419" w:rsidRPr="00A01E5A" w:rsidP="003A172B" w14:paraId="6F730C64" w14:textId="038001F8">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E906D1">
        <w:rPr>
          <w:szCs w:val="22"/>
        </w:rPr>
        <w:t>Ronald Repasi</w:t>
      </w:r>
    </w:p>
    <w:p w:rsidR="00890CE3" w:rsidRPr="00A01E5A" w:rsidP="003A172B" w14:paraId="2BAF5276" w14:textId="5743CFFF">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E906D1">
        <w:rPr>
          <w:szCs w:val="22"/>
        </w:rPr>
        <w:t xml:space="preserve">Acting </w:t>
      </w:r>
      <w:r w:rsidRPr="00A01E5A">
        <w:rPr>
          <w:szCs w:val="22"/>
        </w:rPr>
        <w:t>Chief,</w:t>
      </w:r>
    </w:p>
    <w:p w:rsidR="007F01A1" w:rsidRPr="00A01E5A" w:rsidP="008414EF" w14:paraId="7FFB55B3" w14:textId="3DE2D8D6">
      <w:pPr>
        <w:pStyle w:val="ParaNum"/>
        <w:numPr>
          <w:ilvl w:val="0"/>
          <w:numId w:val="0"/>
        </w:numPr>
        <w:spacing w:after="0"/>
        <w:rPr>
          <w:szCs w:val="22"/>
        </w:rPr>
      </w:pPr>
      <w:bookmarkStart w:id="1" w:name="_GoBack"/>
      <w:bookmarkEnd w:id="1"/>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2E1738">
        <w:rPr>
          <w:szCs w:val="22"/>
        </w:rPr>
        <w:t>Office of Engineering and Technology</w:t>
      </w:r>
    </w:p>
    <w:p w:rsidR="002E484C" w:rsidRPr="00A01E5A" w:rsidP="003A172B" w14:paraId="6813B640" w14:textId="77777777">
      <w:pPr>
        <w:pStyle w:val="ParaNum"/>
        <w:numPr>
          <w:ilvl w:val="0"/>
          <w:numId w:val="0"/>
        </w:numPr>
        <w:spacing w:after="0"/>
        <w:rPr>
          <w:szCs w:val="22"/>
        </w:rPr>
      </w:pPr>
    </w:p>
    <w:sectPr w:rsidSect="003A172B">
      <w:headerReference w:type="default" r:id="rId4"/>
      <w:footerReference w:type="default" r:id="rId5"/>
      <w:headerReference w:type="first" r:id="rId6"/>
      <w:footnotePr>
        <w:numRestart w:val="eachSect"/>
      </w:footnotePr>
      <w:pgSz w:w="12240" w:h="15840" w:code="1"/>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C6776B" w14:paraId="2E1C9BC7"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52799">
      <w:rPr>
        <w:rStyle w:val="PageNumber"/>
        <w:noProof/>
      </w:rPr>
      <w:t>2</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5279BB" w14:paraId="3CBE0A1F" w14:textId="77777777">
    <w:pPr>
      <w:pStyle w:val="Header"/>
    </w:pPr>
    <w:r>
      <w:tab/>
      <w:t>Federal Communications Commission</w:t>
    </w:r>
    <w:r>
      <w:tab/>
    </w:r>
  </w:p>
  <w:p w:rsidR="0060228B" w:rsidP="005279BB" w14:paraId="61970B85" w14:textId="77777777">
    <w:pPr>
      <w:pStyle w:val="Header"/>
    </w:pPr>
    <w:r>
      <w:rPr>
        <w:b w:val="0"/>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5279BB" w14:paraId="46586086" w14:textId="4859BC49">
    <w:pPr>
      <w:pStyle w:val="Header"/>
    </w:pPr>
    <w:r>
      <w:tab/>
    </w:r>
    <w:r w:rsidRPr="002A29D2">
      <w:t>Federal Communications Commission</w:t>
    </w:r>
    <w:r>
      <w:tab/>
    </w:r>
  </w:p>
  <w:p w:rsidR="0060228B" w:rsidP="005279BB" w14:paraId="477BD6E9"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665B4"/>
    <w:multiLevelType w:val="hybridMultilevel"/>
    <w:tmpl w:val="4BC894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D0017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8D442D9"/>
    <w:multiLevelType w:val="hybridMultilevel"/>
    <w:tmpl w:val="9A1C9F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29"/>
  </w:num>
  <w:num w:numId="3">
    <w:abstractNumId w:val="5"/>
  </w:num>
  <w:num w:numId="4">
    <w:abstractNumId w:val="23"/>
  </w:num>
  <w:num w:numId="5">
    <w:abstractNumId w:val="9"/>
  </w:num>
  <w:num w:numId="6">
    <w:abstractNumId w:val="26"/>
  </w:num>
  <w:num w:numId="7">
    <w:abstractNumId w:val="18"/>
  </w:num>
  <w:num w:numId="8">
    <w:abstractNumId w:val="10"/>
  </w:num>
  <w:num w:numId="9">
    <w:abstractNumId w:val="25"/>
  </w:num>
  <w:num w:numId="10">
    <w:abstractNumId w:val="16"/>
  </w:num>
  <w:num w:numId="11">
    <w:abstractNumId w:val="15"/>
  </w:num>
  <w:num w:numId="12">
    <w:abstractNumId w:val="11"/>
  </w:num>
  <w:num w:numId="13">
    <w:abstractNumId w:val="17"/>
  </w:num>
  <w:num w:numId="14">
    <w:abstractNumId w:val="24"/>
  </w:num>
  <w:num w:numId="15">
    <w:abstractNumId w:val="3"/>
  </w:num>
  <w:num w:numId="16">
    <w:abstractNumId w:val="4"/>
  </w:num>
  <w:num w:numId="17">
    <w:abstractNumId w:val="13"/>
  </w:num>
  <w:num w:numId="18">
    <w:abstractNumId w:val="2"/>
  </w:num>
  <w:num w:numId="19">
    <w:abstractNumId w:val="14"/>
  </w:num>
  <w:num w:numId="20">
    <w:abstractNumId w:val="20"/>
  </w:num>
  <w:num w:numId="21">
    <w:abstractNumId w:val="22"/>
  </w:num>
  <w:num w:numId="22">
    <w:abstractNumId w:val="6"/>
  </w:num>
  <w:num w:numId="23">
    <w:abstractNumId w:val="27"/>
  </w:num>
  <w:num w:numId="24">
    <w:abstractNumId w:val="8"/>
  </w:num>
  <w:num w:numId="25">
    <w:abstractNumId w:val="21"/>
  </w:num>
  <w:num w:numId="26">
    <w:abstractNumId w:val="7"/>
  </w:num>
  <w:num w:numId="27">
    <w:abstractNumId w:val="1"/>
  </w:num>
  <w:num w:numId="28">
    <w:abstractNumId w:val="0"/>
  </w:num>
  <w:num w:numId="29">
    <w:abstractNumId w:val="27"/>
    <w:lvlOverride w:ilvl="0">
      <w:startOverride w:val="1"/>
    </w:lvlOverride>
  </w:num>
  <w:num w:numId="30">
    <w:abstractNumId w:val="19"/>
  </w:num>
  <w:num w:numId="31">
    <w:abstractNumId w:val="27"/>
  </w:num>
  <w:num w:numId="32">
    <w:abstractNumId w:val="12"/>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9"/>
    <w:rsid w:val="00003014"/>
    <w:rsid w:val="00007D17"/>
    <w:rsid w:val="00014832"/>
    <w:rsid w:val="000215DD"/>
    <w:rsid w:val="00042AE5"/>
    <w:rsid w:val="0005374D"/>
    <w:rsid w:val="00064904"/>
    <w:rsid w:val="00094409"/>
    <w:rsid w:val="000B6C63"/>
    <w:rsid w:val="000C3D73"/>
    <w:rsid w:val="000D6477"/>
    <w:rsid w:val="000F1A34"/>
    <w:rsid w:val="000F6B31"/>
    <w:rsid w:val="000F719D"/>
    <w:rsid w:val="00122133"/>
    <w:rsid w:val="00126BBA"/>
    <w:rsid w:val="00132FB9"/>
    <w:rsid w:val="001364CA"/>
    <w:rsid w:val="001367A2"/>
    <w:rsid w:val="00140F58"/>
    <w:rsid w:val="001469DC"/>
    <w:rsid w:val="001809A2"/>
    <w:rsid w:val="001840D2"/>
    <w:rsid w:val="001842BA"/>
    <w:rsid w:val="00192261"/>
    <w:rsid w:val="00196CD7"/>
    <w:rsid w:val="001A1670"/>
    <w:rsid w:val="001A3F57"/>
    <w:rsid w:val="001E5BAB"/>
    <w:rsid w:val="001F6399"/>
    <w:rsid w:val="00201A31"/>
    <w:rsid w:val="00226F43"/>
    <w:rsid w:val="00277FE5"/>
    <w:rsid w:val="002857DB"/>
    <w:rsid w:val="002A29D2"/>
    <w:rsid w:val="002A2FB4"/>
    <w:rsid w:val="002A4E36"/>
    <w:rsid w:val="002B14BB"/>
    <w:rsid w:val="002B4542"/>
    <w:rsid w:val="002C0DB9"/>
    <w:rsid w:val="002D386E"/>
    <w:rsid w:val="002D76D6"/>
    <w:rsid w:val="002E1738"/>
    <w:rsid w:val="002E484C"/>
    <w:rsid w:val="002F2119"/>
    <w:rsid w:val="00307AA3"/>
    <w:rsid w:val="0031543F"/>
    <w:rsid w:val="00330100"/>
    <w:rsid w:val="00341716"/>
    <w:rsid w:val="00352BEA"/>
    <w:rsid w:val="003612DC"/>
    <w:rsid w:val="00363EE0"/>
    <w:rsid w:val="003707FA"/>
    <w:rsid w:val="00385C41"/>
    <w:rsid w:val="0039337B"/>
    <w:rsid w:val="003A172B"/>
    <w:rsid w:val="003A2A06"/>
    <w:rsid w:val="003B4765"/>
    <w:rsid w:val="003C4935"/>
    <w:rsid w:val="003D22BB"/>
    <w:rsid w:val="003E75D7"/>
    <w:rsid w:val="0040138C"/>
    <w:rsid w:val="00410C0D"/>
    <w:rsid w:val="00412F23"/>
    <w:rsid w:val="00425BF8"/>
    <w:rsid w:val="004314C0"/>
    <w:rsid w:val="00456E40"/>
    <w:rsid w:val="00461721"/>
    <w:rsid w:val="00467AC4"/>
    <w:rsid w:val="00474214"/>
    <w:rsid w:val="0047526F"/>
    <w:rsid w:val="004A0621"/>
    <w:rsid w:val="004A2FBE"/>
    <w:rsid w:val="004A4146"/>
    <w:rsid w:val="004B103A"/>
    <w:rsid w:val="004B732A"/>
    <w:rsid w:val="004E2DD1"/>
    <w:rsid w:val="00506419"/>
    <w:rsid w:val="005279BB"/>
    <w:rsid w:val="00541AA8"/>
    <w:rsid w:val="00571965"/>
    <w:rsid w:val="00575217"/>
    <w:rsid w:val="00597B69"/>
    <w:rsid w:val="005A09E4"/>
    <w:rsid w:val="005B0621"/>
    <w:rsid w:val="005B7544"/>
    <w:rsid w:val="005C02BC"/>
    <w:rsid w:val="005D72FA"/>
    <w:rsid w:val="005E43BE"/>
    <w:rsid w:val="005F54D5"/>
    <w:rsid w:val="005F5E72"/>
    <w:rsid w:val="0060228B"/>
    <w:rsid w:val="0061373F"/>
    <w:rsid w:val="0062796E"/>
    <w:rsid w:val="006313A7"/>
    <w:rsid w:val="00635252"/>
    <w:rsid w:val="00646BC1"/>
    <w:rsid w:val="0066113B"/>
    <w:rsid w:val="006805DE"/>
    <w:rsid w:val="00681973"/>
    <w:rsid w:val="00682511"/>
    <w:rsid w:val="006908A3"/>
    <w:rsid w:val="00693ABA"/>
    <w:rsid w:val="00697983"/>
    <w:rsid w:val="006A0252"/>
    <w:rsid w:val="006D5147"/>
    <w:rsid w:val="006D7B3A"/>
    <w:rsid w:val="006F56A0"/>
    <w:rsid w:val="0071085A"/>
    <w:rsid w:val="00714DBE"/>
    <w:rsid w:val="00715CD7"/>
    <w:rsid w:val="007344C8"/>
    <w:rsid w:val="007411C5"/>
    <w:rsid w:val="007443FC"/>
    <w:rsid w:val="00745A2D"/>
    <w:rsid w:val="007513C2"/>
    <w:rsid w:val="00755DCF"/>
    <w:rsid w:val="007650D9"/>
    <w:rsid w:val="00780012"/>
    <w:rsid w:val="00783320"/>
    <w:rsid w:val="00797636"/>
    <w:rsid w:val="007A461B"/>
    <w:rsid w:val="007C2C37"/>
    <w:rsid w:val="007E2EAB"/>
    <w:rsid w:val="007E423F"/>
    <w:rsid w:val="007F01A1"/>
    <w:rsid w:val="007F4D83"/>
    <w:rsid w:val="00811592"/>
    <w:rsid w:val="00815D3C"/>
    <w:rsid w:val="00836354"/>
    <w:rsid w:val="008414EF"/>
    <w:rsid w:val="008437AF"/>
    <w:rsid w:val="008445F0"/>
    <w:rsid w:val="008574C8"/>
    <w:rsid w:val="00864FB5"/>
    <w:rsid w:val="00865894"/>
    <w:rsid w:val="008673F3"/>
    <w:rsid w:val="00870879"/>
    <w:rsid w:val="00880AC7"/>
    <w:rsid w:val="008833E7"/>
    <w:rsid w:val="008902BA"/>
    <w:rsid w:val="00890CE3"/>
    <w:rsid w:val="00891ADC"/>
    <w:rsid w:val="00895291"/>
    <w:rsid w:val="008A304E"/>
    <w:rsid w:val="008B7FE8"/>
    <w:rsid w:val="008C32D9"/>
    <w:rsid w:val="008D2402"/>
    <w:rsid w:val="008D4FD4"/>
    <w:rsid w:val="008D53D7"/>
    <w:rsid w:val="008E0BAA"/>
    <w:rsid w:val="008F6E0D"/>
    <w:rsid w:val="009029E0"/>
    <w:rsid w:val="00903A82"/>
    <w:rsid w:val="00903BD0"/>
    <w:rsid w:val="009118F8"/>
    <w:rsid w:val="009171CC"/>
    <w:rsid w:val="009238A7"/>
    <w:rsid w:val="009356B6"/>
    <w:rsid w:val="00940B49"/>
    <w:rsid w:val="00946D2A"/>
    <w:rsid w:val="00960650"/>
    <w:rsid w:val="0098236F"/>
    <w:rsid w:val="009862C1"/>
    <w:rsid w:val="00987720"/>
    <w:rsid w:val="00994F5D"/>
    <w:rsid w:val="00996485"/>
    <w:rsid w:val="009A5056"/>
    <w:rsid w:val="009D5FB2"/>
    <w:rsid w:val="009F42CD"/>
    <w:rsid w:val="00A001FE"/>
    <w:rsid w:val="00A01E5A"/>
    <w:rsid w:val="00A148F2"/>
    <w:rsid w:val="00A16E8E"/>
    <w:rsid w:val="00A26D5C"/>
    <w:rsid w:val="00A35C2E"/>
    <w:rsid w:val="00A40C14"/>
    <w:rsid w:val="00A522E2"/>
    <w:rsid w:val="00A57BE5"/>
    <w:rsid w:val="00A64E6F"/>
    <w:rsid w:val="00A66149"/>
    <w:rsid w:val="00A6678A"/>
    <w:rsid w:val="00A70FAB"/>
    <w:rsid w:val="00A7198A"/>
    <w:rsid w:val="00A766D8"/>
    <w:rsid w:val="00A773D9"/>
    <w:rsid w:val="00A87DB0"/>
    <w:rsid w:val="00AD10AB"/>
    <w:rsid w:val="00AD7575"/>
    <w:rsid w:val="00AE1462"/>
    <w:rsid w:val="00B028B9"/>
    <w:rsid w:val="00B07300"/>
    <w:rsid w:val="00B216E9"/>
    <w:rsid w:val="00B33F77"/>
    <w:rsid w:val="00B40CD1"/>
    <w:rsid w:val="00B52799"/>
    <w:rsid w:val="00B87A3F"/>
    <w:rsid w:val="00B91BD2"/>
    <w:rsid w:val="00B978E5"/>
    <w:rsid w:val="00BA5D96"/>
    <w:rsid w:val="00BA5FD9"/>
    <w:rsid w:val="00BE6A4D"/>
    <w:rsid w:val="00BF3382"/>
    <w:rsid w:val="00C0464B"/>
    <w:rsid w:val="00C15512"/>
    <w:rsid w:val="00C469BA"/>
    <w:rsid w:val="00C6776B"/>
    <w:rsid w:val="00C67810"/>
    <w:rsid w:val="00C70227"/>
    <w:rsid w:val="00C841C4"/>
    <w:rsid w:val="00CA4BF8"/>
    <w:rsid w:val="00CA556E"/>
    <w:rsid w:val="00CA641C"/>
    <w:rsid w:val="00CC7807"/>
    <w:rsid w:val="00CE2F6C"/>
    <w:rsid w:val="00CE2F8B"/>
    <w:rsid w:val="00CF74C1"/>
    <w:rsid w:val="00D06349"/>
    <w:rsid w:val="00D13BA1"/>
    <w:rsid w:val="00D25A68"/>
    <w:rsid w:val="00D273A3"/>
    <w:rsid w:val="00D4775D"/>
    <w:rsid w:val="00D47998"/>
    <w:rsid w:val="00D5647E"/>
    <w:rsid w:val="00D63319"/>
    <w:rsid w:val="00D71584"/>
    <w:rsid w:val="00D82467"/>
    <w:rsid w:val="00D83139"/>
    <w:rsid w:val="00D976E3"/>
    <w:rsid w:val="00DB0CD9"/>
    <w:rsid w:val="00DB4005"/>
    <w:rsid w:val="00DC5EF6"/>
    <w:rsid w:val="00DC7532"/>
    <w:rsid w:val="00DF0543"/>
    <w:rsid w:val="00DF3E4D"/>
    <w:rsid w:val="00E00E22"/>
    <w:rsid w:val="00E26A9B"/>
    <w:rsid w:val="00E462C2"/>
    <w:rsid w:val="00E53DB9"/>
    <w:rsid w:val="00E56185"/>
    <w:rsid w:val="00E60467"/>
    <w:rsid w:val="00E7408B"/>
    <w:rsid w:val="00E80C43"/>
    <w:rsid w:val="00E84730"/>
    <w:rsid w:val="00E906D1"/>
    <w:rsid w:val="00E91EF7"/>
    <w:rsid w:val="00EB1A95"/>
    <w:rsid w:val="00EC0E85"/>
    <w:rsid w:val="00EC31EE"/>
    <w:rsid w:val="00EC5D14"/>
    <w:rsid w:val="00ED1933"/>
    <w:rsid w:val="00ED2EA8"/>
    <w:rsid w:val="00EF47E9"/>
    <w:rsid w:val="00F114F3"/>
    <w:rsid w:val="00F14741"/>
    <w:rsid w:val="00F21028"/>
    <w:rsid w:val="00F25801"/>
    <w:rsid w:val="00F42BFE"/>
    <w:rsid w:val="00F4732A"/>
    <w:rsid w:val="00F51A20"/>
    <w:rsid w:val="00F604C9"/>
    <w:rsid w:val="00F60FD7"/>
    <w:rsid w:val="00F7768E"/>
    <w:rsid w:val="00F876A9"/>
    <w:rsid w:val="00F9741B"/>
    <w:rsid w:val="00FA059F"/>
    <w:rsid w:val="00FA7E76"/>
    <w:rsid w:val="00FC5D64"/>
    <w:rsid w:val="00FE22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9FDAA36-30C5-4EE4-8C31-E6167AF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2B"/>
    <w:pPr>
      <w:widowControl w:val="0"/>
    </w:pPr>
    <w:rPr>
      <w:snapToGrid w:val="0"/>
      <w:kern w:val="28"/>
      <w:sz w:val="22"/>
    </w:rPr>
  </w:style>
  <w:style w:type="paragraph" w:styleId="Heading1">
    <w:name w:val="heading 1"/>
    <w:basedOn w:val="Normal"/>
    <w:next w:val="ParaNum"/>
    <w:qFormat/>
    <w:rsid w:val="003A172B"/>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172B"/>
    <w:pPr>
      <w:keepNext/>
      <w:numPr>
        <w:ilvl w:val="1"/>
        <w:numId w:val="24"/>
      </w:numPr>
      <w:spacing w:after="120"/>
      <w:outlineLvl w:val="1"/>
    </w:pPr>
    <w:rPr>
      <w:b/>
    </w:rPr>
  </w:style>
  <w:style w:type="paragraph" w:styleId="Heading3">
    <w:name w:val="heading 3"/>
    <w:basedOn w:val="Normal"/>
    <w:next w:val="ParaNum"/>
    <w:qFormat/>
    <w:rsid w:val="003A172B"/>
    <w:pPr>
      <w:keepNext/>
      <w:numPr>
        <w:ilvl w:val="2"/>
        <w:numId w:val="24"/>
      </w:numPr>
      <w:tabs>
        <w:tab w:val="left" w:pos="2160"/>
      </w:tabs>
      <w:spacing w:after="120"/>
      <w:outlineLvl w:val="2"/>
    </w:pPr>
    <w:rPr>
      <w:b/>
    </w:rPr>
  </w:style>
  <w:style w:type="paragraph" w:styleId="Heading4">
    <w:name w:val="heading 4"/>
    <w:basedOn w:val="Normal"/>
    <w:next w:val="ParaNum"/>
    <w:qFormat/>
    <w:rsid w:val="003A172B"/>
    <w:pPr>
      <w:keepNext/>
      <w:numPr>
        <w:ilvl w:val="3"/>
        <w:numId w:val="24"/>
      </w:numPr>
      <w:tabs>
        <w:tab w:val="left" w:pos="2880"/>
      </w:tabs>
      <w:spacing w:after="120"/>
      <w:outlineLvl w:val="3"/>
    </w:pPr>
    <w:rPr>
      <w:b/>
    </w:rPr>
  </w:style>
  <w:style w:type="paragraph" w:styleId="Heading5">
    <w:name w:val="heading 5"/>
    <w:basedOn w:val="Normal"/>
    <w:next w:val="ParaNum"/>
    <w:qFormat/>
    <w:rsid w:val="003A172B"/>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3A172B"/>
    <w:pPr>
      <w:numPr>
        <w:ilvl w:val="5"/>
        <w:numId w:val="24"/>
      </w:numPr>
      <w:tabs>
        <w:tab w:val="left" w:pos="4320"/>
      </w:tabs>
      <w:spacing w:after="120"/>
      <w:outlineLvl w:val="5"/>
    </w:pPr>
    <w:rPr>
      <w:b/>
    </w:rPr>
  </w:style>
  <w:style w:type="paragraph" w:styleId="Heading7">
    <w:name w:val="heading 7"/>
    <w:basedOn w:val="Normal"/>
    <w:next w:val="ParaNum"/>
    <w:qFormat/>
    <w:rsid w:val="003A172B"/>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3A172B"/>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3A172B"/>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1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72B"/>
  </w:style>
  <w:style w:type="paragraph" w:styleId="Caption">
    <w:name w:val="caption"/>
    <w:basedOn w:val="Normal"/>
    <w:next w:val="Normal"/>
    <w:qFormat/>
    <w:rsid w:val="00A66149"/>
    <w:pPr>
      <w:spacing w:before="120" w:after="120"/>
    </w:pPr>
    <w:rPr>
      <w:b/>
    </w:rPr>
  </w:style>
  <w:style w:type="paragraph" w:customStyle="1" w:styleId="ParaNum">
    <w:name w:val="ParaNum"/>
    <w:basedOn w:val="Normal"/>
    <w:rsid w:val="003A172B"/>
    <w:pPr>
      <w:numPr>
        <w:numId w:val="23"/>
      </w:numPr>
      <w:tabs>
        <w:tab w:val="clear" w:pos="1080"/>
        <w:tab w:val="num" w:pos="1440"/>
      </w:tabs>
      <w:spacing w:after="120"/>
    </w:p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3A172B"/>
    <w:pPr>
      <w:spacing w:after="120"/>
    </w:pPr>
  </w:style>
  <w:style w:type="paragraph" w:customStyle="1" w:styleId="Bullet">
    <w:name w:val="Bullet"/>
    <w:basedOn w:val="Normal"/>
    <w:rsid w:val="003A172B"/>
    <w:pPr>
      <w:tabs>
        <w:tab w:val="left" w:pos="2160"/>
      </w:tabs>
      <w:spacing w:after="220"/>
      <w:ind w:left="2160" w:hanging="720"/>
    </w:pPr>
  </w:style>
  <w:style w:type="paragraph" w:styleId="BlockText">
    <w:name w:val="Block Text"/>
    <w:basedOn w:val="Normal"/>
    <w:rsid w:val="003A172B"/>
    <w:pPr>
      <w:spacing w:after="240"/>
      <w:ind w:left="1440" w:right="1440"/>
    </w:pPr>
  </w:style>
  <w:style w:type="paragraph" w:customStyle="1" w:styleId="TableFormat">
    <w:name w:val="TableFormat"/>
    <w:basedOn w:val="Bullet"/>
    <w:rsid w:val="003A172B"/>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A172B"/>
    <w:rPr>
      <w:rFonts w:ascii="Times New Roman" w:hAnsi="Times New Roman"/>
      <w:dstrike w:val="0"/>
      <w:color w:val="auto"/>
      <w:sz w:val="20"/>
      <w:vertAlign w:val="superscript"/>
    </w:rPr>
  </w:style>
  <w:style w:type="paragraph" w:styleId="Header">
    <w:name w:val="header"/>
    <w:basedOn w:val="Normal"/>
    <w:autoRedefine/>
    <w:rsid w:val="003A172B"/>
    <w:pPr>
      <w:tabs>
        <w:tab w:val="center" w:pos="4680"/>
        <w:tab w:val="right" w:pos="9360"/>
      </w:tabs>
    </w:pPr>
    <w:rPr>
      <w:b/>
    </w:rPr>
  </w:style>
  <w:style w:type="paragraph" w:styleId="Footer">
    <w:name w:val="footer"/>
    <w:basedOn w:val="Normal"/>
    <w:link w:val="FooterChar"/>
    <w:uiPriority w:val="99"/>
    <w:rsid w:val="003A172B"/>
    <w:pPr>
      <w:tabs>
        <w:tab w:val="center" w:pos="4320"/>
        <w:tab w:val="right" w:pos="8640"/>
      </w:tabs>
    </w:pPr>
  </w:style>
  <w:style w:type="paragraph" w:styleId="TOC2">
    <w:name w:val="toc 2"/>
    <w:basedOn w:val="Normal"/>
    <w:next w:val="Normal"/>
    <w:semiHidden/>
    <w:rsid w:val="003A172B"/>
    <w:pPr>
      <w:tabs>
        <w:tab w:val="left" w:pos="720"/>
        <w:tab w:val="right" w:leader="dot" w:pos="9360"/>
      </w:tabs>
      <w:suppressAutoHyphens/>
      <w:ind w:left="720" w:right="720" w:hanging="360"/>
    </w:pPr>
    <w:rPr>
      <w:noProof/>
    </w:rPr>
  </w:style>
  <w:style w:type="paragraph" w:customStyle="1" w:styleId="NumberedList">
    <w:name w:val="Numbered List"/>
    <w:basedOn w:val="Normal"/>
    <w:rsid w:val="00A66149"/>
    <w:pPr>
      <w:numPr>
        <w:numId w:val="21"/>
      </w:numPr>
      <w:tabs>
        <w:tab w:val="clear" w:pos="1080"/>
      </w:tabs>
      <w:spacing w:after="220"/>
      <w:ind w:firstLine="0"/>
    </w:pPr>
  </w:style>
  <w:style w:type="paragraph" w:styleId="TOC1">
    <w:name w:val="toc 1"/>
    <w:basedOn w:val="Normal"/>
    <w:next w:val="Normal"/>
    <w:semiHidden/>
    <w:rsid w:val="003A172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A17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17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17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17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17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17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172B"/>
    <w:pPr>
      <w:tabs>
        <w:tab w:val="left" w:pos="3240"/>
        <w:tab w:val="right" w:leader="dot" w:pos="9360"/>
      </w:tabs>
      <w:suppressAutoHyphens/>
      <w:ind w:left="3240" w:hanging="360"/>
    </w:pPr>
    <w:rPr>
      <w:noProof/>
    </w:rPr>
  </w:style>
  <w:style w:type="character" w:styleId="PageNumber">
    <w:name w:val="page number"/>
    <w:basedOn w:val="DefaultParagraphFont"/>
    <w:rsid w:val="003A172B"/>
  </w:style>
  <w:style w:type="paragraph" w:styleId="Title">
    <w:name w:val="Title"/>
    <w:basedOn w:val="Normal"/>
    <w:qFormat/>
    <w:rsid w:val="00A66149"/>
    <w:pPr>
      <w:jc w:val="center"/>
    </w:pPr>
    <w:rPr>
      <w:b/>
    </w:rPr>
  </w:style>
  <w:style w:type="paragraph" w:styleId="EndnoteText">
    <w:name w:val="endnote text"/>
    <w:basedOn w:val="Normal"/>
    <w:link w:val="EndnoteTextChar"/>
    <w:rsid w:val="003A172B"/>
    <w:rPr>
      <w:sz w:val="20"/>
    </w:rPr>
  </w:style>
  <w:style w:type="character" w:customStyle="1" w:styleId="EndnoteTextChar">
    <w:name w:val="Endnote Text Char"/>
    <w:basedOn w:val="DefaultParagraphFont"/>
    <w:link w:val="EndnoteText"/>
    <w:rsid w:val="00A66149"/>
    <w:rPr>
      <w:snapToGrid w:val="0"/>
      <w:kern w:val="28"/>
    </w:rPr>
  </w:style>
  <w:style w:type="character" w:styleId="EndnoteReference">
    <w:name w:val="endnote reference"/>
    <w:rsid w:val="003A172B"/>
    <w:rPr>
      <w:vertAlign w:val="superscript"/>
    </w:rPr>
  </w:style>
  <w:style w:type="paragraph" w:styleId="TOAHeading">
    <w:name w:val="toa heading"/>
    <w:basedOn w:val="Normal"/>
    <w:next w:val="Normal"/>
    <w:rsid w:val="003A172B"/>
    <w:pPr>
      <w:tabs>
        <w:tab w:val="right" w:pos="9360"/>
      </w:tabs>
      <w:suppressAutoHyphens/>
    </w:pPr>
  </w:style>
  <w:style w:type="character" w:customStyle="1" w:styleId="EquationCaption">
    <w:name w:val="_Equation Caption"/>
    <w:rsid w:val="003A172B"/>
  </w:style>
  <w:style w:type="paragraph" w:customStyle="1" w:styleId="Paratitle">
    <w:name w:val="Para title"/>
    <w:basedOn w:val="Normal"/>
    <w:rsid w:val="003A172B"/>
    <w:pPr>
      <w:tabs>
        <w:tab w:val="center" w:pos="9270"/>
      </w:tabs>
      <w:spacing w:after="240"/>
    </w:pPr>
    <w:rPr>
      <w:spacing w:val="-2"/>
    </w:rPr>
  </w:style>
  <w:style w:type="paragraph" w:customStyle="1" w:styleId="TOCTitle">
    <w:name w:val="TOC Title"/>
    <w:basedOn w:val="Normal"/>
    <w:rsid w:val="003A17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172B"/>
    <w:pPr>
      <w:jc w:val="center"/>
    </w:pPr>
    <w:rPr>
      <w:rFonts w:ascii="Times New Roman Bold" w:hAnsi="Times New Roman Bold"/>
      <w:b/>
      <w:bCs/>
      <w:caps/>
      <w:szCs w:val="22"/>
    </w:rPr>
  </w:style>
  <w:style w:type="character" w:styleId="Hyperlink">
    <w:name w:val="Hyperlink"/>
    <w:rsid w:val="003A172B"/>
    <w:rPr>
      <w:color w:val="0000FF"/>
      <w:u w:val="single"/>
    </w:rPr>
  </w:style>
  <w:style w:type="character" w:styleId="CommentReference">
    <w:name w:val="annotation reference"/>
    <w:basedOn w:val="DefaultParagraphFont"/>
    <w:uiPriority w:val="99"/>
    <w:unhideWhenUsed/>
    <w:rsid w:val="00745A2D"/>
    <w:rPr>
      <w:sz w:val="16"/>
      <w:szCs w:val="16"/>
    </w:rPr>
  </w:style>
  <w:style w:type="paragraph" w:styleId="CommentText">
    <w:name w:val="annotation text"/>
    <w:basedOn w:val="Normal"/>
    <w:link w:val="CommentTextChar"/>
    <w:uiPriority w:val="99"/>
    <w:unhideWhenUsed/>
    <w:rsid w:val="00745A2D"/>
    <w:rPr>
      <w:sz w:val="20"/>
    </w:rPr>
  </w:style>
  <w:style w:type="character" w:customStyle="1" w:styleId="CommentTextChar">
    <w:name w:val="Comment Text Char"/>
    <w:basedOn w:val="DefaultParagraphFont"/>
    <w:link w:val="CommentText"/>
    <w:uiPriority w:val="99"/>
    <w:rsid w:val="00745A2D"/>
    <w:rPr>
      <w:snapToGrid w:val="0"/>
      <w:kern w:val="28"/>
    </w:rPr>
  </w:style>
  <w:style w:type="paragraph" w:styleId="CommentSubject">
    <w:name w:val="annotation subject"/>
    <w:basedOn w:val="CommentText"/>
    <w:next w:val="CommentText"/>
    <w:link w:val="CommentSubjectChar"/>
    <w:semiHidden/>
    <w:unhideWhenUsed/>
    <w:rsid w:val="00745A2D"/>
    <w:rPr>
      <w:b/>
      <w:bCs/>
    </w:rPr>
  </w:style>
  <w:style w:type="character" w:customStyle="1" w:styleId="CommentSubjectChar">
    <w:name w:val="Comment Subject Char"/>
    <w:basedOn w:val="CommentTextChar"/>
    <w:link w:val="CommentSubject"/>
    <w:semiHidden/>
    <w:rsid w:val="00745A2D"/>
    <w:rPr>
      <w:b/>
      <w:bCs/>
      <w:snapToGrid w:val="0"/>
      <w:kern w:val="28"/>
    </w:rPr>
  </w:style>
  <w:style w:type="paragraph" w:styleId="BalloonText">
    <w:name w:val="Balloon Text"/>
    <w:basedOn w:val="Normal"/>
    <w:link w:val="BalloonTextChar"/>
    <w:rsid w:val="00745A2D"/>
    <w:rPr>
      <w:rFonts w:ascii="Segoe UI" w:hAnsi="Segoe UI" w:cs="Segoe UI"/>
      <w:sz w:val="18"/>
      <w:szCs w:val="18"/>
    </w:rPr>
  </w:style>
  <w:style w:type="character" w:customStyle="1" w:styleId="BalloonTextChar">
    <w:name w:val="Balloon Text Char"/>
    <w:basedOn w:val="DefaultParagraphFont"/>
    <w:link w:val="BalloonText"/>
    <w:rsid w:val="00745A2D"/>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745A2D"/>
    <w:rPr>
      <w:color w:val="808080"/>
      <w:shd w:val="clear" w:color="auto" w:fill="E6E6E6"/>
    </w:rPr>
  </w:style>
  <w:style w:type="paragraph" w:styleId="ListParagraph">
    <w:name w:val="List Paragraph"/>
    <w:basedOn w:val="Normal"/>
    <w:uiPriority w:val="34"/>
    <w:qFormat/>
    <w:rsid w:val="00B978E5"/>
    <w:pPr>
      <w:ind w:left="720"/>
      <w:contextualSpacing/>
    </w:pPr>
  </w:style>
  <w:style w:type="paragraph" w:styleId="Revision">
    <w:name w:val="Revision"/>
    <w:hidden/>
    <w:uiPriority w:val="99"/>
    <w:semiHidden/>
    <w:rsid w:val="007A461B"/>
    <w:rPr>
      <w:snapToGrid w:val="0"/>
      <w:kern w:val="28"/>
      <w:sz w:val="22"/>
    </w:rPr>
  </w:style>
  <w:style w:type="character" w:customStyle="1" w:styleId="FooterChar">
    <w:name w:val="Footer Char"/>
    <w:link w:val="Footer"/>
    <w:uiPriority w:val="99"/>
    <w:rsid w:val="003A172B"/>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71584"/>
  </w:style>
  <w:style w:type="paragraph" w:customStyle="1" w:styleId="ParaNumSub">
    <w:name w:val="ParaNumSub"/>
    <w:basedOn w:val="Heading4"/>
    <w:qFormat/>
    <w:rsid w:val="005B0621"/>
    <w:pPr>
      <w:tabs>
        <w:tab w:val="clear" w:pos="2880"/>
      </w:tabs>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