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64AA530A" w14:textId="77777777" w:rsidTr="006D5D22">
        <w:tblPrEx>
          <w:tblW w:w="0" w:type="auto"/>
          <w:tblLook w:val="0000"/>
        </w:tblPrEx>
        <w:trPr>
          <w:trHeight w:val="2181"/>
        </w:trPr>
        <w:tc>
          <w:tcPr>
            <w:tcW w:w="8856" w:type="dxa"/>
          </w:tcPr>
          <w:p w:rsidR="00FF232D" w:rsidP="006A7D75" w14:paraId="09F1F5D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0341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270BAC2" w14:textId="77777777">
            <w:pPr>
              <w:rPr>
                <w:b/>
                <w:bCs/>
                <w:sz w:val="12"/>
                <w:szCs w:val="12"/>
              </w:rPr>
            </w:pPr>
          </w:p>
          <w:p w:rsidR="007A44F8" w:rsidRPr="008A3940" w:rsidP="00BB4E29" w14:paraId="59B957CD" w14:textId="77777777">
            <w:pPr>
              <w:rPr>
                <w:b/>
                <w:bCs/>
                <w:sz w:val="22"/>
                <w:szCs w:val="22"/>
              </w:rPr>
            </w:pPr>
            <w:r w:rsidRPr="008A3940">
              <w:rPr>
                <w:b/>
                <w:bCs/>
                <w:sz w:val="22"/>
                <w:szCs w:val="22"/>
              </w:rPr>
              <w:t xml:space="preserve">Media Contact: </w:t>
            </w:r>
          </w:p>
          <w:p w:rsidR="007A44F8" w:rsidRPr="008A3940" w:rsidP="00BB4E29" w14:paraId="366A3D92"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24C8EBAC" w14:textId="77777777">
            <w:pPr>
              <w:rPr>
                <w:bCs/>
                <w:sz w:val="22"/>
                <w:szCs w:val="22"/>
              </w:rPr>
            </w:pPr>
            <w:r w:rsidRPr="008A3940">
              <w:rPr>
                <w:bCs/>
                <w:sz w:val="22"/>
                <w:szCs w:val="22"/>
              </w:rPr>
              <w:t>will.wiquist@fcc.gov</w:t>
            </w:r>
          </w:p>
          <w:p w:rsidR="007A44F8" w:rsidRPr="008A3940" w:rsidP="00BB4E29" w14:paraId="4B05F2F6" w14:textId="77777777">
            <w:pPr>
              <w:rPr>
                <w:bCs/>
                <w:sz w:val="22"/>
                <w:szCs w:val="22"/>
              </w:rPr>
            </w:pPr>
          </w:p>
          <w:p w:rsidR="007A44F8" w:rsidRPr="008A3940" w:rsidP="00BB4E29" w14:paraId="3E469A2A" w14:textId="77777777">
            <w:pPr>
              <w:rPr>
                <w:b/>
                <w:sz w:val="22"/>
                <w:szCs w:val="22"/>
              </w:rPr>
            </w:pPr>
            <w:r w:rsidRPr="008A3940">
              <w:rPr>
                <w:b/>
                <w:sz w:val="22"/>
                <w:szCs w:val="22"/>
              </w:rPr>
              <w:t>For Immediate Release</w:t>
            </w:r>
          </w:p>
          <w:p w:rsidR="007A44F8" w:rsidRPr="004A729A" w:rsidP="00BB4E29" w14:paraId="35950C15" w14:textId="77777777">
            <w:pPr>
              <w:jc w:val="center"/>
              <w:rPr>
                <w:b/>
                <w:bCs/>
                <w:sz w:val="22"/>
                <w:szCs w:val="22"/>
              </w:rPr>
            </w:pPr>
          </w:p>
          <w:p w:rsidR="000E049E" w:rsidP="00D861EE" w14:paraId="31FD5EC4" w14:textId="37942927">
            <w:pPr>
              <w:tabs>
                <w:tab w:val="left" w:pos="8625"/>
              </w:tabs>
              <w:spacing w:after="120"/>
              <w:jc w:val="center"/>
              <w:rPr>
                <w:b/>
                <w:bCs/>
                <w:sz w:val="26"/>
                <w:szCs w:val="26"/>
              </w:rPr>
            </w:pPr>
            <w:r w:rsidRPr="000E049E">
              <w:rPr>
                <w:b/>
                <w:bCs/>
                <w:sz w:val="26"/>
                <w:szCs w:val="26"/>
              </w:rPr>
              <w:t xml:space="preserve">FCC </w:t>
            </w:r>
            <w:r w:rsidR="003B3ED0">
              <w:rPr>
                <w:b/>
                <w:bCs/>
                <w:sz w:val="26"/>
                <w:szCs w:val="26"/>
              </w:rPr>
              <w:t>PROPOSE</w:t>
            </w:r>
            <w:r w:rsidR="00013886">
              <w:rPr>
                <w:b/>
                <w:bCs/>
                <w:sz w:val="26"/>
                <w:szCs w:val="26"/>
              </w:rPr>
              <w:t>S</w:t>
            </w:r>
            <w:r w:rsidR="003B3ED0">
              <w:rPr>
                <w:b/>
                <w:bCs/>
                <w:sz w:val="26"/>
                <w:szCs w:val="26"/>
              </w:rPr>
              <w:t xml:space="preserve"> </w:t>
            </w:r>
            <w:r w:rsidR="00730C1B">
              <w:rPr>
                <w:b/>
                <w:bCs/>
                <w:sz w:val="26"/>
                <w:szCs w:val="26"/>
              </w:rPr>
              <w:t xml:space="preserve">OVER </w:t>
            </w:r>
            <w:r w:rsidR="003B3ED0">
              <w:rPr>
                <w:b/>
                <w:bCs/>
                <w:sz w:val="26"/>
                <w:szCs w:val="26"/>
              </w:rPr>
              <w:t>$</w:t>
            </w:r>
            <w:r w:rsidR="00730C1B">
              <w:rPr>
                <w:b/>
                <w:bCs/>
                <w:sz w:val="26"/>
                <w:szCs w:val="26"/>
              </w:rPr>
              <w:t>47</w:t>
            </w:r>
            <w:r w:rsidR="00FF6228">
              <w:rPr>
                <w:b/>
                <w:bCs/>
                <w:sz w:val="26"/>
                <w:szCs w:val="26"/>
              </w:rPr>
              <w:t xml:space="preserve"> MILLION</w:t>
            </w:r>
            <w:r w:rsidR="003B3ED0">
              <w:rPr>
                <w:b/>
                <w:bCs/>
                <w:sz w:val="26"/>
                <w:szCs w:val="26"/>
              </w:rPr>
              <w:t xml:space="preserve"> </w:t>
            </w:r>
            <w:r w:rsidR="00185E81">
              <w:rPr>
                <w:b/>
                <w:bCs/>
                <w:sz w:val="26"/>
                <w:szCs w:val="26"/>
              </w:rPr>
              <w:t xml:space="preserve">IN FINES FOR FAILING TO </w:t>
            </w:r>
            <w:r w:rsidR="00403005">
              <w:rPr>
                <w:b/>
                <w:bCs/>
                <w:sz w:val="26"/>
                <w:szCs w:val="26"/>
              </w:rPr>
              <w:t>MEET</w:t>
            </w:r>
            <w:r w:rsidR="00185E81">
              <w:rPr>
                <w:b/>
                <w:bCs/>
                <w:sz w:val="26"/>
                <w:szCs w:val="26"/>
              </w:rPr>
              <w:t xml:space="preserve"> EDUCATIONAL </w:t>
            </w:r>
            <w:r w:rsidR="00403005">
              <w:rPr>
                <w:b/>
                <w:bCs/>
                <w:sz w:val="26"/>
                <w:szCs w:val="26"/>
              </w:rPr>
              <w:t>REQUIREMENTS FOR</w:t>
            </w:r>
            <w:r w:rsidR="00185E81">
              <w:rPr>
                <w:b/>
                <w:bCs/>
                <w:sz w:val="26"/>
                <w:szCs w:val="26"/>
              </w:rPr>
              <w:t xml:space="preserve"> LICENSED SPECTRUM</w:t>
            </w:r>
          </w:p>
          <w:p w:rsidR="00CC5E08" w:rsidRPr="008A3940" w:rsidP="00040127" w14:paraId="60295693" w14:textId="51AB03AD">
            <w:pPr>
              <w:tabs>
                <w:tab w:val="left" w:pos="8625"/>
              </w:tabs>
              <w:jc w:val="center"/>
              <w:rPr>
                <w:i/>
              </w:rPr>
            </w:pPr>
            <w:r>
              <w:rPr>
                <w:b/>
                <w:bCs/>
                <w:i/>
              </w:rPr>
              <w:t>Ten</w:t>
            </w:r>
            <w:r w:rsidR="003B3ED0">
              <w:rPr>
                <w:b/>
                <w:bCs/>
                <w:i/>
              </w:rPr>
              <w:t xml:space="preserve"> </w:t>
            </w:r>
            <w:r w:rsidR="00296C33">
              <w:rPr>
                <w:b/>
                <w:bCs/>
                <w:i/>
              </w:rPr>
              <w:t xml:space="preserve">Non-Local 2.5 GHz </w:t>
            </w:r>
            <w:r w:rsidR="003B3ED0">
              <w:rPr>
                <w:b/>
                <w:bCs/>
                <w:i/>
              </w:rPr>
              <w:t xml:space="preserve">Licensees Apparently </w:t>
            </w:r>
            <w:r w:rsidR="00185E81">
              <w:rPr>
                <w:b/>
                <w:bCs/>
                <w:i/>
              </w:rPr>
              <w:t>Sub-Leased the Spectrum Without Also Meeting Educational and Community Engagement Commitments</w:t>
            </w:r>
          </w:p>
          <w:p w:rsidR="00F61155" w:rsidRPr="006B0A70" w:rsidP="00BB4E29" w14:paraId="2CEB294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85E81" w:rsidP="002E165B" w14:paraId="7358565B" w14:textId="57EC714C">
            <w:pPr>
              <w:rPr>
                <w:sz w:val="22"/>
                <w:szCs w:val="22"/>
              </w:rPr>
            </w:pPr>
            <w:r w:rsidRPr="002E165B">
              <w:rPr>
                <w:sz w:val="22"/>
                <w:szCs w:val="22"/>
              </w:rPr>
              <w:t xml:space="preserve">WASHINGTON, </w:t>
            </w:r>
            <w:r w:rsidRPr="002363D9" w:rsidR="002E597C">
              <w:rPr>
                <w:sz w:val="22"/>
                <w:szCs w:val="22"/>
              </w:rPr>
              <w:t xml:space="preserve">January </w:t>
            </w:r>
            <w:r w:rsidRPr="002363D9" w:rsidR="002363D9">
              <w:rPr>
                <w:sz w:val="22"/>
                <w:szCs w:val="22"/>
              </w:rPr>
              <w:t>7</w:t>
            </w:r>
            <w:r w:rsidRPr="002363D9" w:rsidR="00065E2D">
              <w:rPr>
                <w:sz w:val="22"/>
                <w:szCs w:val="22"/>
              </w:rPr>
              <w:t>,</w:t>
            </w:r>
            <w:r w:rsidRPr="002E165B" w:rsidR="00065E2D">
              <w:rPr>
                <w:sz w:val="22"/>
                <w:szCs w:val="22"/>
              </w:rPr>
              <w:t xml:space="preserve"> 20</w:t>
            </w:r>
            <w:r w:rsidR="006D16EF">
              <w:rPr>
                <w:sz w:val="22"/>
                <w:szCs w:val="22"/>
              </w:rPr>
              <w:t>2</w:t>
            </w:r>
            <w:r w:rsidR="002E597C">
              <w:rPr>
                <w:sz w:val="22"/>
                <w:szCs w:val="22"/>
              </w:rPr>
              <w:t>1</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434084">
              <w:rPr>
                <w:sz w:val="22"/>
                <w:szCs w:val="22"/>
              </w:rPr>
              <w:t xml:space="preserve">proposed fines on </w:t>
            </w:r>
            <w:r w:rsidR="00691D89">
              <w:rPr>
                <w:sz w:val="22"/>
                <w:szCs w:val="22"/>
              </w:rPr>
              <w:t>10</w:t>
            </w:r>
            <w:r w:rsidR="00434084">
              <w:rPr>
                <w:sz w:val="22"/>
                <w:szCs w:val="22"/>
              </w:rPr>
              <w:t xml:space="preserve"> entities for apparent</w:t>
            </w:r>
            <w:r w:rsidR="003C2A34">
              <w:rPr>
                <w:sz w:val="22"/>
                <w:szCs w:val="22"/>
              </w:rPr>
              <w:t xml:space="preserve">ly failing to provide the educational services </w:t>
            </w:r>
            <w:r w:rsidR="00B52759">
              <w:rPr>
                <w:sz w:val="22"/>
                <w:szCs w:val="22"/>
              </w:rPr>
              <w:t>required by</w:t>
            </w:r>
            <w:r w:rsidR="003C2A34">
              <w:rPr>
                <w:sz w:val="22"/>
                <w:szCs w:val="22"/>
              </w:rPr>
              <w:t xml:space="preserve"> </w:t>
            </w:r>
            <w:r w:rsidRPr="00510B98" w:rsidR="00510B98">
              <w:rPr>
                <w:sz w:val="22"/>
                <w:szCs w:val="22"/>
              </w:rPr>
              <w:t xml:space="preserve">Educational Broadband Service (EBS) </w:t>
            </w:r>
            <w:r>
              <w:rPr>
                <w:sz w:val="22"/>
                <w:szCs w:val="22"/>
              </w:rPr>
              <w:t>spectrum</w:t>
            </w:r>
            <w:r w:rsidR="003C2A34">
              <w:rPr>
                <w:sz w:val="22"/>
                <w:szCs w:val="22"/>
              </w:rPr>
              <w:t xml:space="preserve"> licenses</w:t>
            </w:r>
            <w:r w:rsidR="00B52759">
              <w:rPr>
                <w:sz w:val="22"/>
                <w:szCs w:val="22"/>
              </w:rPr>
              <w:t xml:space="preserve"> they hold</w:t>
            </w:r>
            <w:r w:rsidR="003C2A34">
              <w:rPr>
                <w:sz w:val="22"/>
                <w:szCs w:val="22"/>
              </w:rPr>
              <w:t xml:space="preserve">.  The parties also apparently failed to meet their obligations to </w:t>
            </w:r>
            <w:r w:rsidR="00863D0C">
              <w:rPr>
                <w:sz w:val="22"/>
                <w:szCs w:val="22"/>
              </w:rPr>
              <w:t xml:space="preserve">maintain </w:t>
            </w:r>
            <w:r w:rsidR="003C2A34">
              <w:rPr>
                <w:sz w:val="22"/>
                <w:szCs w:val="22"/>
              </w:rPr>
              <w:t xml:space="preserve">local </w:t>
            </w:r>
            <w:r w:rsidR="00863D0C">
              <w:rPr>
                <w:sz w:val="22"/>
                <w:szCs w:val="22"/>
              </w:rPr>
              <w:t xml:space="preserve">program committees to </w:t>
            </w:r>
            <w:r w:rsidR="00013886">
              <w:rPr>
                <w:sz w:val="22"/>
                <w:szCs w:val="22"/>
              </w:rPr>
              <w:t>inform</w:t>
            </w:r>
            <w:r w:rsidR="003C2A34">
              <w:rPr>
                <w:sz w:val="22"/>
                <w:szCs w:val="22"/>
              </w:rPr>
              <w:t xml:space="preserve"> the use of their respective licenses in the 2.5 GHz band. </w:t>
            </w:r>
          </w:p>
          <w:p w:rsidR="00185E81" w:rsidP="002E165B" w14:paraId="5729379B" w14:textId="77777777">
            <w:pPr>
              <w:rPr>
                <w:sz w:val="22"/>
                <w:szCs w:val="22"/>
              </w:rPr>
            </w:pPr>
          </w:p>
          <w:p w:rsidR="00185E81" w:rsidP="002E165B" w14:paraId="3B1C73F2" w14:textId="48F21A6F">
            <w:pPr>
              <w:rPr>
                <w:sz w:val="22"/>
                <w:szCs w:val="22"/>
              </w:rPr>
            </w:pPr>
            <w:r>
              <w:rPr>
                <w:sz w:val="22"/>
                <w:szCs w:val="22"/>
              </w:rPr>
              <w:t xml:space="preserve">Under </w:t>
            </w:r>
            <w:r w:rsidR="00863D0C">
              <w:rPr>
                <w:sz w:val="22"/>
                <w:szCs w:val="22"/>
              </w:rPr>
              <w:t xml:space="preserve">applicable </w:t>
            </w:r>
            <w:r>
              <w:rPr>
                <w:sz w:val="22"/>
                <w:szCs w:val="22"/>
              </w:rPr>
              <w:t>FCC rules</w:t>
            </w:r>
            <w:r w:rsidR="00481893">
              <w:rPr>
                <w:sz w:val="22"/>
                <w:szCs w:val="22"/>
              </w:rPr>
              <w:t xml:space="preserve"> at the time</w:t>
            </w:r>
            <w:r>
              <w:rPr>
                <w:sz w:val="22"/>
                <w:szCs w:val="22"/>
              </w:rPr>
              <w:t xml:space="preserve">, </w:t>
            </w:r>
            <w:r w:rsidR="00296C33">
              <w:rPr>
                <w:sz w:val="22"/>
                <w:szCs w:val="22"/>
              </w:rPr>
              <w:t xml:space="preserve">non-local </w:t>
            </w:r>
            <w:r w:rsidR="00863D0C">
              <w:rPr>
                <w:sz w:val="22"/>
                <w:szCs w:val="22"/>
              </w:rPr>
              <w:t xml:space="preserve">EBS </w:t>
            </w:r>
            <w:r>
              <w:rPr>
                <w:sz w:val="22"/>
                <w:szCs w:val="22"/>
              </w:rPr>
              <w:t xml:space="preserve">licensees </w:t>
            </w:r>
            <w:r w:rsidRPr="00185E81">
              <w:rPr>
                <w:sz w:val="22"/>
                <w:szCs w:val="22"/>
              </w:rPr>
              <w:t xml:space="preserve">were </w:t>
            </w:r>
            <w:r>
              <w:rPr>
                <w:sz w:val="22"/>
                <w:szCs w:val="22"/>
              </w:rPr>
              <w:t xml:space="preserve">required to </w:t>
            </w:r>
            <w:r w:rsidRPr="00185E81" w:rsidR="00296C33">
              <w:rPr>
                <w:sz w:val="22"/>
                <w:szCs w:val="22"/>
              </w:rPr>
              <w:t xml:space="preserve">reserve a minimum of 5% of </w:t>
            </w:r>
            <w:r w:rsidR="00296C33">
              <w:rPr>
                <w:sz w:val="22"/>
                <w:szCs w:val="22"/>
              </w:rPr>
              <w:t>their</w:t>
            </w:r>
            <w:r w:rsidRPr="00185E81" w:rsidR="00296C33">
              <w:rPr>
                <w:sz w:val="22"/>
                <w:szCs w:val="22"/>
              </w:rPr>
              <w:t xml:space="preserve"> capacity</w:t>
            </w:r>
            <w:r w:rsidR="00296C33">
              <w:rPr>
                <w:sz w:val="22"/>
                <w:szCs w:val="22"/>
              </w:rPr>
              <w:t xml:space="preserve"> for education</w:t>
            </w:r>
            <w:r w:rsidR="00481893">
              <w:rPr>
                <w:sz w:val="22"/>
                <w:szCs w:val="22"/>
              </w:rPr>
              <w:t>al</w:t>
            </w:r>
            <w:r w:rsidR="00296C33">
              <w:rPr>
                <w:sz w:val="22"/>
                <w:szCs w:val="22"/>
              </w:rPr>
              <w:t xml:space="preserve"> use, </w:t>
            </w:r>
            <w:r w:rsidRPr="002F2251">
              <w:rPr>
                <w:sz w:val="22"/>
                <w:szCs w:val="22"/>
              </w:rPr>
              <w:t xml:space="preserve">provide </w:t>
            </w:r>
            <w:r>
              <w:rPr>
                <w:sz w:val="22"/>
                <w:szCs w:val="22"/>
              </w:rPr>
              <w:t xml:space="preserve">at least </w:t>
            </w:r>
            <w:r w:rsidRPr="002F2251">
              <w:rPr>
                <w:sz w:val="22"/>
                <w:szCs w:val="22"/>
              </w:rPr>
              <w:t xml:space="preserve">20 hours of educational </w:t>
            </w:r>
            <w:r w:rsidR="003C2A34">
              <w:rPr>
                <w:sz w:val="22"/>
                <w:szCs w:val="22"/>
              </w:rPr>
              <w:t xml:space="preserve">programing </w:t>
            </w:r>
            <w:r w:rsidRPr="002F2251">
              <w:rPr>
                <w:sz w:val="22"/>
                <w:szCs w:val="22"/>
              </w:rPr>
              <w:t>per channel per week</w:t>
            </w:r>
            <w:r w:rsidR="00296C33">
              <w:rPr>
                <w:sz w:val="22"/>
                <w:szCs w:val="22"/>
              </w:rPr>
              <w:t>,</w:t>
            </w:r>
            <w:r>
              <w:rPr>
                <w:sz w:val="22"/>
                <w:szCs w:val="22"/>
              </w:rPr>
              <w:t xml:space="preserve"> and</w:t>
            </w:r>
            <w:r w:rsidR="0018249D">
              <w:rPr>
                <w:sz w:val="22"/>
                <w:szCs w:val="22"/>
              </w:rPr>
              <w:t xml:space="preserve"> </w:t>
            </w:r>
            <w:r w:rsidRPr="002F2251">
              <w:rPr>
                <w:sz w:val="22"/>
                <w:szCs w:val="22"/>
              </w:rPr>
              <w:t xml:space="preserve">establish a </w:t>
            </w:r>
            <w:r w:rsidR="00863D0C">
              <w:rPr>
                <w:sz w:val="22"/>
                <w:szCs w:val="22"/>
              </w:rPr>
              <w:t xml:space="preserve">local </w:t>
            </w:r>
            <w:r w:rsidRPr="002F2251">
              <w:rPr>
                <w:sz w:val="22"/>
                <w:szCs w:val="22"/>
              </w:rPr>
              <w:t>program committee in each community where it did not have a local presence</w:t>
            </w:r>
            <w:r>
              <w:rPr>
                <w:sz w:val="22"/>
                <w:szCs w:val="22"/>
              </w:rPr>
              <w:t>.</w:t>
            </w:r>
            <w:r>
              <w:rPr>
                <w:sz w:val="22"/>
                <w:szCs w:val="22"/>
              </w:rPr>
              <w:t xml:space="preserve">  The </w:t>
            </w:r>
            <w:r w:rsidR="00691D89">
              <w:rPr>
                <w:sz w:val="22"/>
                <w:szCs w:val="22"/>
              </w:rPr>
              <w:t>10</w:t>
            </w:r>
            <w:r>
              <w:rPr>
                <w:sz w:val="22"/>
                <w:szCs w:val="22"/>
              </w:rPr>
              <w:t xml:space="preserve"> entities</w:t>
            </w:r>
            <w:r w:rsidR="00863D0C">
              <w:rPr>
                <w:sz w:val="22"/>
                <w:szCs w:val="22"/>
              </w:rPr>
              <w:t>,</w:t>
            </w:r>
            <w:r>
              <w:rPr>
                <w:sz w:val="22"/>
                <w:szCs w:val="22"/>
              </w:rPr>
              <w:t xml:space="preserve"> which now face </w:t>
            </w:r>
            <w:r w:rsidR="003C2A34">
              <w:rPr>
                <w:sz w:val="22"/>
                <w:szCs w:val="22"/>
              </w:rPr>
              <w:t>a combined $</w:t>
            </w:r>
            <w:r w:rsidR="00730C1B">
              <w:rPr>
                <w:sz w:val="22"/>
                <w:szCs w:val="22"/>
              </w:rPr>
              <w:t>47,548,500</w:t>
            </w:r>
            <w:r w:rsidR="003C2A34">
              <w:rPr>
                <w:sz w:val="22"/>
                <w:szCs w:val="22"/>
              </w:rPr>
              <w:t xml:space="preserve"> in </w:t>
            </w:r>
            <w:r>
              <w:rPr>
                <w:sz w:val="22"/>
                <w:szCs w:val="22"/>
              </w:rPr>
              <w:t>proposed fines</w:t>
            </w:r>
            <w:r w:rsidR="00863D0C">
              <w:rPr>
                <w:sz w:val="22"/>
                <w:szCs w:val="22"/>
              </w:rPr>
              <w:t>,</w:t>
            </w:r>
            <w:r>
              <w:rPr>
                <w:sz w:val="22"/>
                <w:szCs w:val="22"/>
              </w:rPr>
              <w:t xml:space="preserve"> apparently failed to meet these </w:t>
            </w:r>
            <w:r w:rsidR="00F526CC">
              <w:rPr>
                <w:sz w:val="22"/>
                <w:szCs w:val="22"/>
              </w:rPr>
              <w:t xml:space="preserve">fundamental </w:t>
            </w:r>
            <w:r>
              <w:rPr>
                <w:sz w:val="22"/>
                <w:szCs w:val="22"/>
              </w:rPr>
              <w:t xml:space="preserve">obligations </w:t>
            </w:r>
            <w:r w:rsidR="00724942">
              <w:rPr>
                <w:sz w:val="22"/>
                <w:szCs w:val="22"/>
              </w:rPr>
              <w:t xml:space="preserve">attached to </w:t>
            </w:r>
            <w:r w:rsidR="00F526CC">
              <w:rPr>
                <w:sz w:val="22"/>
                <w:szCs w:val="22"/>
              </w:rPr>
              <w:t>their licenses</w:t>
            </w:r>
            <w:r>
              <w:rPr>
                <w:sz w:val="22"/>
                <w:szCs w:val="22"/>
              </w:rPr>
              <w:t>.</w:t>
            </w:r>
          </w:p>
          <w:p w:rsidR="00185E81" w:rsidP="002E165B" w14:paraId="7F4FDD7A" w14:textId="13DF098A">
            <w:pPr>
              <w:rPr>
                <w:sz w:val="22"/>
                <w:szCs w:val="22"/>
              </w:rPr>
            </w:pPr>
          </w:p>
          <w:p w:rsidR="00086AC9" w:rsidP="002E165B" w14:paraId="56107A44" w14:textId="6B056D36">
            <w:pPr>
              <w:rPr>
                <w:sz w:val="22"/>
                <w:szCs w:val="22"/>
              </w:rPr>
            </w:pPr>
            <w:r w:rsidRPr="002363D9">
              <w:rPr>
                <w:sz w:val="22"/>
                <w:szCs w:val="22"/>
              </w:rPr>
              <w:t xml:space="preserve">“Our actions underline the Commission’s ongoing expectation that all FCC licensees must meet their commitments to the American public,” said Enforcement Bureau Chief Rosemary Harold.  “These parties apparently </w:t>
            </w:r>
            <w:r w:rsidR="00296C33">
              <w:rPr>
                <w:sz w:val="22"/>
                <w:szCs w:val="22"/>
              </w:rPr>
              <w:t>profited from</w:t>
            </w:r>
            <w:r w:rsidRPr="002363D9">
              <w:rPr>
                <w:sz w:val="22"/>
                <w:szCs w:val="22"/>
              </w:rPr>
              <w:t xml:space="preserve"> their licenses without also providing measurable and verifiable support for the educational goals that EBS licenses were designed to serve.  Disregard for license obligations is unacceptable.”</w:t>
            </w:r>
          </w:p>
          <w:p w:rsidR="002363D9" w:rsidP="002E165B" w14:paraId="55ACAAFD" w14:textId="77777777">
            <w:pPr>
              <w:rPr>
                <w:sz w:val="22"/>
                <w:szCs w:val="22"/>
              </w:rPr>
            </w:pPr>
          </w:p>
          <w:p w:rsidR="00850E26" w:rsidRPr="002E165B" w:rsidP="002E165B" w14:paraId="493942FB" w14:textId="53ADF47A">
            <w:pPr>
              <w:rPr>
                <w:sz w:val="22"/>
                <w:szCs w:val="22"/>
              </w:rPr>
            </w:pPr>
            <w:r>
              <w:rPr>
                <w:sz w:val="22"/>
                <w:szCs w:val="22"/>
              </w:rPr>
              <w:t xml:space="preserve">The premise of the EBS licensing regime was that </w:t>
            </w:r>
            <w:r w:rsidRPr="00A94A88">
              <w:rPr>
                <w:sz w:val="22"/>
                <w:szCs w:val="22"/>
              </w:rPr>
              <w:t>the opportunit</w:t>
            </w:r>
            <w:r>
              <w:rPr>
                <w:sz w:val="22"/>
                <w:szCs w:val="22"/>
              </w:rPr>
              <w:t xml:space="preserve">y </w:t>
            </w:r>
            <w:r w:rsidRPr="00A94A88">
              <w:rPr>
                <w:sz w:val="22"/>
                <w:szCs w:val="22"/>
              </w:rPr>
              <w:t>to sub-lease spectrum</w:t>
            </w:r>
            <w:r>
              <w:rPr>
                <w:sz w:val="22"/>
                <w:szCs w:val="22"/>
              </w:rPr>
              <w:t xml:space="preserve"> would help incentivize licensees</w:t>
            </w:r>
            <w:r w:rsidRPr="00A94A88">
              <w:rPr>
                <w:sz w:val="22"/>
                <w:szCs w:val="22"/>
              </w:rPr>
              <w:t xml:space="preserve"> </w:t>
            </w:r>
            <w:r>
              <w:rPr>
                <w:sz w:val="22"/>
                <w:szCs w:val="22"/>
              </w:rPr>
              <w:t xml:space="preserve">to continue providing educational services via their remaining capacity.  </w:t>
            </w:r>
            <w:r w:rsidR="00D40D13">
              <w:rPr>
                <w:sz w:val="22"/>
                <w:szCs w:val="22"/>
              </w:rPr>
              <w:t>The</w:t>
            </w:r>
            <w:r w:rsidR="00F526CC">
              <w:rPr>
                <w:sz w:val="22"/>
                <w:szCs w:val="22"/>
              </w:rPr>
              <w:t xml:space="preserve"> </w:t>
            </w:r>
            <w:r w:rsidR="00D40D13">
              <w:rPr>
                <w:sz w:val="22"/>
                <w:szCs w:val="22"/>
              </w:rPr>
              <w:t>entities cited today sub-lease</w:t>
            </w:r>
            <w:r>
              <w:rPr>
                <w:sz w:val="22"/>
                <w:szCs w:val="22"/>
              </w:rPr>
              <w:t>d</w:t>
            </w:r>
            <w:r w:rsidR="00D40D13">
              <w:rPr>
                <w:sz w:val="22"/>
                <w:szCs w:val="22"/>
              </w:rPr>
              <w:t xml:space="preserve"> the spectrum to </w:t>
            </w:r>
            <w:r w:rsidR="00614064">
              <w:rPr>
                <w:sz w:val="22"/>
                <w:szCs w:val="22"/>
              </w:rPr>
              <w:t xml:space="preserve">their </w:t>
            </w:r>
            <w:r w:rsidR="00D40D13">
              <w:rPr>
                <w:sz w:val="22"/>
                <w:szCs w:val="22"/>
              </w:rPr>
              <w:t xml:space="preserve">substantial financial benefit </w:t>
            </w:r>
            <w:r w:rsidR="00075F36">
              <w:rPr>
                <w:sz w:val="22"/>
                <w:szCs w:val="22"/>
              </w:rPr>
              <w:t xml:space="preserve">but </w:t>
            </w:r>
            <w:r w:rsidR="00D40D13">
              <w:rPr>
                <w:sz w:val="22"/>
                <w:szCs w:val="22"/>
              </w:rPr>
              <w:t>apparently failed to meet the</w:t>
            </w:r>
            <w:r>
              <w:rPr>
                <w:sz w:val="22"/>
                <w:szCs w:val="22"/>
              </w:rPr>
              <w:t>ir</w:t>
            </w:r>
            <w:r w:rsidR="00F526CC">
              <w:rPr>
                <w:sz w:val="22"/>
                <w:szCs w:val="22"/>
              </w:rPr>
              <w:t xml:space="preserve"> </w:t>
            </w:r>
            <w:r>
              <w:rPr>
                <w:sz w:val="22"/>
                <w:szCs w:val="22"/>
              </w:rPr>
              <w:t xml:space="preserve">obligation to support the education of </w:t>
            </w:r>
            <w:r w:rsidR="00BE16D8">
              <w:rPr>
                <w:sz w:val="22"/>
                <w:szCs w:val="22"/>
              </w:rPr>
              <w:t>students</w:t>
            </w:r>
            <w:r>
              <w:rPr>
                <w:sz w:val="22"/>
                <w:szCs w:val="22"/>
              </w:rPr>
              <w:t xml:space="preserve"> in their communities of license</w:t>
            </w:r>
            <w:r w:rsidR="00D40D13">
              <w:rPr>
                <w:sz w:val="22"/>
                <w:szCs w:val="22"/>
              </w:rPr>
              <w:t xml:space="preserve">.  </w:t>
            </w:r>
            <w:r w:rsidR="009E49BC">
              <w:rPr>
                <w:sz w:val="22"/>
                <w:szCs w:val="22"/>
              </w:rPr>
              <w:t xml:space="preserve">The FCC’s Enforcement Bureau began an investigation into the apparent misuse of this spectrum following FCC Commissioner Brendan </w:t>
            </w:r>
            <w:r w:rsidR="009E49BC">
              <w:rPr>
                <w:sz w:val="22"/>
                <w:szCs w:val="22"/>
              </w:rPr>
              <w:t>Carr</w:t>
            </w:r>
            <w:r w:rsidR="00DE77D5">
              <w:rPr>
                <w:sz w:val="22"/>
                <w:szCs w:val="22"/>
              </w:rPr>
              <w:t>’s</w:t>
            </w:r>
            <w:r w:rsidR="00DE77D5">
              <w:rPr>
                <w:sz w:val="22"/>
                <w:szCs w:val="22"/>
              </w:rPr>
              <w:t xml:space="preserve"> inquiries</w:t>
            </w:r>
            <w:r w:rsidR="009E49BC">
              <w:rPr>
                <w:sz w:val="22"/>
                <w:szCs w:val="22"/>
              </w:rPr>
              <w:t xml:space="preserve"> to the entities about their activities.</w:t>
            </w:r>
          </w:p>
          <w:p w:rsidR="002E597C" w:rsidP="002E165B" w14:paraId="20AEA9A7" w14:textId="77777777">
            <w:pPr>
              <w:rPr>
                <w:sz w:val="22"/>
                <w:szCs w:val="22"/>
              </w:rPr>
            </w:pPr>
          </w:p>
          <w:p w:rsidR="00855EAA" w:rsidP="00855EAA" w14:paraId="721E1C97" w14:textId="7B3A1377">
            <w:pPr>
              <w:rPr>
                <w:sz w:val="22"/>
                <w:szCs w:val="22"/>
              </w:rPr>
            </w:pPr>
            <w:r>
              <w:rPr>
                <w:sz w:val="22"/>
                <w:szCs w:val="22"/>
              </w:rPr>
              <w:t>The FCC recently transformed the 2.5 GHz band in which EBS licensees operated</w:t>
            </w:r>
            <w:r w:rsidR="00BE16D8">
              <w:rPr>
                <w:sz w:val="22"/>
                <w:szCs w:val="22"/>
              </w:rPr>
              <w:t xml:space="preserve"> </w:t>
            </w:r>
            <w:r>
              <w:rPr>
                <w:sz w:val="22"/>
                <w:szCs w:val="22"/>
              </w:rPr>
              <w:t xml:space="preserve">to </w:t>
            </w:r>
            <w:r w:rsidRPr="00855EAA">
              <w:rPr>
                <w:sz w:val="22"/>
                <w:szCs w:val="22"/>
              </w:rPr>
              <w:t>make</w:t>
            </w:r>
            <w:r w:rsidR="00481893">
              <w:rPr>
                <w:sz w:val="22"/>
                <w:szCs w:val="22"/>
              </w:rPr>
              <w:t xml:space="preserve"> all of</w:t>
            </w:r>
            <w:r w:rsidRPr="00855EAA">
              <w:rPr>
                <w:sz w:val="22"/>
                <w:szCs w:val="22"/>
              </w:rPr>
              <w:t xml:space="preserve"> this vital</w:t>
            </w:r>
            <w:r>
              <w:rPr>
                <w:sz w:val="22"/>
                <w:szCs w:val="22"/>
              </w:rPr>
              <w:t xml:space="preserve"> </w:t>
            </w:r>
            <w:r w:rsidRPr="00855EAA">
              <w:rPr>
                <w:sz w:val="22"/>
                <w:szCs w:val="22"/>
              </w:rPr>
              <w:t>mid-band spectrum available for advanced wireless services, including 5G</w:t>
            </w:r>
            <w:r>
              <w:rPr>
                <w:sz w:val="22"/>
                <w:szCs w:val="22"/>
              </w:rPr>
              <w:t>.  For the 50 years prior to this change, the FCC consistently required EBS licensees to meet educational obligations.  The parties facing proposed fines today</w:t>
            </w:r>
            <w:r w:rsidR="003649E3">
              <w:rPr>
                <w:sz w:val="22"/>
                <w:szCs w:val="22"/>
              </w:rPr>
              <w:t xml:space="preserve">—all of whom </w:t>
            </w:r>
            <w:r w:rsidR="008C53DE">
              <w:rPr>
                <w:sz w:val="22"/>
                <w:szCs w:val="22"/>
              </w:rPr>
              <w:t>obtained their EBS</w:t>
            </w:r>
            <w:r w:rsidR="003649E3">
              <w:rPr>
                <w:sz w:val="22"/>
                <w:szCs w:val="22"/>
              </w:rPr>
              <w:t xml:space="preserve"> license</w:t>
            </w:r>
            <w:r w:rsidR="008C53DE">
              <w:rPr>
                <w:sz w:val="22"/>
                <w:szCs w:val="22"/>
              </w:rPr>
              <w:t>s before the recent rule change—</w:t>
            </w:r>
            <w:r>
              <w:rPr>
                <w:sz w:val="22"/>
                <w:szCs w:val="22"/>
              </w:rPr>
              <w:t>apparently failed to meet the</w:t>
            </w:r>
            <w:r w:rsidR="00321679">
              <w:rPr>
                <w:sz w:val="22"/>
                <w:szCs w:val="22"/>
              </w:rPr>
              <w:t xml:space="preserve"> </w:t>
            </w:r>
            <w:r>
              <w:rPr>
                <w:sz w:val="22"/>
                <w:szCs w:val="22"/>
              </w:rPr>
              <w:t>obligations</w:t>
            </w:r>
            <w:r w:rsidR="00321679">
              <w:rPr>
                <w:sz w:val="22"/>
                <w:szCs w:val="22"/>
              </w:rPr>
              <w:t xml:space="preserve"> while they still were in effect</w:t>
            </w:r>
            <w:r>
              <w:rPr>
                <w:sz w:val="22"/>
                <w:szCs w:val="22"/>
              </w:rPr>
              <w:t>.</w:t>
            </w:r>
            <w:r w:rsidR="00A14EB2">
              <w:rPr>
                <w:sz w:val="22"/>
                <w:szCs w:val="22"/>
              </w:rPr>
              <w:t xml:space="preserve">  Enforcement of FCC rules </w:t>
            </w:r>
            <w:r w:rsidR="00697730">
              <w:rPr>
                <w:sz w:val="22"/>
                <w:szCs w:val="22"/>
              </w:rPr>
              <w:t>in such circumstances</w:t>
            </w:r>
            <w:r w:rsidR="00A14EB2">
              <w:rPr>
                <w:sz w:val="22"/>
                <w:szCs w:val="22"/>
              </w:rPr>
              <w:t xml:space="preserve"> is </w:t>
            </w:r>
            <w:r w:rsidR="00013886">
              <w:rPr>
                <w:sz w:val="22"/>
                <w:szCs w:val="22"/>
              </w:rPr>
              <w:t xml:space="preserve">important </w:t>
            </w:r>
            <w:r w:rsidR="006B4982">
              <w:rPr>
                <w:sz w:val="22"/>
                <w:szCs w:val="22"/>
              </w:rPr>
              <w:t xml:space="preserve">nonetheless </w:t>
            </w:r>
            <w:r w:rsidR="00013886">
              <w:rPr>
                <w:sz w:val="22"/>
                <w:szCs w:val="22"/>
              </w:rPr>
              <w:t xml:space="preserve">to ensure that licensees take their responsibilities </w:t>
            </w:r>
            <w:r w:rsidR="00F526CC">
              <w:rPr>
                <w:sz w:val="22"/>
                <w:szCs w:val="22"/>
              </w:rPr>
              <w:t>seriously</w:t>
            </w:r>
            <w:r w:rsidR="00A14EB2">
              <w:rPr>
                <w:sz w:val="22"/>
                <w:szCs w:val="22"/>
              </w:rPr>
              <w:t xml:space="preserve">. </w:t>
            </w:r>
          </w:p>
          <w:p w:rsidR="00855EAA" w:rsidP="002E165B" w14:paraId="77F498AD" w14:textId="2872D3EA">
            <w:pPr>
              <w:rPr>
                <w:sz w:val="22"/>
                <w:szCs w:val="22"/>
              </w:rPr>
            </w:pPr>
          </w:p>
          <w:p w:rsidR="00A0203F" w:rsidP="002E165B" w14:paraId="583870E1" w14:textId="7E09A401">
            <w:pPr>
              <w:rPr>
                <w:sz w:val="22"/>
                <w:szCs w:val="22"/>
              </w:rPr>
            </w:pPr>
            <w:r>
              <w:rPr>
                <w:sz w:val="22"/>
                <w:szCs w:val="22"/>
              </w:rPr>
              <w:t xml:space="preserve">The proposed fines issued today by a vote of the Commission are listed below with links to the respective documents.  The proposed forfeiture amounts were based on the number of apparent violations and the number of days those apparent violations took place </w:t>
            </w:r>
            <w:r w:rsidR="00F526CC">
              <w:rPr>
                <w:sz w:val="22"/>
                <w:szCs w:val="22"/>
              </w:rPr>
              <w:t xml:space="preserve">for </w:t>
            </w:r>
            <w:r w:rsidRPr="001D6532">
              <w:rPr>
                <w:sz w:val="22"/>
                <w:szCs w:val="22"/>
              </w:rPr>
              <w:t>each</w:t>
            </w:r>
            <w:r>
              <w:rPr>
                <w:sz w:val="22"/>
                <w:szCs w:val="22"/>
              </w:rPr>
              <w:t xml:space="preserve"> license held by a licensee.</w:t>
            </w:r>
          </w:p>
          <w:p w:rsidR="00481893" w:rsidP="002E165B" w14:paraId="52E5AA3B" w14:textId="77777777">
            <w:pPr>
              <w:rPr>
                <w:sz w:val="22"/>
                <w:szCs w:val="22"/>
              </w:rPr>
            </w:pPr>
          </w:p>
          <w:p w:rsidR="00C85731" w:rsidRPr="007F46F8" w:rsidP="00C85731" w14:paraId="49FF5ACB" w14:textId="27AB5798">
            <w:pPr>
              <w:pStyle w:val="ListParagraph"/>
              <w:numPr>
                <w:ilvl w:val="0"/>
                <w:numId w:val="2"/>
              </w:numPr>
              <w:rPr>
                <w:sz w:val="22"/>
                <w:szCs w:val="22"/>
              </w:rPr>
            </w:pPr>
            <w:r w:rsidRPr="007F46F8">
              <w:rPr>
                <w:sz w:val="22"/>
                <w:szCs w:val="22"/>
              </w:rPr>
              <w:t>Clarendon Foundation, Inc. – $</w:t>
            </w:r>
            <w:r w:rsidRPr="007F46F8" w:rsidR="00B31228">
              <w:rPr>
                <w:sz w:val="22"/>
                <w:szCs w:val="22"/>
              </w:rPr>
              <w:t>3,346,000</w:t>
            </w:r>
            <w:r w:rsidRPr="007F46F8" w:rsidR="007F46F8">
              <w:rPr>
                <w:sz w:val="22"/>
                <w:szCs w:val="22"/>
              </w:rPr>
              <w:t xml:space="preserve"> (</w:t>
            </w:r>
            <w:hyperlink r:id="rId5" w:history="1">
              <w:r w:rsidRPr="00A8786C" w:rsidR="007F46F8">
                <w:rPr>
                  <w:rStyle w:val="Hyperlink"/>
                  <w:sz w:val="22"/>
                  <w:szCs w:val="22"/>
                </w:rPr>
                <w:t>NAL</w:t>
              </w:r>
            </w:hyperlink>
            <w:r w:rsidRPr="007F46F8" w:rsidR="007F46F8">
              <w:rPr>
                <w:sz w:val="22"/>
                <w:szCs w:val="22"/>
              </w:rPr>
              <w:t>)</w:t>
            </w:r>
          </w:p>
          <w:p w:rsidR="00C85731" w:rsidRPr="007F46F8" w:rsidP="00C85731" w14:paraId="644AE839" w14:textId="5BE47683">
            <w:pPr>
              <w:pStyle w:val="ListParagraph"/>
              <w:numPr>
                <w:ilvl w:val="0"/>
                <w:numId w:val="2"/>
              </w:numPr>
              <w:rPr>
                <w:sz w:val="22"/>
                <w:szCs w:val="22"/>
              </w:rPr>
            </w:pPr>
            <w:r w:rsidRPr="007F46F8">
              <w:rPr>
                <w:sz w:val="22"/>
                <w:szCs w:val="22"/>
              </w:rPr>
              <w:t>Hispanic Information and Telecommunications Network – $</w:t>
            </w:r>
            <w:r w:rsidRPr="007F46F8" w:rsidR="00B31228">
              <w:rPr>
                <w:sz w:val="22"/>
                <w:szCs w:val="22"/>
              </w:rPr>
              <w:t>14,013,000</w:t>
            </w:r>
            <w:r w:rsidRPr="007F46F8" w:rsidR="007F46F8">
              <w:rPr>
                <w:sz w:val="22"/>
                <w:szCs w:val="22"/>
              </w:rPr>
              <w:t xml:space="preserve"> (</w:t>
            </w:r>
            <w:hyperlink r:id="rId6" w:history="1">
              <w:r w:rsidRPr="00197545" w:rsidR="007F46F8">
                <w:rPr>
                  <w:rStyle w:val="Hyperlink"/>
                  <w:sz w:val="22"/>
                  <w:szCs w:val="22"/>
                </w:rPr>
                <w:t>NAL</w:t>
              </w:r>
            </w:hyperlink>
            <w:r w:rsidRPr="007F46F8" w:rsidR="007F46F8">
              <w:rPr>
                <w:sz w:val="22"/>
                <w:szCs w:val="22"/>
              </w:rPr>
              <w:t>)</w:t>
            </w:r>
          </w:p>
          <w:p w:rsidR="00C85731" w:rsidRPr="007F46F8" w:rsidP="00C85731" w14:paraId="28BBC1AD" w14:textId="7E694151">
            <w:pPr>
              <w:pStyle w:val="ListParagraph"/>
              <w:numPr>
                <w:ilvl w:val="0"/>
                <w:numId w:val="2"/>
              </w:numPr>
              <w:rPr>
                <w:sz w:val="22"/>
                <w:szCs w:val="22"/>
              </w:rPr>
            </w:pPr>
            <w:r w:rsidRPr="007F46F8">
              <w:rPr>
                <w:sz w:val="22"/>
                <w:szCs w:val="22"/>
              </w:rPr>
              <w:t>National Conference on Citizenship – $</w:t>
            </w:r>
            <w:r w:rsidRPr="007F46F8" w:rsidR="00FD369E">
              <w:rPr>
                <w:sz w:val="22"/>
                <w:szCs w:val="22"/>
              </w:rPr>
              <w:t>1,590,000</w:t>
            </w:r>
            <w:r w:rsidRPr="007F46F8" w:rsidR="007F46F8">
              <w:rPr>
                <w:sz w:val="22"/>
                <w:szCs w:val="22"/>
              </w:rPr>
              <w:t xml:space="preserve"> (</w:t>
            </w:r>
            <w:hyperlink r:id="rId7" w:history="1">
              <w:r w:rsidRPr="0025586F" w:rsidR="007F46F8">
                <w:rPr>
                  <w:rStyle w:val="Hyperlink"/>
                  <w:sz w:val="22"/>
                  <w:szCs w:val="22"/>
                </w:rPr>
                <w:t>NAL</w:t>
              </w:r>
            </w:hyperlink>
            <w:r w:rsidRPr="007F46F8" w:rsidR="007F46F8">
              <w:rPr>
                <w:sz w:val="22"/>
                <w:szCs w:val="22"/>
              </w:rPr>
              <w:t>)</w:t>
            </w:r>
          </w:p>
          <w:p w:rsidR="00C85731" w:rsidRPr="007F46F8" w:rsidP="00C85731" w14:paraId="4601E410" w14:textId="55E1644E">
            <w:pPr>
              <w:pStyle w:val="ListParagraph"/>
              <w:numPr>
                <w:ilvl w:val="0"/>
                <w:numId w:val="2"/>
              </w:numPr>
              <w:rPr>
                <w:sz w:val="22"/>
                <w:szCs w:val="22"/>
              </w:rPr>
            </w:pPr>
            <w:r w:rsidRPr="007F46F8">
              <w:rPr>
                <w:sz w:val="22"/>
                <w:szCs w:val="22"/>
              </w:rPr>
              <w:t>North American Catholic Educational Programming Foundation – $</w:t>
            </w:r>
            <w:r w:rsidRPr="007F46F8" w:rsidR="00FD369E">
              <w:rPr>
                <w:sz w:val="22"/>
                <w:szCs w:val="22"/>
              </w:rPr>
              <w:t>8,268,000</w:t>
            </w:r>
            <w:r w:rsidRPr="007F46F8" w:rsidR="007F46F8">
              <w:rPr>
                <w:sz w:val="22"/>
                <w:szCs w:val="22"/>
              </w:rPr>
              <w:t xml:space="preserve"> (</w:t>
            </w:r>
            <w:hyperlink r:id="rId8" w:history="1">
              <w:r w:rsidRPr="00407CFA" w:rsidR="007F46F8">
                <w:rPr>
                  <w:rStyle w:val="Hyperlink"/>
                  <w:sz w:val="22"/>
                  <w:szCs w:val="22"/>
                </w:rPr>
                <w:t>NAL</w:t>
              </w:r>
            </w:hyperlink>
            <w:r w:rsidRPr="007F46F8" w:rsidR="007F46F8">
              <w:rPr>
                <w:sz w:val="22"/>
                <w:szCs w:val="22"/>
              </w:rPr>
              <w:t>)</w:t>
            </w:r>
          </w:p>
          <w:p w:rsidR="00C85731" w:rsidRPr="007F46F8" w:rsidP="00C85731" w14:paraId="519707F6" w14:textId="29E9C5C5">
            <w:pPr>
              <w:pStyle w:val="ListParagraph"/>
              <w:numPr>
                <w:ilvl w:val="0"/>
                <w:numId w:val="2"/>
              </w:numPr>
              <w:rPr>
                <w:sz w:val="22"/>
                <w:szCs w:val="22"/>
              </w:rPr>
            </w:pPr>
            <w:r w:rsidRPr="007F46F8">
              <w:rPr>
                <w:sz w:val="22"/>
                <w:szCs w:val="22"/>
              </w:rPr>
              <w:t>Northern Arizona University Foundation – $</w:t>
            </w:r>
            <w:r w:rsidRPr="007F46F8" w:rsidR="00FD369E">
              <w:rPr>
                <w:sz w:val="22"/>
                <w:szCs w:val="22"/>
              </w:rPr>
              <w:t>5,485,000</w:t>
            </w:r>
            <w:r w:rsidRPr="007F46F8" w:rsidR="007F46F8">
              <w:rPr>
                <w:sz w:val="22"/>
                <w:szCs w:val="22"/>
              </w:rPr>
              <w:t xml:space="preserve"> (</w:t>
            </w:r>
            <w:hyperlink r:id="rId9" w:history="1">
              <w:r w:rsidRPr="00350DA5" w:rsidR="007F46F8">
                <w:rPr>
                  <w:rStyle w:val="Hyperlink"/>
                  <w:sz w:val="22"/>
                  <w:szCs w:val="22"/>
                </w:rPr>
                <w:t>NAL</w:t>
              </w:r>
            </w:hyperlink>
            <w:r w:rsidRPr="007F46F8" w:rsidR="007F46F8">
              <w:rPr>
                <w:sz w:val="22"/>
                <w:szCs w:val="22"/>
              </w:rPr>
              <w:t>)</w:t>
            </w:r>
          </w:p>
          <w:p w:rsidR="00C85731" w:rsidRPr="007F46F8" w:rsidP="00C85731" w14:paraId="2A195384" w14:textId="5C6DADCC">
            <w:pPr>
              <w:pStyle w:val="ListParagraph"/>
              <w:numPr>
                <w:ilvl w:val="0"/>
                <w:numId w:val="2"/>
              </w:numPr>
              <w:rPr>
                <w:sz w:val="22"/>
                <w:szCs w:val="22"/>
              </w:rPr>
            </w:pPr>
            <w:r w:rsidRPr="007F46F8">
              <w:rPr>
                <w:sz w:val="22"/>
                <w:szCs w:val="22"/>
              </w:rPr>
              <w:t>Rockne Educational Television, Inc. and The Learning Paradigm, Inc.</w:t>
            </w:r>
            <w:r w:rsidRPr="007F46F8" w:rsidR="007F46F8">
              <w:rPr>
                <w:sz w:val="22"/>
                <w:szCs w:val="22"/>
              </w:rPr>
              <w:t xml:space="preserve"> </w:t>
            </w:r>
            <w:r w:rsidRPr="007F46F8">
              <w:rPr>
                <w:sz w:val="22"/>
                <w:szCs w:val="22"/>
              </w:rPr>
              <w:t>– $</w:t>
            </w:r>
            <w:r w:rsidRPr="007F46F8" w:rsidR="00691D89">
              <w:rPr>
                <w:sz w:val="22"/>
                <w:szCs w:val="22"/>
              </w:rPr>
              <w:t>3,975,000</w:t>
            </w:r>
            <w:r w:rsidRPr="007F46F8" w:rsidR="007F46F8">
              <w:rPr>
                <w:sz w:val="22"/>
                <w:szCs w:val="22"/>
              </w:rPr>
              <w:t xml:space="preserve"> (</w:t>
            </w:r>
            <w:hyperlink r:id="rId10" w:history="1">
              <w:r w:rsidRPr="00D83556" w:rsidR="007F46F8">
                <w:rPr>
                  <w:rStyle w:val="Hyperlink"/>
                  <w:sz w:val="22"/>
                  <w:szCs w:val="22"/>
                </w:rPr>
                <w:t>NAL</w:t>
              </w:r>
            </w:hyperlink>
            <w:r w:rsidRPr="007F46F8" w:rsidR="007F46F8">
              <w:rPr>
                <w:sz w:val="22"/>
                <w:szCs w:val="22"/>
              </w:rPr>
              <w:t>)</w:t>
            </w:r>
          </w:p>
          <w:p w:rsidR="00C85731" w:rsidRPr="007F46F8" w:rsidP="00C85731" w14:paraId="28A5BF0E" w14:textId="749999D4">
            <w:pPr>
              <w:pStyle w:val="ListParagraph"/>
              <w:numPr>
                <w:ilvl w:val="0"/>
                <w:numId w:val="2"/>
              </w:numPr>
              <w:rPr>
                <w:sz w:val="22"/>
                <w:szCs w:val="22"/>
              </w:rPr>
            </w:pPr>
            <w:r w:rsidRPr="007F46F8">
              <w:rPr>
                <w:sz w:val="22"/>
                <w:szCs w:val="22"/>
              </w:rPr>
              <w:t>Shekinah Network – $</w:t>
            </w:r>
            <w:r w:rsidRPr="007F46F8" w:rsidR="00691D89">
              <w:rPr>
                <w:sz w:val="22"/>
                <w:szCs w:val="22"/>
              </w:rPr>
              <w:t>6,377,500</w:t>
            </w:r>
            <w:r w:rsidRPr="007F46F8" w:rsidR="007F46F8">
              <w:rPr>
                <w:sz w:val="22"/>
                <w:szCs w:val="22"/>
              </w:rPr>
              <w:t xml:space="preserve"> (</w:t>
            </w:r>
            <w:hyperlink r:id="rId11" w:history="1">
              <w:r w:rsidRPr="00350DA5" w:rsidR="007F46F8">
                <w:rPr>
                  <w:rStyle w:val="Hyperlink"/>
                  <w:sz w:val="22"/>
                  <w:szCs w:val="22"/>
                </w:rPr>
                <w:t>NAL</w:t>
              </w:r>
            </w:hyperlink>
            <w:r w:rsidRPr="007F46F8" w:rsidR="007F46F8">
              <w:rPr>
                <w:sz w:val="22"/>
                <w:szCs w:val="22"/>
              </w:rPr>
              <w:t>)</w:t>
            </w:r>
          </w:p>
          <w:p w:rsidR="00C85731" w:rsidRPr="007F46F8" w:rsidP="00C85731" w14:paraId="799F363A" w14:textId="219EFDEE">
            <w:pPr>
              <w:pStyle w:val="ListParagraph"/>
              <w:numPr>
                <w:ilvl w:val="0"/>
                <w:numId w:val="2"/>
              </w:numPr>
              <w:rPr>
                <w:sz w:val="22"/>
                <w:szCs w:val="22"/>
              </w:rPr>
            </w:pPr>
            <w:r w:rsidRPr="007F46F8">
              <w:rPr>
                <w:sz w:val="22"/>
                <w:szCs w:val="22"/>
              </w:rPr>
              <w:t>Views on Learning, Inc. – $</w:t>
            </w:r>
            <w:r w:rsidRPr="007F46F8" w:rsidR="00730C1B">
              <w:rPr>
                <w:sz w:val="22"/>
                <w:szCs w:val="22"/>
              </w:rPr>
              <w:t>2,745,000</w:t>
            </w:r>
            <w:r w:rsidRPr="007F46F8" w:rsidR="007F46F8">
              <w:rPr>
                <w:sz w:val="22"/>
                <w:szCs w:val="22"/>
              </w:rPr>
              <w:t xml:space="preserve"> (</w:t>
            </w:r>
            <w:hyperlink r:id="rId12" w:history="1">
              <w:r w:rsidRPr="00350DA5" w:rsidR="007F46F8">
                <w:rPr>
                  <w:rStyle w:val="Hyperlink"/>
                  <w:sz w:val="22"/>
                  <w:szCs w:val="22"/>
                </w:rPr>
                <w:t>NAL</w:t>
              </w:r>
            </w:hyperlink>
            <w:r w:rsidRPr="007F46F8" w:rsidR="007F46F8">
              <w:rPr>
                <w:sz w:val="22"/>
                <w:szCs w:val="22"/>
              </w:rPr>
              <w:t>)</w:t>
            </w:r>
          </w:p>
          <w:p w:rsidR="00A0203F" w:rsidRPr="007F46F8" w:rsidP="002E165B" w14:paraId="045F8581" w14:textId="40B8706A">
            <w:pPr>
              <w:pStyle w:val="ListParagraph"/>
              <w:numPr>
                <w:ilvl w:val="0"/>
                <w:numId w:val="2"/>
              </w:numPr>
              <w:rPr>
                <w:sz w:val="22"/>
                <w:szCs w:val="22"/>
              </w:rPr>
            </w:pPr>
            <w:r w:rsidRPr="007F46F8">
              <w:rPr>
                <w:sz w:val="22"/>
                <w:szCs w:val="22"/>
              </w:rPr>
              <w:t>Voqal</w:t>
            </w:r>
            <w:r w:rsidRPr="007F46F8">
              <w:rPr>
                <w:sz w:val="22"/>
                <w:szCs w:val="22"/>
              </w:rPr>
              <w:t xml:space="preserve"> USA – $</w:t>
            </w:r>
            <w:r w:rsidRPr="007F46F8" w:rsidR="00FD369E">
              <w:rPr>
                <w:sz w:val="22"/>
                <w:szCs w:val="22"/>
              </w:rPr>
              <w:t>1,749,000</w:t>
            </w:r>
            <w:r w:rsidRPr="007F46F8" w:rsidR="007F46F8">
              <w:rPr>
                <w:sz w:val="22"/>
                <w:szCs w:val="22"/>
              </w:rPr>
              <w:t xml:space="preserve"> (</w:t>
            </w:r>
            <w:hyperlink r:id="rId13" w:history="1">
              <w:r w:rsidRPr="00344D23" w:rsidR="007F46F8">
                <w:rPr>
                  <w:rStyle w:val="Hyperlink"/>
                  <w:sz w:val="22"/>
                  <w:szCs w:val="22"/>
                </w:rPr>
                <w:t>NAL</w:t>
              </w:r>
            </w:hyperlink>
            <w:r w:rsidRPr="007F46F8" w:rsidR="007F46F8">
              <w:rPr>
                <w:sz w:val="22"/>
                <w:szCs w:val="22"/>
              </w:rPr>
              <w:t>)</w:t>
            </w:r>
          </w:p>
          <w:p w:rsidR="00A0203F" w:rsidRPr="002E165B" w:rsidP="002E165B" w14:paraId="62CD455C" w14:textId="77777777">
            <w:pPr>
              <w:rPr>
                <w:sz w:val="22"/>
                <w:szCs w:val="22"/>
              </w:rPr>
            </w:pPr>
          </w:p>
          <w:p w:rsidR="00040127" w:rsidRPr="002E165B" w:rsidP="002E165B" w14:paraId="7DAA2E9B" w14:textId="5DC423CD">
            <w:pPr>
              <w:rPr>
                <w:sz w:val="22"/>
                <w:szCs w:val="22"/>
              </w:rPr>
            </w:pPr>
            <w:r w:rsidRPr="00B6779D">
              <w:rPr>
                <w:sz w:val="22"/>
                <w:szCs w:val="22"/>
              </w:rPr>
              <w:t>The proposed action</w:t>
            </w:r>
            <w:r w:rsidR="00855EAA">
              <w:rPr>
                <w:sz w:val="22"/>
                <w:szCs w:val="22"/>
              </w:rPr>
              <w:t>s</w:t>
            </w:r>
            <w:r w:rsidRPr="00B6779D">
              <w:rPr>
                <w:sz w:val="22"/>
                <w:szCs w:val="22"/>
              </w:rPr>
              <w:t>, formally called Notice</w:t>
            </w:r>
            <w:r w:rsidR="00855EAA">
              <w:rPr>
                <w:sz w:val="22"/>
                <w:szCs w:val="22"/>
              </w:rPr>
              <w:t>s</w:t>
            </w:r>
            <w:r w:rsidRPr="00B6779D">
              <w:rPr>
                <w:sz w:val="22"/>
                <w:szCs w:val="22"/>
              </w:rPr>
              <w:t xml:space="preserve"> of Apparent Liability for Forfeiture, or NAL, contain only allegations that advise part</w:t>
            </w:r>
            <w:r w:rsidR="00855EAA">
              <w:rPr>
                <w:sz w:val="22"/>
                <w:szCs w:val="22"/>
              </w:rPr>
              <w:t>ies</w:t>
            </w:r>
            <w:r w:rsidRPr="00B6779D">
              <w:rPr>
                <w:sz w:val="22"/>
                <w:szCs w:val="22"/>
              </w:rPr>
              <w:t xml:space="preserve"> on how </w:t>
            </w:r>
            <w:r w:rsidR="00855EAA">
              <w:rPr>
                <w:sz w:val="22"/>
                <w:szCs w:val="22"/>
              </w:rPr>
              <w:t>they have</w:t>
            </w:r>
            <w:r w:rsidRPr="00B6779D">
              <w:rPr>
                <w:sz w:val="22"/>
                <w:szCs w:val="22"/>
              </w:rPr>
              <w:t xml:space="preserve"> apparently violated the law and may set forth a proposed monetary penalty.  The Commission may not impose a greater monetary penalty in </w:t>
            </w:r>
            <w:r w:rsidR="00855EAA">
              <w:rPr>
                <w:sz w:val="22"/>
                <w:szCs w:val="22"/>
              </w:rPr>
              <w:t>these</w:t>
            </w:r>
            <w:r w:rsidRPr="00B6779D">
              <w:rPr>
                <w:sz w:val="22"/>
                <w:szCs w:val="22"/>
              </w:rPr>
              <w:t xml:space="preserve"> case</w:t>
            </w:r>
            <w:r w:rsidR="00855EAA">
              <w:rPr>
                <w:sz w:val="22"/>
                <w:szCs w:val="22"/>
              </w:rPr>
              <w:t>s</w:t>
            </w:r>
            <w:r w:rsidRPr="00B6779D">
              <w:rPr>
                <w:sz w:val="22"/>
                <w:szCs w:val="22"/>
              </w:rPr>
              <w:t xml:space="preserve"> than the amount proposed in the NAL</w:t>
            </w:r>
            <w:r w:rsidR="00855EAA">
              <w:rPr>
                <w:sz w:val="22"/>
                <w:szCs w:val="22"/>
              </w:rPr>
              <w:t>s</w:t>
            </w:r>
            <w:r w:rsidRPr="00B6779D">
              <w:rPr>
                <w:sz w:val="22"/>
                <w:szCs w:val="22"/>
              </w:rPr>
              <w:t>.  Neither the allegations nor the proposed sanctions</w:t>
            </w:r>
            <w:r w:rsidR="00F526CC">
              <w:rPr>
                <w:sz w:val="22"/>
                <w:szCs w:val="22"/>
              </w:rPr>
              <w:t xml:space="preserve"> contained</w:t>
            </w:r>
            <w:r w:rsidRPr="00B6779D">
              <w:rPr>
                <w:sz w:val="22"/>
                <w:szCs w:val="22"/>
              </w:rPr>
              <w:t xml:space="preserve"> in the NAL</w:t>
            </w:r>
            <w:r w:rsidR="00855EAA">
              <w:rPr>
                <w:sz w:val="22"/>
                <w:szCs w:val="22"/>
              </w:rPr>
              <w:t>s</w:t>
            </w:r>
            <w:r w:rsidRPr="00B6779D">
              <w:rPr>
                <w:sz w:val="22"/>
                <w:szCs w:val="22"/>
              </w:rPr>
              <w:t xml:space="preserve"> are final Commission actions.  The part</w:t>
            </w:r>
            <w:r w:rsidR="00855EAA">
              <w:rPr>
                <w:sz w:val="22"/>
                <w:szCs w:val="22"/>
              </w:rPr>
              <w:t>ies</w:t>
            </w:r>
            <w:r w:rsidRPr="00B6779D">
              <w:rPr>
                <w:sz w:val="22"/>
                <w:szCs w:val="22"/>
              </w:rPr>
              <w:t xml:space="preserve"> will be given an opportunity to respond and the Commission will consider the part</w:t>
            </w:r>
            <w:r w:rsidR="00855EAA">
              <w:rPr>
                <w:sz w:val="22"/>
                <w:szCs w:val="22"/>
              </w:rPr>
              <w:t>ies</w:t>
            </w:r>
            <w:r w:rsidRPr="00B6779D">
              <w:rPr>
                <w:sz w:val="22"/>
                <w:szCs w:val="22"/>
              </w:rPr>
              <w:t>’ submission</w:t>
            </w:r>
            <w:r w:rsidR="00855EAA">
              <w:rPr>
                <w:sz w:val="22"/>
                <w:szCs w:val="22"/>
              </w:rPr>
              <w:t>s</w:t>
            </w:r>
            <w:r w:rsidRPr="00B6779D">
              <w:rPr>
                <w:sz w:val="22"/>
                <w:szCs w:val="22"/>
              </w:rPr>
              <w:t xml:space="preserve"> of evidence and legal arguments before acting further to resolve the matter.</w:t>
            </w:r>
          </w:p>
          <w:p w:rsidR="00BD19E8" w:rsidRPr="002E165B" w:rsidP="002E165B" w14:paraId="04CADDC8" w14:textId="77777777">
            <w:pPr>
              <w:rPr>
                <w:sz w:val="22"/>
                <w:szCs w:val="22"/>
              </w:rPr>
            </w:pPr>
          </w:p>
          <w:p w:rsidR="004F0F1F" w:rsidRPr="007475A1" w:rsidP="00850E26" w14:paraId="75AB03AA" w14:textId="77777777">
            <w:pPr>
              <w:ind w:right="72"/>
              <w:jc w:val="center"/>
              <w:rPr>
                <w:sz w:val="22"/>
                <w:szCs w:val="22"/>
              </w:rPr>
            </w:pPr>
            <w:r w:rsidRPr="007475A1">
              <w:rPr>
                <w:sz w:val="22"/>
                <w:szCs w:val="22"/>
              </w:rPr>
              <w:t>###</w:t>
            </w:r>
          </w:p>
          <w:p w:rsidR="00CC5E08" w:rsidRPr="0080486B" w:rsidP="00850E26" w14:paraId="3CB891EF" w14:textId="68AB50D3">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FC35D5C" w14:textId="77777777">
            <w:pPr>
              <w:ind w:right="72"/>
              <w:jc w:val="center"/>
              <w:rPr>
                <w:b/>
                <w:bCs/>
                <w:sz w:val="18"/>
                <w:szCs w:val="18"/>
              </w:rPr>
            </w:pPr>
          </w:p>
          <w:p w:rsidR="00EE0E90" w:rsidRPr="00EF729B" w:rsidP="00850E26" w14:paraId="54E15C9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5409154" w14:textId="77777777">
      <w:pPr>
        <w:rPr>
          <w:b/>
          <w:bCs/>
          <w:sz w:val="2"/>
          <w:szCs w:val="2"/>
        </w:rPr>
      </w:pPr>
    </w:p>
    <w:sectPr w:rsidSect="004A729A">
      <w:headerReference w:type="default" r:id="rId14"/>
      <w:footerReference w:type="default" r:id="rId15"/>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629" w14:paraId="0C1A462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629" w14:paraId="635E88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CA71E3"/>
    <w:multiLevelType w:val="hybridMultilevel"/>
    <w:tmpl w:val="E68872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D"/>
    <w:rsid w:val="00013886"/>
    <w:rsid w:val="0002500C"/>
    <w:rsid w:val="000311FC"/>
    <w:rsid w:val="00040127"/>
    <w:rsid w:val="00065E2D"/>
    <w:rsid w:val="00075F36"/>
    <w:rsid w:val="00081232"/>
    <w:rsid w:val="00086AC9"/>
    <w:rsid w:val="00091E65"/>
    <w:rsid w:val="00096D4A"/>
    <w:rsid w:val="000A38EA"/>
    <w:rsid w:val="000B5E21"/>
    <w:rsid w:val="000C1E47"/>
    <w:rsid w:val="000C26F3"/>
    <w:rsid w:val="000E049E"/>
    <w:rsid w:val="0010799B"/>
    <w:rsid w:val="00117DB2"/>
    <w:rsid w:val="00123ED2"/>
    <w:rsid w:val="00125BE0"/>
    <w:rsid w:val="00142C13"/>
    <w:rsid w:val="00152776"/>
    <w:rsid w:val="00153222"/>
    <w:rsid w:val="001577D3"/>
    <w:rsid w:val="001733A6"/>
    <w:rsid w:val="0018249D"/>
    <w:rsid w:val="00185E81"/>
    <w:rsid w:val="001865A9"/>
    <w:rsid w:val="00187DB2"/>
    <w:rsid w:val="00197545"/>
    <w:rsid w:val="001B20BB"/>
    <w:rsid w:val="001C4370"/>
    <w:rsid w:val="001D3779"/>
    <w:rsid w:val="001D6532"/>
    <w:rsid w:val="001E5C57"/>
    <w:rsid w:val="001F0469"/>
    <w:rsid w:val="001F631E"/>
    <w:rsid w:val="00203A98"/>
    <w:rsid w:val="00206EDD"/>
    <w:rsid w:val="0021247E"/>
    <w:rsid w:val="002146F6"/>
    <w:rsid w:val="00231C32"/>
    <w:rsid w:val="002363D9"/>
    <w:rsid w:val="00240345"/>
    <w:rsid w:val="002421F0"/>
    <w:rsid w:val="00247274"/>
    <w:rsid w:val="0025528C"/>
    <w:rsid w:val="0025586F"/>
    <w:rsid w:val="00266966"/>
    <w:rsid w:val="00275428"/>
    <w:rsid w:val="00285C36"/>
    <w:rsid w:val="00294C0C"/>
    <w:rsid w:val="00296C33"/>
    <w:rsid w:val="002A0934"/>
    <w:rsid w:val="002B1013"/>
    <w:rsid w:val="002D03E5"/>
    <w:rsid w:val="002D71F8"/>
    <w:rsid w:val="002E165B"/>
    <w:rsid w:val="002E3F1D"/>
    <w:rsid w:val="002E597C"/>
    <w:rsid w:val="002F2251"/>
    <w:rsid w:val="002F31D0"/>
    <w:rsid w:val="00300359"/>
    <w:rsid w:val="00307413"/>
    <w:rsid w:val="0031773E"/>
    <w:rsid w:val="00321679"/>
    <w:rsid w:val="00333871"/>
    <w:rsid w:val="00344D23"/>
    <w:rsid w:val="00347716"/>
    <w:rsid w:val="003506E1"/>
    <w:rsid w:val="00350DA5"/>
    <w:rsid w:val="003649E3"/>
    <w:rsid w:val="003727E3"/>
    <w:rsid w:val="003760E8"/>
    <w:rsid w:val="0038396D"/>
    <w:rsid w:val="00385A93"/>
    <w:rsid w:val="003910F1"/>
    <w:rsid w:val="003B3ED0"/>
    <w:rsid w:val="003C2A34"/>
    <w:rsid w:val="003E42FC"/>
    <w:rsid w:val="003E5991"/>
    <w:rsid w:val="003F344A"/>
    <w:rsid w:val="00403005"/>
    <w:rsid w:val="00403FF0"/>
    <w:rsid w:val="00407CFA"/>
    <w:rsid w:val="0042046D"/>
    <w:rsid w:val="0042116E"/>
    <w:rsid w:val="00425357"/>
    <w:rsid w:val="00425AEF"/>
    <w:rsid w:val="00426518"/>
    <w:rsid w:val="00427B06"/>
    <w:rsid w:val="00434084"/>
    <w:rsid w:val="00441F59"/>
    <w:rsid w:val="00444E07"/>
    <w:rsid w:val="00444FA9"/>
    <w:rsid w:val="00450A01"/>
    <w:rsid w:val="00457C64"/>
    <w:rsid w:val="00473E9C"/>
    <w:rsid w:val="00480099"/>
    <w:rsid w:val="00481893"/>
    <w:rsid w:val="004941A2"/>
    <w:rsid w:val="00497858"/>
    <w:rsid w:val="004A729A"/>
    <w:rsid w:val="004B4FEA"/>
    <w:rsid w:val="004C0ADA"/>
    <w:rsid w:val="004C433E"/>
    <w:rsid w:val="004C4512"/>
    <w:rsid w:val="004C4F36"/>
    <w:rsid w:val="004D1AF4"/>
    <w:rsid w:val="004D3D85"/>
    <w:rsid w:val="004E219A"/>
    <w:rsid w:val="004E2BD8"/>
    <w:rsid w:val="004F0F1F"/>
    <w:rsid w:val="005022AA"/>
    <w:rsid w:val="00504845"/>
    <w:rsid w:val="0050757F"/>
    <w:rsid w:val="00510B98"/>
    <w:rsid w:val="00516AD2"/>
    <w:rsid w:val="00522FEB"/>
    <w:rsid w:val="005259F6"/>
    <w:rsid w:val="00545DAE"/>
    <w:rsid w:val="00571B83"/>
    <w:rsid w:val="00575A00"/>
    <w:rsid w:val="00586417"/>
    <w:rsid w:val="0058673C"/>
    <w:rsid w:val="005A57FD"/>
    <w:rsid w:val="005A7972"/>
    <w:rsid w:val="005B17E7"/>
    <w:rsid w:val="005B2643"/>
    <w:rsid w:val="005C1078"/>
    <w:rsid w:val="005D17FD"/>
    <w:rsid w:val="005F0D55"/>
    <w:rsid w:val="005F183E"/>
    <w:rsid w:val="00600DDA"/>
    <w:rsid w:val="00603A30"/>
    <w:rsid w:val="00604211"/>
    <w:rsid w:val="00613498"/>
    <w:rsid w:val="00614064"/>
    <w:rsid w:val="00617B94"/>
    <w:rsid w:val="00620BED"/>
    <w:rsid w:val="00630FF1"/>
    <w:rsid w:val="006415B4"/>
    <w:rsid w:val="00644E3D"/>
    <w:rsid w:val="00651B9E"/>
    <w:rsid w:val="00652019"/>
    <w:rsid w:val="00657EC9"/>
    <w:rsid w:val="00665633"/>
    <w:rsid w:val="00674C86"/>
    <w:rsid w:val="0068015E"/>
    <w:rsid w:val="00684CC1"/>
    <w:rsid w:val="006861AB"/>
    <w:rsid w:val="00686B89"/>
    <w:rsid w:val="00691D89"/>
    <w:rsid w:val="0069420F"/>
    <w:rsid w:val="00697730"/>
    <w:rsid w:val="006A2FC5"/>
    <w:rsid w:val="006A7D75"/>
    <w:rsid w:val="006B0A70"/>
    <w:rsid w:val="006B4982"/>
    <w:rsid w:val="006B606A"/>
    <w:rsid w:val="006C33AF"/>
    <w:rsid w:val="006D16EF"/>
    <w:rsid w:val="006D5D22"/>
    <w:rsid w:val="006E0324"/>
    <w:rsid w:val="006E4A76"/>
    <w:rsid w:val="006F1DBD"/>
    <w:rsid w:val="00700556"/>
    <w:rsid w:val="0070589A"/>
    <w:rsid w:val="007167DD"/>
    <w:rsid w:val="0072478B"/>
    <w:rsid w:val="00724942"/>
    <w:rsid w:val="00730C1B"/>
    <w:rsid w:val="0073414D"/>
    <w:rsid w:val="007475A1"/>
    <w:rsid w:val="0075235E"/>
    <w:rsid w:val="007528A5"/>
    <w:rsid w:val="007732CC"/>
    <w:rsid w:val="00774079"/>
    <w:rsid w:val="0077752B"/>
    <w:rsid w:val="00793D6F"/>
    <w:rsid w:val="00794090"/>
    <w:rsid w:val="007A44F8"/>
    <w:rsid w:val="007D21BF"/>
    <w:rsid w:val="007F3C12"/>
    <w:rsid w:val="007F46F8"/>
    <w:rsid w:val="007F5205"/>
    <w:rsid w:val="0080486B"/>
    <w:rsid w:val="0081370E"/>
    <w:rsid w:val="008215E7"/>
    <w:rsid w:val="00830FC6"/>
    <w:rsid w:val="008376B9"/>
    <w:rsid w:val="0084355A"/>
    <w:rsid w:val="00850E26"/>
    <w:rsid w:val="00855EAA"/>
    <w:rsid w:val="00863D0C"/>
    <w:rsid w:val="00865EAA"/>
    <w:rsid w:val="00866F06"/>
    <w:rsid w:val="008712C0"/>
    <w:rsid w:val="008728F5"/>
    <w:rsid w:val="00874AA1"/>
    <w:rsid w:val="008824C2"/>
    <w:rsid w:val="008960E4"/>
    <w:rsid w:val="008A3940"/>
    <w:rsid w:val="008B13C9"/>
    <w:rsid w:val="008C248C"/>
    <w:rsid w:val="008C53DE"/>
    <w:rsid w:val="008C5432"/>
    <w:rsid w:val="008C66F3"/>
    <w:rsid w:val="008C7BF1"/>
    <w:rsid w:val="008D00D6"/>
    <w:rsid w:val="008D4D00"/>
    <w:rsid w:val="008D4E5E"/>
    <w:rsid w:val="008D7ABD"/>
    <w:rsid w:val="008E55A2"/>
    <w:rsid w:val="008F1609"/>
    <w:rsid w:val="008F78D8"/>
    <w:rsid w:val="00910369"/>
    <w:rsid w:val="00931580"/>
    <w:rsid w:val="0093373C"/>
    <w:rsid w:val="00961620"/>
    <w:rsid w:val="009734B6"/>
    <w:rsid w:val="0098096F"/>
    <w:rsid w:val="0098437A"/>
    <w:rsid w:val="00986C92"/>
    <w:rsid w:val="00993C47"/>
    <w:rsid w:val="009972BC"/>
    <w:rsid w:val="009B4B16"/>
    <w:rsid w:val="009C6735"/>
    <w:rsid w:val="009D1BD5"/>
    <w:rsid w:val="009E49BC"/>
    <w:rsid w:val="009E54A1"/>
    <w:rsid w:val="009F4E25"/>
    <w:rsid w:val="009F5878"/>
    <w:rsid w:val="009F5B1F"/>
    <w:rsid w:val="00A0203F"/>
    <w:rsid w:val="00A12831"/>
    <w:rsid w:val="00A14EB2"/>
    <w:rsid w:val="00A225A9"/>
    <w:rsid w:val="00A3308E"/>
    <w:rsid w:val="00A35DFD"/>
    <w:rsid w:val="00A702DF"/>
    <w:rsid w:val="00A775A3"/>
    <w:rsid w:val="00A81700"/>
    <w:rsid w:val="00A81B5B"/>
    <w:rsid w:val="00A82FAD"/>
    <w:rsid w:val="00A8786C"/>
    <w:rsid w:val="00A94A88"/>
    <w:rsid w:val="00A9673A"/>
    <w:rsid w:val="00A96EF2"/>
    <w:rsid w:val="00AA329A"/>
    <w:rsid w:val="00AA5C35"/>
    <w:rsid w:val="00AA5ED9"/>
    <w:rsid w:val="00AC0A38"/>
    <w:rsid w:val="00AC4E0E"/>
    <w:rsid w:val="00AC517B"/>
    <w:rsid w:val="00AD0D19"/>
    <w:rsid w:val="00AD4184"/>
    <w:rsid w:val="00AE7629"/>
    <w:rsid w:val="00AF051B"/>
    <w:rsid w:val="00AF73C1"/>
    <w:rsid w:val="00B037A2"/>
    <w:rsid w:val="00B13E6F"/>
    <w:rsid w:val="00B31228"/>
    <w:rsid w:val="00B31870"/>
    <w:rsid w:val="00B320B8"/>
    <w:rsid w:val="00B35EE2"/>
    <w:rsid w:val="00B36DEF"/>
    <w:rsid w:val="00B52759"/>
    <w:rsid w:val="00B57131"/>
    <w:rsid w:val="00B62017"/>
    <w:rsid w:val="00B62D18"/>
    <w:rsid w:val="00B62F2C"/>
    <w:rsid w:val="00B6779D"/>
    <w:rsid w:val="00B727C9"/>
    <w:rsid w:val="00B735C8"/>
    <w:rsid w:val="00B76A63"/>
    <w:rsid w:val="00BA6350"/>
    <w:rsid w:val="00BB4E29"/>
    <w:rsid w:val="00BB74C9"/>
    <w:rsid w:val="00BC3AB6"/>
    <w:rsid w:val="00BC4D43"/>
    <w:rsid w:val="00BD19E8"/>
    <w:rsid w:val="00BD4273"/>
    <w:rsid w:val="00BE16D8"/>
    <w:rsid w:val="00BE3F02"/>
    <w:rsid w:val="00C31ED8"/>
    <w:rsid w:val="00C432E4"/>
    <w:rsid w:val="00C70C26"/>
    <w:rsid w:val="00C72001"/>
    <w:rsid w:val="00C772B7"/>
    <w:rsid w:val="00C80347"/>
    <w:rsid w:val="00C82FF2"/>
    <w:rsid w:val="00C85731"/>
    <w:rsid w:val="00CB24D2"/>
    <w:rsid w:val="00CB7C1A"/>
    <w:rsid w:val="00CC196F"/>
    <w:rsid w:val="00CC5E08"/>
    <w:rsid w:val="00CE14FD"/>
    <w:rsid w:val="00CF6860"/>
    <w:rsid w:val="00D02AC6"/>
    <w:rsid w:val="00D03F0C"/>
    <w:rsid w:val="00D04312"/>
    <w:rsid w:val="00D16A7F"/>
    <w:rsid w:val="00D16AD2"/>
    <w:rsid w:val="00D22596"/>
    <w:rsid w:val="00D22691"/>
    <w:rsid w:val="00D24C3D"/>
    <w:rsid w:val="00D40D13"/>
    <w:rsid w:val="00D46CB1"/>
    <w:rsid w:val="00D723F0"/>
    <w:rsid w:val="00D8133F"/>
    <w:rsid w:val="00D83556"/>
    <w:rsid w:val="00D861EE"/>
    <w:rsid w:val="00D95B05"/>
    <w:rsid w:val="00D97E2D"/>
    <w:rsid w:val="00DA103D"/>
    <w:rsid w:val="00DA45D3"/>
    <w:rsid w:val="00DA4772"/>
    <w:rsid w:val="00DA7B44"/>
    <w:rsid w:val="00DB2667"/>
    <w:rsid w:val="00DB4D55"/>
    <w:rsid w:val="00DB67B7"/>
    <w:rsid w:val="00DC15A9"/>
    <w:rsid w:val="00DC40AA"/>
    <w:rsid w:val="00DD1750"/>
    <w:rsid w:val="00DE77D5"/>
    <w:rsid w:val="00E33F16"/>
    <w:rsid w:val="00E349AA"/>
    <w:rsid w:val="00E41390"/>
    <w:rsid w:val="00E41CA0"/>
    <w:rsid w:val="00E4366B"/>
    <w:rsid w:val="00E50A4A"/>
    <w:rsid w:val="00E606DE"/>
    <w:rsid w:val="00E644FE"/>
    <w:rsid w:val="00E72733"/>
    <w:rsid w:val="00E742FA"/>
    <w:rsid w:val="00E76816"/>
    <w:rsid w:val="00E82D67"/>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26CC"/>
    <w:rsid w:val="00F535D8"/>
    <w:rsid w:val="00F61155"/>
    <w:rsid w:val="00F708E3"/>
    <w:rsid w:val="00F76561"/>
    <w:rsid w:val="00F84736"/>
    <w:rsid w:val="00FC6C29"/>
    <w:rsid w:val="00FD369E"/>
    <w:rsid w:val="00FD58E0"/>
    <w:rsid w:val="00FD618B"/>
    <w:rsid w:val="00FD71AE"/>
    <w:rsid w:val="00FE0198"/>
    <w:rsid w:val="00FE3A7C"/>
    <w:rsid w:val="00FF1C0B"/>
    <w:rsid w:val="00FF232D"/>
    <w:rsid w:val="00FF6228"/>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A52C8D9-1048-454F-8D22-A9AEBC97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C85731"/>
    <w:pPr>
      <w:ind w:left="720"/>
      <w:contextualSpacing/>
    </w:pPr>
  </w:style>
  <w:style w:type="paragraph" w:styleId="Header">
    <w:name w:val="header"/>
    <w:basedOn w:val="Normal"/>
    <w:link w:val="HeaderChar"/>
    <w:unhideWhenUsed/>
    <w:rsid w:val="00AE7629"/>
    <w:pPr>
      <w:tabs>
        <w:tab w:val="center" w:pos="4680"/>
        <w:tab w:val="right" w:pos="9360"/>
      </w:tabs>
    </w:pPr>
  </w:style>
  <w:style w:type="character" w:customStyle="1" w:styleId="HeaderChar">
    <w:name w:val="Header Char"/>
    <w:basedOn w:val="DefaultParagraphFont"/>
    <w:link w:val="Header"/>
    <w:rsid w:val="00AE7629"/>
    <w:rPr>
      <w:sz w:val="24"/>
      <w:szCs w:val="24"/>
    </w:rPr>
  </w:style>
  <w:style w:type="paragraph" w:styleId="Footer">
    <w:name w:val="footer"/>
    <w:basedOn w:val="Normal"/>
    <w:link w:val="FooterChar"/>
    <w:unhideWhenUsed/>
    <w:rsid w:val="00AE7629"/>
    <w:pPr>
      <w:tabs>
        <w:tab w:val="center" w:pos="4680"/>
        <w:tab w:val="right" w:pos="9360"/>
      </w:tabs>
    </w:pPr>
  </w:style>
  <w:style w:type="character" w:customStyle="1" w:styleId="FooterChar">
    <w:name w:val="Footer Char"/>
    <w:basedOn w:val="DefaultParagraphFont"/>
    <w:link w:val="Footer"/>
    <w:rsid w:val="00AE7629"/>
    <w:rPr>
      <w:sz w:val="24"/>
      <w:szCs w:val="24"/>
    </w:rPr>
  </w:style>
  <w:style w:type="character" w:styleId="CommentReference">
    <w:name w:val="annotation reference"/>
    <w:basedOn w:val="DefaultParagraphFont"/>
    <w:semiHidden/>
    <w:unhideWhenUsed/>
    <w:rsid w:val="00AA329A"/>
    <w:rPr>
      <w:sz w:val="16"/>
      <w:szCs w:val="16"/>
    </w:rPr>
  </w:style>
  <w:style w:type="paragraph" w:styleId="CommentText">
    <w:name w:val="annotation text"/>
    <w:basedOn w:val="Normal"/>
    <w:link w:val="CommentTextChar"/>
    <w:semiHidden/>
    <w:unhideWhenUsed/>
    <w:rsid w:val="00AA329A"/>
    <w:rPr>
      <w:sz w:val="20"/>
      <w:szCs w:val="20"/>
    </w:rPr>
  </w:style>
  <w:style w:type="character" w:customStyle="1" w:styleId="CommentTextChar">
    <w:name w:val="Comment Text Char"/>
    <w:basedOn w:val="DefaultParagraphFont"/>
    <w:link w:val="CommentText"/>
    <w:semiHidden/>
    <w:rsid w:val="00AA329A"/>
  </w:style>
  <w:style w:type="paragraph" w:styleId="CommentSubject">
    <w:name w:val="annotation subject"/>
    <w:basedOn w:val="CommentText"/>
    <w:next w:val="CommentText"/>
    <w:link w:val="CommentSubjectChar"/>
    <w:semiHidden/>
    <w:unhideWhenUsed/>
    <w:rsid w:val="00AA329A"/>
    <w:rPr>
      <w:b/>
      <w:bCs/>
    </w:rPr>
  </w:style>
  <w:style w:type="character" w:customStyle="1" w:styleId="CommentSubjectChar">
    <w:name w:val="Comment Subject Char"/>
    <w:basedOn w:val="CommentTextChar"/>
    <w:link w:val="CommentSubject"/>
    <w:semiHidden/>
    <w:rsid w:val="00AA3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cs.fcc.gov/public/attachments/FCC-21-9A1.pdf" TargetMode="External" /><Relationship Id="rId11" Type="http://schemas.openxmlformats.org/officeDocument/2006/relationships/hyperlink" Target="https://docs.fcc.gov/public/attachments/FCC-21-8A1.pdf" TargetMode="External" /><Relationship Id="rId12" Type="http://schemas.openxmlformats.org/officeDocument/2006/relationships/hyperlink" Target="https://docs.fcc.gov/public/attachments/FCC-21-1A1.pdf" TargetMode="External" /><Relationship Id="rId13" Type="http://schemas.openxmlformats.org/officeDocument/2006/relationships/hyperlink" Target="https://docs.fcc.gov/public/attachments/FCC-21-7A1.pdf"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FCC-21-2A1.pdf" TargetMode="External" /><Relationship Id="rId6" Type="http://schemas.openxmlformats.org/officeDocument/2006/relationships/hyperlink" Target="https://docs.fcc.gov/public/attachments/FCC-21-3A1.pdf" TargetMode="External" /><Relationship Id="rId7" Type="http://schemas.openxmlformats.org/officeDocument/2006/relationships/hyperlink" Target="https://docs.fcc.gov/public/attachments/FCC-21-5A1.pdf" TargetMode="External" /><Relationship Id="rId8" Type="http://schemas.openxmlformats.org/officeDocument/2006/relationships/hyperlink" Target="https://docs.fcc.gov/public/attachments/FCC-21-4A1.pdf" TargetMode="External" /><Relationship Id="rId9" Type="http://schemas.openxmlformats.org/officeDocument/2006/relationships/hyperlink" Target="https://docs.fcc.gov/public/attachments/FCC-21-6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