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AC16C8" w:rsidRPr="00B20363" w:rsidP="006D74AB" w14:paraId="4C5F89E6" w14:textId="1C99D1FA">
      <w:pPr>
        <w:tabs>
          <w:tab w:val="right" w:pos="9360"/>
        </w:tabs>
        <w:spacing w:before="120" w:after="240"/>
        <w:rPr>
          <w:b/>
          <w:sz w:val="24"/>
        </w:rPr>
      </w:pPr>
      <w:bookmarkStart w:id="0" w:name="TOChere"/>
      <w:bookmarkStart w:id="1" w:name="_GoBack"/>
      <w:bookmarkEnd w:id="1"/>
      <w:r w:rsidRPr="00B20363">
        <w:rPr>
          <w:b/>
          <w:sz w:val="24"/>
        </w:rPr>
        <w:t xml:space="preserve">Report No. </w:t>
      </w:r>
      <w:r w:rsidR="00602E0B">
        <w:rPr>
          <w:b/>
          <w:sz w:val="24"/>
        </w:rPr>
        <w:t>316</w:t>
      </w:r>
      <w:r w:rsidR="00676948">
        <w:rPr>
          <w:b/>
          <w:sz w:val="24"/>
        </w:rPr>
        <w:t>7</w:t>
      </w:r>
      <w:r w:rsidR="006D74AB">
        <w:rPr>
          <w:b/>
          <w:sz w:val="24"/>
        </w:rPr>
        <w:tab/>
      </w:r>
      <w:r w:rsidR="00602E0B">
        <w:rPr>
          <w:b/>
          <w:sz w:val="24"/>
        </w:rPr>
        <w:t>Released:</w:t>
      </w:r>
      <w:r w:rsidR="006276FA">
        <w:rPr>
          <w:b/>
          <w:sz w:val="24"/>
        </w:rPr>
        <w:t xml:space="preserve"> January</w:t>
      </w:r>
      <w:r w:rsidR="00674B91">
        <w:rPr>
          <w:b/>
          <w:sz w:val="24"/>
        </w:rPr>
        <w:t xml:space="preserve"> 12</w:t>
      </w:r>
      <w:r w:rsidR="006276FA">
        <w:rPr>
          <w:b/>
          <w:sz w:val="24"/>
        </w:rPr>
        <w:t>, 2021</w:t>
      </w:r>
    </w:p>
    <w:p w:rsidR="00AC16C8" w:rsidRPr="00B20363" w:rsidP="00602E0B" w14:paraId="083A1679" w14:textId="04EEFC92">
      <w:pPr>
        <w:spacing w:before="60"/>
        <w:jc w:val="center"/>
        <w:rPr>
          <w:b/>
          <w:sz w:val="24"/>
        </w:rPr>
      </w:pPr>
    </w:p>
    <w:p w:rsidR="00AC16C8" w:rsidRPr="00094E46" w:rsidP="00AC16C8" w14:paraId="4A9A1D11" w14:textId="54FFED7A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</w:t>
      </w:r>
      <w:r w:rsidR="006276FA">
        <w:rPr>
          <w:b/>
          <w:caps/>
          <w:sz w:val="24"/>
          <w:szCs w:val="24"/>
        </w:rPr>
        <w:t>S</w:t>
      </w:r>
      <w:r w:rsidRPr="00094E46">
        <w:rPr>
          <w:b/>
          <w:caps/>
          <w:sz w:val="24"/>
          <w:szCs w:val="24"/>
        </w:rPr>
        <w:t xml:space="preserve">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AC16C8" w:rsidP="00B143CA" w14:paraId="34841186" w14:textId="0E8BD725">
      <w:pPr>
        <w:ind w:right="360"/>
        <w:rPr>
          <w:sz w:val="24"/>
          <w:szCs w:val="24"/>
        </w:rPr>
      </w:pPr>
      <w:r>
        <w:rPr>
          <w:sz w:val="24"/>
          <w:szCs w:val="24"/>
        </w:rPr>
        <w:t>P</w:t>
      </w:r>
      <w:r w:rsidRPr="00094E46">
        <w:rPr>
          <w:sz w:val="24"/>
          <w:szCs w:val="24"/>
        </w:rPr>
        <w:t>etition</w:t>
      </w:r>
      <w:r w:rsidR="00A07179">
        <w:rPr>
          <w:sz w:val="24"/>
          <w:szCs w:val="24"/>
        </w:rPr>
        <w:t>s</w:t>
      </w:r>
      <w:r w:rsidRPr="00094E46">
        <w:rPr>
          <w:sz w:val="24"/>
          <w:szCs w:val="24"/>
        </w:rPr>
        <w:t xml:space="preserve"> for Reconsideration </w:t>
      </w:r>
      <w:r w:rsidR="00F42EB7">
        <w:rPr>
          <w:sz w:val="24"/>
          <w:szCs w:val="24"/>
        </w:rPr>
        <w:t>have</w:t>
      </w:r>
      <w:r w:rsidRPr="00094E46">
        <w:rPr>
          <w:sz w:val="24"/>
          <w:szCs w:val="24"/>
        </w:rPr>
        <w:t xml:space="preserve"> been filed in the Commission’s proceeding</w:t>
      </w:r>
      <w:r>
        <w:rPr>
          <w:sz w:val="24"/>
          <w:szCs w:val="24"/>
        </w:rPr>
        <w:t xml:space="preserve"> listed in this</w:t>
      </w:r>
      <w:r w:rsidR="00B143CA"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Public Notice and published pursuant to 47 CFR Section 1.429(e).  The full text of</w:t>
      </w:r>
      <w:r>
        <w:rPr>
          <w:sz w:val="24"/>
          <w:szCs w:val="24"/>
        </w:rPr>
        <w:t xml:space="preserve"> </w:t>
      </w:r>
      <w:r w:rsidR="00F42EB7">
        <w:rPr>
          <w:sz w:val="24"/>
          <w:szCs w:val="24"/>
        </w:rPr>
        <w:t>these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document</w:t>
      </w:r>
      <w:r w:rsidR="00F42EB7">
        <w:rPr>
          <w:sz w:val="24"/>
          <w:szCs w:val="24"/>
        </w:rPr>
        <w:t>s</w:t>
      </w:r>
      <w:r w:rsidRPr="00094E46">
        <w:rPr>
          <w:sz w:val="24"/>
          <w:szCs w:val="24"/>
        </w:rPr>
        <w:t xml:space="preserve"> </w:t>
      </w:r>
      <w:r w:rsidR="00D012E6">
        <w:rPr>
          <w:sz w:val="24"/>
          <w:szCs w:val="24"/>
        </w:rPr>
        <w:t>may be accessed online via</w:t>
      </w:r>
      <w:r>
        <w:rPr>
          <w:sz w:val="24"/>
          <w:szCs w:val="24"/>
        </w:rPr>
        <w:t xml:space="preserve"> the </w:t>
      </w:r>
      <w:r w:rsidR="00F42EB7">
        <w:rPr>
          <w:sz w:val="24"/>
          <w:szCs w:val="24"/>
        </w:rPr>
        <w:t xml:space="preserve">Commission’s </w:t>
      </w:r>
      <w:r>
        <w:rPr>
          <w:sz w:val="24"/>
          <w:szCs w:val="24"/>
        </w:rPr>
        <w:t>E</w:t>
      </w:r>
      <w:r w:rsidR="005851C7">
        <w:rPr>
          <w:sz w:val="24"/>
          <w:szCs w:val="24"/>
        </w:rPr>
        <w:t xml:space="preserve">lectronic </w:t>
      </w:r>
      <w:r>
        <w:rPr>
          <w:sz w:val="24"/>
          <w:szCs w:val="24"/>
        </w:rPr>
        <w:t>C</w:t>
      </w:r>
      <w:r w:rsidR="005851C7">
        <w:rPr>
          <w:sz w:val="24"/>
          <w:szCs w:val="24"/>
        </w:rPr>
        <w:t xml:space="preserve">omment </w:t>
      </w:r>
      <w:r>
        <w:rPr>
          <w:sz w:val="24"/>
          <w:szCs w:val="24"/>
        </w:rPr>
        <w:t>F</w:t>
      </w:r>
      <w:r w:rsidR="005851C7">
        <w:rPr>
          <w:sz w:val="24"/>
          <w:szCs w:val="24"/>
        </w:rPr>
        <w:t xml:space="preserve">iling </w:t>
      </w:r>
      <w:r>
        <w:rPr>
          <w:sz w:val="24"/>
          <w:szCs w:val="24"/>
        </w:rPr>
        <w:t>S</w:t>
      </w:r>
      <w:r w:rsidR="005851C7">
        <w:rPr>
          <w:sz w:val="24"/>
          <w:szCs w:val="24"/>
        </w:rPr>
        <w:t xml:space="preserve">ystem </w:t>
      </w:r>
      <w:r>
        <w:rPr>
          <w:sz w:val="24"/>
          <w:szCs w:val="24"/>
        </w:rPr>
        <w:t xml:space="preserve"> </w:t>
      </w:r>
      <w:r w:rsidR="00220558">
        <w:rPr>
          <w:sz w:val="24"/>
          <w:szCs w:val="24"/>
        </w:rPr>
        <w:t>at</w:t>
      </w:r>
      <w:r w:rsidR="005851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6D522B">
          <w:rPr>
            <w:rStyle w:val="Hyperlink"/>
            <w:sz w:val="24"/>
            <w:szCs w:val="24"/>
          </w:rPr>
          <w:t>https://www.fcc.gov/ecfs/</w:t>
        </w:r>
      </w:hyperlink>
      <w:r>
        <w:rPr>
          <w:sz w:val="24"/>
          <w:szCs w:val="24"/>
        </w:rPr>
        <w:t xml:space="preserve">.  Oppositions to the </w:t>
      </w:r>
      <w:r w:rsidR="00220558">
        <w:rPr>
          <w:sz w:val="24"/>
          <w:szCs w:val="24"/>
        </w:rPr>
        <w:t>P</w:t>
      </w:r>
      <w:r>
        <w:rPr>
          <w:sz w:val="24"/>
          <w:szCs w:val="24"/>
        </w:rPr>
        <w:t>etition</w:t>
      </w:r>
      <w:r w:rsidR="00220558">
        <w:rPr>
          <w:sz w:val="24"/>
          <w:szCs w:val="24"/>
        </w:rPr>
        <w:t>s</w:t>
      </w:r>
      <w:r>
        <w:rPr>
          <w:sz w:val="24"/>
          <w:szCs w:val="24"/>
        </w:rPr>
        <w:t xml:space="preserve"> must be </w:t>
      </w:r>
      <w:r w:rsidRPr="00094E46">
        <w:rPr>
          <w:sz w:val="24"/>
          <w:szCs w:val="24"/>
        </w:rPr>
        <w:t xml:space="preserve">filed within 15 days of the date of publication of this public </w:t>
      </w:r>
      <w:r>
        <w:rPr>
          <w:sz w:val="24"/>
          <w:szCs w:val="24"/>
        </w:rPr>
        <w:t xml:space="preserve">notice in the Federal Register.  </w:t>
      </w:r>
      <w:r>
        <w:rPr>
          <w:i/>
          <w:iCs/>
          <w:sz w:val="24"/>
          <w:szCs w:val="24"/>
        </w:rPr>
        <w:t xml:space="preserve">See </w:t>
      </w:r>
      <w:r w:rsidRPr="00094E46">
        <w:rPr>
          <w:sz w:val="24"/>
          <w:szCs w:val="24"/>
        </w:rPr>
        <w:t xml:space="preserve">Section 1.4(b)(1) of the Commission’s rules (47 CFR § 1.4(b)(1)). 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Replies to an opposition must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 xml:space="preserve">be filed within 10 days after the time for filing </w:t>
      </w:r>
      <w:r w:rsidR="00A07179">
        <w:rPr>
          <w:sz w:val="24"/>
          <w:szCs w:val="24"/>
        </w:rPr>
        <w:t>o</w:t>
      </w:r>
      <w:r w:rsidRPr="00094E46">
        <w:rPr>
          <w:sz w:val="24"/>
          <w:szCs w:val="24"/>
        </w:rPr>
        <w:t>ppositions</w:t>
      </w:r>
      <w:r>
        <w:rPr>
          <w:sz w:val="24"/>
          <w:szCs w:val="24"/>
        </w:rPr>
        <w:t xml:space="preserve"> has expired</w:t>
      </w:r>
      <w:r w:rsidRPr="00094E46">
        <w:rPr>
          <w:sz w:val="24"/>
          <w:szCs w:val="24"/>
        </w:rPr>
        <w:t>.</w:t>
      </w:r>
    </w:p>
    <w:p w:rsidR="00AC16C8" w:rsidRPr="00094E46" w:rsidP="006A26EF" w14:paraId="49A11F6A" w14:textId="77777777">
      <w:pPr>
        <w:ind w:right="360"/>
        <w:rPr>
          <w:sz w:val="24"/>
          <w:szCs w:val="24"/>
        </w:rPr>
      </w:pPr>
    </w:p>
    <w:p w:rsidR="00AC16C8" w:rsidRPr="00986FB2" w:rsidP="00AC16C8" w14:paraId="453F0843" w14:textId="77777777">
      <w:pPr>
        <w:spacing w:after="120"/>
        <w:rPr>
          <w:sz w:val="24"/>
          <w:szCs w:val="24"/>
        </w:rPr>
      </w:pPr>
      <w:r w:rsidRPr="00986FB2">
        <w:rPr>
          <w:sz w:val="24"/>
          <w:szCs w:val="24"/>
        </w:rPr>
        <w:t>---------------------------------------------------------------------------------------------------------------------</w:t>
      </w:r>
    </w:p>
    <w:p w:rsidR="00AC16C8" w:rsidRPr="009B45EC" w:rsidP="00265AFA" w14:paraId="1E2CDB9E" w14:textId="5E4342DA">
      <w:pPr>
        <w:tabs>
          <w:tab w:val="left" w:pos="1080"/>
        </w:tabs>
        <w:spacing w:after="120"/>
        <w:ind w:left="1440" w:hanging="1440"/>
        <w:rPr>
          <w:sz w:val="24"/>
          <w:szCs w:val="24"/>
        </w:rPr>
      </w:pPr>
      <w:r w:rsidRPr="00986FB2">
        <w:rPr>
          <w:b/>
          <w:bCs/>
          <w:sz w:val="24"/>
          <w:szCs w:val="24"/>
        </w:rPr>
        <w:t>Subject</w:t>
      </w:r>
      <w:r w:rsidRPr="00986FB2">
        <w:rPr>
          <w:sz w:val="24"/>
          <w:szCs w:val="24"/>
        </w:rPr>
        <w:t>:</w:t>
      </w:r>
      <w:r w:rsidRPr="00986FB2" w:rsidR="001E66DC">
        <w:rPr>
          <w:sz w:val="24"/>
          <w:szCs w:val="24"/>
        </w:rPr>
        <w:tab/>
      </w:r>
      <w:r w:rsidRPr="00986FB2" w:rsidR="001E66DC">
        <w:rPr>
          <w:b/>
          <w:bCs/>
          <w:sz w:val="24"/>
          <w:szCs w:val="24"/>
        </w:rPr>
        <w:t>-</w:t>
      </w:r>
      <w:r w:rsidRPr="00986FB2" w:rsidR="001E66DC">
        <w:rPr>
          <w:sz w:val="24"/>
          <w:szCs w:val="24"/>
        </w:rPr>
        <w:tab/>
      </w:r>
      <w:r w:rsidRPr="00986FB2">
        <w:rPr>
          <w:sz w:val="24"/>
          <w:szCs w:val="24"/>
        </w:rPr>
        <w:t xml:space="preserve">In the Matter </w:t>
      </w:r>
      <w:r w:rsidRPr="00676948">
        <w:rPr>
          <w:sz w:val="24"/>
          <w:szCs w:val="24"/>
        </w:rPr>
        <w:t>of</w:t>
      </w:r>
      <w:r w:rsidRPr="00676948" w:rsidR="00676948">
        <w:rPr>
          <w:sz w:val="24"/>
          <w:szCs w:val="24"/>
        </w:rPr>
        <w:t xml:space="preserve"> </w:t>
      </w:r>
      <w:r w:rsidRPr="00F0015A" w:rsidR="00676948">
        <w:rPr>
          <w:color w:val="1D2B3E"/>
          <w:sz w:val="24"/>
          <w:szCs w:val="22"/>
        </w:rPr>
        <w:t>Amendment of Part 90 of the Commission’s Rules</w:t>
      </w:r>
      <w:r w:rsidRPr="00F0015A" w:rsidR="00676948">
        <w:rPr>
          <w:b/>
          <w:bCs/>
          <w:color w:val="1D2B3E"/>
          <w:sz w:val="24"/>
          <w:szCs w:val="22"/>
        </w:rPr>
        <w:t xml:space="preserve"> </w:t>
      </w:r>
      <w:r w:rsidRPr="009B45EC" w:rsidR="009B45EC">
        <w:rPr>
          <w:color w:val="1D2B3E"/>
          <w:sz w:val="24"/>
          <w:szCs w:val="22"/>
        </w:rPr>
        <w:t>(Docket No</w:t>
      </w:r>
      <w:r w:rsidR="009B45EC">
        <w:rPr>
          <w:b/>
          <w:bCs/>
          <w:color w:val="1D2B3E"/>
          <w:sz w:val="24"/>
          <w:szCs w:val="22"/>
        </w:rPr>
        <w:t xml:space="preserve">. </w:t>
      </w:r>
      <w:r w:rsidRPr="009B45EC" w:rsidR="009B45EC">
        <w:rPr>
          <w:color w:val="1D2B3E"/>
          <w:sz w:val="24"/>
          <w:szCs w:val="22"/>
        </w:rPr>
        <w:t>W</w:t>
      </w:r>
      <w:r w:rsidR="00152E44">
        <w:rPr>
          <w:color w:val="1D2B3E"/>
          <w:sz w:val="24"/>
          <w:szCs w:val="22"/>
        </w:rPr>
        <w:t>P</w:t>
      </w:r>
      <w:r w:rsidRPr="009B45EC" w:rsidR="009B45EC">
        <w:rPr>
          <w:color w:val="1D2B3E"/>
          <w:sz w:val="24"/>
          <w:szCs w:val="22"/>
        </w:rPr>
        <w:t xml:space="preserve"> 07-100)</w:t>
      </w:r>
    </w:p>
    <w:p w:rsidR="00947982" w:rsidP="00AC16C8" w14:paraId="79F976C1" w14:textId="092BA6BA">
      <w:pPr>
        <w:spacing w:after="120"/>
        <w:ind w:left="990" w:hanging="990"/>
        <w:rPr>
          <w:sz w:val="24"/>
          <w:szCs w:val="24"/>
        </w:rPr>
      </w:pPr>
      <w:r w:rsidRPr="00676948">
        <w:rPr>
          <w:sz w:val="24"/>
          <w:szCs w:val="24"/>
        </w:rPr>
        <w:t xml:space="preserve">                        </w:t>
      </w:r>
    </w:p>
    <w:p w:rsidR="00676948" w:rsidRPr="00676948" w:rsidP="00AC16C8" w14:paraId="3E45CCDF" w14:textId="77777777">
      <w:pPr>
        <w:spacing w:after="120"/>
        <w:ind w:left="990" w:hanging="990"/>
        <w:rPr>
          <w:sz w:val="24"/>
          <w:szCs w:val="24"/>
        </w:rPr>
      </w:pPr>
    </w:p>
    <w:p w:rsidR="00AC16C8" w:rsidRPr="00676948" w:rsidP="0054783C" w14:paraId="39F1F7BE" w14:textId="39BF6320">
      <w:pPr>
        <w:pStyle w:val="Default"/>
        <w:tabs>
          <w:tab w:val="left" w:pos="1080"/>
        </w:tabs>
        <w:spacing w:after="120"/>
        <w:ind w:left="1440" w:hanging="1440"/>
        <w:rPr>
          <w:color w:val="auto"/>
        </w:rPr>
      </w:pPr>
      <w:r w:rsidRPr="00986FB2">
        <w:rPr>
          <w:b/>
          <w:bCs/>
        </w:rPr>
        <w:t>Filed By</w:t>
      </w:r>
      <w:r w:rsidRPr="00986FB2">
        <w:t>:</w:t>
      </w:r>
      <w:r w:rsidRPr="00986FB2" w:rsidR="006D74AB">
        <w:tab/>
      </w:r>
      <w:r w:rsidRPr="00676948">
        <w:t>-</w:t>
      </w:r>
      <w:r w:rsidRPr="00676948" w:rsidR="00676948">
        <w:t xml:space="preserve">    </w:t>
      </w:r>
      <w:r w:rsidRPr="00676948" w:rsidR="00676948">
        <w:rPr>
          <w:rFonts w:eastAsia="Times New Roman"/>
          <w:color w:val="1D2B3E"/>
        </w:rPr>
        <w:t xml:space="preserve"> </w:t>
      </w:r>
      <w:r w:rsidRPr="00676948" w:rsidR="00676948">
        <w:rPr>
          <w:rFonts w:eastAsia="Times New Roman"/>
          <w:snapToGrid w:val="0"/>
          <w:color w:val="010101"/>
        </w:rPr>
        <w:t>Jeffrey S. Cohen, on behalf of APCO International (filed Dec. 29, 2020)  </w:t>
      </w:r>
    </w:p>
    <w:p w:rsidR="00947982" w:rsidRPr="00676948" w:rsidP="006A26EF" w14:paraId="02943ACA" w14:textId="61DE44E2">
      <w:pPr>
        <w:pStyle w:val="Default"/>
        <w:spacing w:after="120"/>
        <w:ind w:left="1440" w:hanging="360"/>
      </w:pPr>
      <w:r w:rsidRPr="00676948">
        <w:t>-</w:t>
      </w:r>
      <w:r w:rsidRPr="00676948" w:rsidR="003B324E">
        <w:tab/>
      </w:r>
      <w:r w:rsidRPr="00676948" w:rsidR="00676948">
        <w:rPr>
          <w:rFonts w:eastAsia="Times New Roman"/>
          <w:snapToGrid w:val="0"/>
          <w:color w:val="010101"/>
        </w:rPr>
        <w:t xml:space="preserve">Ralph A. Haller, on behalf of </w:t>
      </w:r>
      <w:r w:rsidRPr="00676948" w:rsidR="00676948">
        <w:rPr>
          <w:rFonts w:eastAsia="Times New Roman"/>
        </w:rPr>
        <w:t>National Public Safety Telecommunications Council (filed Dec. 30, 2020)</w:t>
      </w:r>
    </w:p>
    <w:p w:rsidR="00676948" w:rsidRPr="00D66D07" w:rsidP="00D66D07" w14:paraId="4EB3E04C" w14:textId="5707A406">
      <w:pPr>
        <w:pStyle w:val="Heading1"/>
        <w:numPr>
          <w:ilvl w:val="0"/>
          <w:numId w:val="0"/>
        </w:numPr>
        <w:spacing w:before="160" w:after="160"/>
        <w:ind w:left="1440" w:hanging="390"/>
        <w:rPr>
          <w:rFonts w:ascii="Times New Roman" w:hAnsi="Times New Roman"/>
          <w:b w:val="0"/>
          <w:caps w:val="0"/>
          <w:snapToGrid/>
          <w:color w:val="1D2B3E"/>
          <w:kern w:val="36"/>
          <w:sz w:val="24"/>
          <w:szCs w:val="24"/>
        </w:rPr>
      </w:pPr>
      <w:r w:rsidRPr="00986FB2">
        <w:rPr>
          <w:bCs/>
        </w:rPr>
        <w:t>-</w:t>
      </w:r>
      <w:r w:rsidRPr="00986FB2" w:rsidR="006A26EF">
        <w:rPr>
          <w:bCs/>
        </w:rPr>
        <w:tab/>
      </w:r>
      <w:r w:rsidRPr="00D66D07">
        <w:rPr>
          <w:rFonts w:ascii="Times New Roman" w:hAnsi="Times New Roman"/>
          <w:b w:val="0"/>
          <w:caps w:val="0"/>
          <w:snapToGrid/>
          <w:kern w:val="36"/>
          <w:sz w:val="24"/>
          <w:szCs w:val="24"/>
        </w:rPr>
        <w:t>Chief Jeffrey D. Johnson, on behalf of The Public Safety Spectrum Alliance</w:t>
      </w:r>
      <w:r w:rsidRPr="00D66D07">
        <w:rPr>
          <w:rFonts w:ascii="Times New Roman" w:hAnsi="Times New Roman"/>
          <w:bCs/>
          <w:caps w:val="0"/>
          <w:snapToGrid/>
          <w:kern w:val="36"/>
          <w:sz w:val="24"/>
          <w:szCs w:val="24"/>
        </w:rPr>
        <w:t xml:space="preserve"> </w:t>
      </w:r>
      <w:r w:rsidRPr="00D66D07">
        <w:rPr>
          <w:rFonts w:ascii="Times New Roman" w:hAnsi="Times New Roman"/>
          <w:b w:val="0"/>
          <w:caps w:val="0"/>
          <w:snapToGrid/>
          <w:kern w:val="36"/>
          <w:sz w:val="24"/>
          <w:szCs w:val="24"/>
        </w:rPr>
        <w:t>(filed on</w:t>
      </w:r>
      <w:r w:rsidRPr="00D66D07" w:rsidR="00D66D07">
        <w:rPr>
          <w:rFonts w:ascii="Times New Roman" w:hAnsi="Times New Roman"/>
          <w:b w:val="0"/>
          <w:caps w:val="0"/>
          <w:snapToGrid/>
          <w:color w:val="1D2B3E"/>
          <w:kern w:val="36"/>
          <w:sz w:val="24"/>
          <w:szCs w:val="24"/>
        </w:rPr>
        <w:t xml:space="preserve"> </w:t>
      </w:r>
      <w:r w:rsidRPr="00D66D07">
        <w:rPr>
          <w:rFonts w:ascii="Times New Roman" w:hAnsi="Times New Roman"/>
          <w:b w:val="0"/>
          <w:caps w:val="0"/>
          <w:snapToGrid/>
          <w:kern w:val="36"/>
          <w:sz w:val="24"/>
          <w:szCs w:val="24"/>
        </w:rPr>
        <w:t xml:space="preserve">Dec. 29, 2020)            </w:t>
      </w:r>
    </w:p>
    <w:p w:rsidR="00947982" w:rsidRPr="00986FB2" w:rsidP="006A26EF" w14:paraId="2D6F83DF" w14:textId="65B09ECC">
      <w:pPr>
        <w:pStyle w:val="Default"/>
        <w:spacing w:after="120"/>
        <w:ind w:left="1440" w:hanging="360"/>
      </w:pPr>
    </w:p>
    <w:p w:rsidR="006276FA" w:rsidRPr="00986FB2" w:rsidP="00AC16C8" w14:paraId="2BCDAC50" w14:textId="0C6CA010">
      <w:pPr>
        <w:pStyle w:val="Default"/>
        <w:spacing w:after="120"/>
        <w:ind w:left="1080" w:hanging="1080"/>
      </w:pPr>
    </w:p>
    <w:p w:rsidR="00AC16C8" w:rsidRPr="00986FB2" w:rsidP="00AC16C8" w14:paraId="12BA0879" w14:textId="483C4C57">
      <w:pPr>
        <w:spacing w:after="120"/>
        <w:rPr>
          <w:sz w:val="24"/>
          <w:szCs w:val="24"/>
        </w:rPr>
      </w:pPr>
      <w:r w:rsidRPr="00986FB2">
        <w:rPr>
          <w:sz w:val="24"/>
          <w:szCs w:val="24"/>
        </w:rPr>
        <w:t>---------------------------------------------------------------------------------------------------------------------</w:t>
      </w:r>
    </w:p>
    <w:p w:rsidR="00AC16C8" w:rsidRPr="00986FB2" w:rsidP="00AC16C8" w14:paraId="05E3B246" w14:textId="112662B5">
      <w:pPr>
        <w:spacing w:after="220"/>
        <w:rPr>
          <w:sz w:val="24"/>
          <w:szCs w:val="24"/>
        </w:rPr>
      </w:pPr>
    </w:p>
    <w:p w:rsidR="00AC16C8" w:rsidRPr="00986FB2" w:rsidP="00AC16C8" w14:paraId="0B3AD045" w14:textId="77777777">
      <w:pPr>
        <w:jc w:val="center"/>
        <w:rPr>
          <w:b/>
          <w:sz w:val="24"/>
          <w:szCs w:val="24"/>
        </w:rPr>
      </w:pPr>
      <w:r w:rsidRPr="00986FB2">
        <w:rPr>
          <w:b/>
          <w:sz w:val="24"/>
          <w:szCs w:val="24"/>
        </w:rPr>
        <w:t>- FCC -</w:t>
      </w:r>
    </w:p>
    <w:bookmarkEnd w:id="0"/>
    <w:p w:rsidR="00930ECF" w:rsidRPr="00930ECF" w:rsidP="00F96F63" w14:paraId="62907220" w14:textId="77777777">
      <w:pPr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06188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1445"/>
    <w:rsid w:val="00036039"/>
    <w:rsid w:val="00037F90"/>
    <w:rsid w:val="00084B46"/>
    <w:rsid w:val="000875BF"/>
    <w:rsid w:val="00094E46"/>
    <w:rsid w:val="00096D8C"/>
    <w:rsid w:val="000C0B65"/>
    <w:rsid w:val="000E3D42"/>
    <w:rsid w:val="000E5884"/>
    <w:rsid w:val="000F2289"/>
    <w:rsid w:val="00106BA6"/>
    <w:rsid w:val="00122BD5"/>
    <w:rsid w:val="00152E44"/>
    <w:rsid w:val="00180F2D"/>
    <w:rsid w:val="001979D9"/>
    <w:rsid w:val="001A67E2"/>
    <w:rsid w:val="001D6BCF"/>
    <w:rsid w:val="001E01CA"/>
    <w:rsid w:val="001E66DC"/>
    <w:rsid w:val="002060D9"/>
    <w:rsid w:val="00220558"/>
    <w:rsid w:val="00226822"/>
    <w:rsid w:val="00260594"/>
    <w:rsid w:val="00265AFA"/>
    <w:rsid w:val="00285017"/>
    <w:rsid w:val="002A2D2E"/>
    <w:rsid w:val="00302477"/>
    <w:rsid w:val="00343749"/>
    <w:rsid w:val="00355C19"/>
    <w:rsid w:val="00357D50"/>
    <w:rsid w:val="003925DC"/>
    <w:rsid w:val="003B0550"/>
    <w:rsid w:val="003B324E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4783C"/>
    <w:rsid w:val="0055614C"/>
    <w:rsid w:val="005851C7"/>
    <w:rsid w:val="00602E0B"/>
    <w:rsid w:val="00607BA5"/>
    <w:rsid w:val="00626EB6"/>
    <w:rsid w:val="006276FA"/>
    <w:rsid w:val="006353A3"/>
    <w:rsid w:val="00655D03"/>
    <w:rsid w:val="00674B91"/>
    <w:rsid w:val="00676948"/>
    <w:rsid w:val="00683F84"/>
    <w:rsid w:val="006A26EF"/>
    <w:rsid w:val="006A6580"/>
    <w:rsid w:val="006A6A81"/>
    <w:rsid w:val="006D522B"/>
    <w:rsid w:val="006D74AB"/>
    <w:rsid w:val="006E26AF"/>
    <w:rsid w:val="006F7393"/>
    <w:rsid w:val="0070224F"/>
    <w:rsid w:val="007115F7"/>
    <w:rsid w:val="00737AD0"/>
    <w:rsid w:val="00753605"/>
    <w:rsid w:val="00785689"/>
    <w:rsid w:val="0079754B"/>
    <w:rsid w:val="007A1E6D"/>
    <w:rsid w:val="007B47BC"/>
    <w:rsid w:val="007C44EC"/>
    <w:rsid w:val="00822CE0"/>
    <w:rsid w:val="00837C62"/>
    <w:rsid w:val="00841AB1"/>
    <w:rsid w:val="008B16E4"/>
    <w:rsid w:val="008C22FD"/>
    <w:rsid w:val="008C5C9F"/>
    <w:rsid w:val="00910F12"/>
    <w:rsid w:val="00926503"/>
    <w:rsid w:val="00930ECF"/>
    <w:rsid w:val="00947982"/>
    <w:rsid w:val="00952F94"/>
    <w:rsid w:val="009652B3"/>
    <w:rsid w:val="009838BC"/>
    <w:rsid w:val="00986FB2"/>
    <w:rsid w:val="009B45EC"/>
    <w:rsid w:val="009C05EB"/>
    <w:rsid w:val="00A07179"/>
    <w:rsid w:val="00A45F4F"/>
    <w:rsid w:val="00A600A9"/>
    <w:rsid w:val="00A866AC"/>
    <w:rsid w:val="00AA55B7"/>
    <w:rsid w:val="00AA5B9E"/>
    <w:rsid w:val="00AB2407"/>
    <w:rsid w:val="00AB53DF"/>
    <w:rsid w:val="00AC16C8"/>
    <w:rsid w:val="00B07E5C"/>
    <w:rsid w:val="00B143CA"/>
    <w:rsid w:val="00B20363"/>
    <w:rsid w:val="00B265AA"/>
    <w:rsid w:val="00B326E3"/>
    <w:rsid w:val="00B53674"/>
    <w:rsid w:val="00B811F7"/>
    <w:rsid w:val="00BA5DC6"/>
    <w:rsid w:val="00BA6196"/>
    <w:rsid w:val="00BC6D8C"/>
    <w:rsid w:val="00C03201"/>
    <w:rsid w:val="00C16AF2"/>
    <w:rsid w:val="00C34006"/>
    <w:rsid w:val="00C426B1"/>
    <w:rsid w:val="00C82B6B"/>
    <w:rsid w:val="00C90D6A"/>
    <w:rsid w:val="00CC72B6"/>
    <w:rsid w:val="00D012E6"/>
    <w:rsid w:val="00D0218D"/>
    <w:rsid w:val="00D216CD"/>
    <w:rsid w:val="00D66D07"/>
    <w:rsid w:val="00DA2529"/>
    <w:rsid w:val="00DB130A"/>
    <w:rsid w:val="00DC10A1"/>
    <w:rsid w:val="00DC655F"/>
    <w:rsid w:val="00DD7EBD"/>
    <w:rsid w:val="00DE3AAE"/>
    <w:rsid w:val="00DF62B6"/>
    <w:rsid w:val="00E07225"/>
    <w:rsid w:val="00E155B7"/>
    <w:rsid w:val="00E5409F"/>
    <w:rsid w:val="00EC0185"/>
    <w:rsid w:val="00F0015A"/>
    <w:rsid w:val="00F021FA"/>
    <w:rsid w:val="00F42EB7"/>
    <w:rsid w:val="00F57ACA"/>
    <w:rsid w:val="00F62E97"/>
    <w:rsid w:val="00F64209"/>
    <w:rsid w:val="00F93BF5"/>
    <w:rsid w:val="00F96F6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79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