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7E9B13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B05386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231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52C51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5F543A" w:rsidP="00BB4E29" w14:paraId="0C605B14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5F543A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5F543A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5F543A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5F543A" w:rsidP="00BB4E29" w14:paraId="6792BF91" w14:textId="139E5DDF">
            <w:pPr>
              <w:rPr>
                <w:bCs/>
                <w:sz w:val="22"/>
                <w:szCs w:val="22"/>
                <w:lang w:val="es-ES"/>
              </w:rPr>
            </w:pPr>
            <w:r w:rsidRPr="005F543A">
              <w:rPr>
                <w:bCs/>
                <w:sz w:val="22"/>
                <w:szCs w:val="22"/>
                <w:lang w:val="es-ES"/>
              </w:rPr>
              <w:t>Katie Gorscak</w:t>
            </w:r>
            <w:r w:rsidRPr="005F543A">
              <w:rPr>
                <w:bCs/>
                <w:sz w:val="22"/>
                <w:szCs w:val="22"/>
                <w:lang w:val="es-ES"/>
              </w:rPr>
              <w:t xml:space="preserve">, </w:t>
            </w:r>
            <w:r w:rsidRPr="005F543A" w:rsidR="00AC0A38">
              <w:rPr>
                <w:bCs/>
                <w:sz w:val="22"/>
                <w:szCs w:val="22"/>
                <w:lang w:val="es-ES"/>
              </w:rPr>
              <w:t>(</w:t>
            </w:r>
            <w:r w:rsidRPr="005F543A">
              <w:rPr>
                <w:bCs/>
                <w:sz w:val="22"/>
                <w:szCs w:val="22"/>
                <w:lang w:val="es-ES"/>
              </w:rPr>
              <w:t>202</w:t>
            </w:r>
            <w:r w:rsidRPr="005F543A" w:rsidR="00AC0A38">
              <w:rPr>
                <w:bCs/>
                <w:sz w:val="22"/>
                <w:szCs w:val="22"/>
                <w:lang w:val="es-ES"/>
              </w:rPr>
              <w:t xml:space="preserve">) </w:t>
            </w:r>
            <w:r w:rsidRPr="005F543A">
              <w:rPr>
                <w:bCs/>
                <w:sz w:val="22"/>
                <w:szCs w:val="22"/>
                <w:lang w:val="es-ES"/>
              </w:rPr>
              <w:t>418-</w:t>
            </w:r>
            <w:r w:rsidRPr="005F543A">
              <w:rPr>
                <w:bCs/>
                <w:sz w:val="22"/>
                <w:szCs w:val="22"/>
                <w:lang w:val="es-ES"/>
              </w:rPr>
              <w:t>2156</w:t>
            </w:r>
          </w:p>
          <w:p w:rsidR="00FF232D" w:rsidRPr="005F543A" w:rsidP="00BB4E29" w14:paraId="03CC0B73" w14:textId="394D4919">
            <w:pPr>
              <w:rPr>
                <w:bCs/>
                <w:sz w:val="22"/>
                <w:szCs w:val="22"/>
                <w:lang w:val="es-ES"/>
              </w:rPr>
            </w:pPr>
            <w:r w:rsidRPr="005F543A">
              <w:rPr>
                <w:bCs/>
                <w:sz w:val="22"/>
                <w:szCs w:val="22"/>
                <w:lang w:val="es-ES"/>
              </w:rPr>
              <w:t>katie.gorscak</w:t>
            </w:r>
            <w:r w:rsidRPr="005F543A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5F543A" w:rsidP="00BB4E29" w14:paraId="45DFF239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3B5C5E6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19F871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B1192" w14:paraId="400F459E" w14:textId="54FE560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C1063">
              <w:rPr>
                <w:b/>
                <w:bCs/>
                <w:sz w:val="26"/>
                <w:szCs w:val="26"/>
              </w:rPr>
              <w:t xml:space="preserve">REVIEWS ACCOMPLISHMENTS OF </w:t>
            </w:r>
            <w:r w:rsidR="00B1771B">
              <w:rPr>
                <w:b/>
                <w:bCs/>
                <w:sz w:val="26"/>
                <w:szCs w:val="26"/>
              </w:rPr>
              <w:t xml:space="preserve">MEDIA BUREAU AND INCENTIVE AUCTION TASK FORCE </w:t>
            </w:r>
          </w:p>
          <w:p w:rsidR="00F61155" w:rsidRPr="006B0A70" w:rsidP="00BB4E29" w14:paraId="6EFD1D3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7F56E4C7" w14:textId="73BD643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73EAF">
              <w:rPr>
                <w:sz w:val="22"/>
                <w:szCs w:val="22"/>
              </w:rPr>
              <w:t>January 13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AC106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C1063">
              <w:rPr>
                <w:sz w:val="22"/>
                <w:szCs w:val="22"/>
              </w:rPr>
              <w:t xml:space="preserve">heard reports from leaders of the </w:t>
            </w:r>
            <w:r w:rsidR="00B1771B">
              <w:rPr>
                <w:sz w:val="22"/>
                <w:szCs w:val="22"/>
              </w:rPr>
              <w:t xml:space="preserve">Media Bureau and the Incentive Auction Task Force </w:t>
            </w:r>
            <w:r w:rsidR="00AC1063">
              <w:rPr>
                <w:sz w:val="22"/>
                <w:szCs w:val="22"/>
              </w:rPr>
              <w:t xml:space="preserve">on their work over the last </w:t>
            </w:r>
            <w:r w:rsidR="007534C3">
              <w:rPr>
                <w:sz w:val="22"/>
                <w:szCs w:val="22"/>
              </w:rPr>
              <w:t>four</w:t>
            </w:r>
            <w:r w:rsidR="00AC1063">
              <w:rPr>
                <w:sz w:val="22"/>
                <w:szCs w:val="22"/>
              </w:rPr>
              <w:t xml:space="preserve"> years.  FCC Chairman Ajit Pai dedicated the entirety of the final meeting of his chairmanship to thanking Commission staff for their </w:t>
            </w:r>
            <w:r w:rsidR="007534C3">
              <w:rPr>
                <w:sz w:val="22"/>
                <w:szCs w:val="22"/>
              </w:rPr>
              <w:t xml:space="preserve">exceptional </w:t>
            </w:r>
            <w:r w:rsidR="00AC1063">
              <w:rPr>
                <w:sz w:val="22"/>
                <w:szCs w:val="22"/>
              </w:rPr>
              <w:t>work and joining his colleagues in hearing presentations from Bureau, Office, and Task Force leaders.</w:t>
            </w:r>
          </w:p>
          <w:p w:rsidR="00040127" w:rsidRPr="002E165B" w:rsidP="002E165B" w14:paraId="439394D0" w14:textId="77777777">
            <w:pPr>
              <w:rPr>
                <w:sz w:val="22"/>
                <w:szCs w:val="22"/>
              </w:rPr>
            </w:pPr>
          </w:p>
          <w:p w:rsidR="00AC1063" w:rsidRPr="00A73EAF" w:rsidP="002E165B" w14:paraId="114F364A" w14:textId="7EDFEF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Media Bureau</w:t>
            </w:r>
          </w:p>
          <w:p w:rsidR="007534C3" w:rsidP="00B867D8" w14:paraId="05569368" w14:textId="77777777">
            <w:pPr>
              <w:rPr>
                <w:i/>
                <w:iCs/>
                <w:sz w:val="22"/>
                <w:szCs w:val="22"/>
              </w:rPr>
            </w:pPr>
          </w:p>
          <w:p w:rsidR="00B867D8" w:rsidRPr="00665FD8" w:rsidP="00B867D8" w14:paraId="590BE323" w14:textId="2C5CF6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“</w:t>
            </w:r>
            <w:r w:rsidRPr="00665FD8">
              <w:rPr>
                <w:i/>
                <w:iCs/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welcome</w:t>
            </w:r>
            <w:r w:rsidRPr="00665FD8">
              <w:rPr>
                <w:i/>
                <w:iCs/>
                <w:sz w:val="22"/>
                <w:szCs w:val="22"/>
              </w:rPr>
              <w:t xml:space="preserve"> this opportunity to showcase the work of the Media Bureau.  </w:t>
            </w:r>
            <w:r w:rsidRPr="00665FD8">
              <w:rPr>
                <w:i/>
                <w:iCs/>
                <w:sz w:val="22"/>
                <w:szCs w:val="22"/>
                <w:shd w:val="clear" w:color="auto" w:fill="FFFFFF"/>
              </w:rPr>
              <w:t xml:space="preserve">I want to thank everyone in the Bureau for the hard work they put in daily.  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They have been unwavering in their dedication and perseverance for the past four years.  I am very grateful and </w:t>
            </w:r>
            <w:r w:rsidRPr="00665FD8">
              <w:rPr>
                <w:i/>
                <w:iCs/>
                <w:sz w:val="22"/>
                <w:szCs w:val="22"/>
              </w:rPr>
              <w:t>proud to be part of the Media Bureau team.</w:t>
            </w:r>
            <w:r>
              <w:rPr>
                <w:i/>
                <w:iCs/>
                <w:sz w:val="22"/>
                <w:szCs w:val="22"/>
              </w:rPr>
              <w:t>”</w:t>
            </w:r>
          </w:p>
          <w:p w:rsidR="00B867D8" w:rsidRPr="00B1771B" w:rsidP="00B867D8" w14:paraId="3815AB47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1771B">
              <w:rPr>
                <w:i/>
                <w:iCs/>
                <w:sz w:val="22"/>
                <w:szCs w:val="22"/>
              </w:rPr>
              <w:t>Michelle</w:t>
            </w:r>
            <w:r>
              <w:rPr>
                <w:i/>
                <w:iCs/>
                <w:sz w:val="22"/>
                <w:szCs w:val="22"/>
              </w:rPr>
              <w:t xml:space="preserve"> M.</w:t>
            </w:r>
            <w:r w:rsidRPr="00B1771B">
              <w:rPr>
                <w:i/>
                <w:iCs/>
                <w:sz w:val="22"/>
                <w:szCs w:val="22"/>
              </w:rPr>
              <w:t xml:space="preserve"> Carey, Chief, Media Bureau </w:t>
            </w:r>
          </w:p>
          <w:p w:rsidR="00B867D8" w:rsidRPr="00B1771B" w:rsidP="00B867D8" w14:paraId="32589C69" w14:textId="77777777">
            <w:pPr>
              <w:pStyle w:val="ListParagraph"/>
              <w:ind w:left="1080"/>
              <w:rPr>
                <w:sz w:val="22"/>
                <w:szCs w:val="22"/>
              </w:rPr>
            </w:pPr>
          </w:p>
          <w:p w:rsidR="00A73EAF" w:rsidP="002E165B" w14:paraId="3E076CD0" w14:textId="00B2F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867D8">
              <w:rPr>
                <w:sz w:val="22"/>
                <w:szCs w:val="22"/>
              </w:rPr>
              <w:t xml:space="preserve">he media marketplace </w:t>
            </w:r>
            <w:r>
              <w:rPr>
                <w:sz w:val="22"/>
                <w:szCs w:val="22"/>
              </w:rPr>
              <w:t xml:space="preserve">is in a </w:t>
            </w:r>
            <w:r w:rsidR="0052427A">
              <w:rPr>
                <w:sz w:val="22"/>
                <w:szCs w:val="22"/>
              </w:rPr>
              <w:t xml:space="preserve">period of tremendous </w:t>
            </w:r>
            <w:r w:rsidR="00B867D8">
              <w:rPr>
                <w:sz w:val="22"/>
                <w:szCs w:val="22"/>
              </w:rPr>
              <w:t>change</w:t>
            </w:r>
            <w:r>
              <w:rPr>
                <w:sz w:val="22"/>
                <w:szCs w:val="22"/>
              </w:rPr>
              <w:t>, and trends such as the move to streaming</w:t>
            </w:r>
            <w:r w:rsidR="000F5108">
              <w:rPr>
                <w:sz w:val="22"/>
                <w:szCs w:val="22"/>
              </w:rPr>
              <w:t xml:space="preserve"> video </w:t>
            </w:r>
            <w:r>
              <w:rPr>
                <w:sz w:val="22"/>
                <w:szCs w:val="22"/>
              </w:rPr>
              <w:t>continued or accelerated during Chairman Pai’s tenure</w:t>
            </w:r>
            <w:r w:rsidR="00B867D8">
              <w:rPr>
                <w:sz w:val="22"/>
                <w:szCs w:val="22"/>
              </w:rPr>
              <w:t xml:space="preserve">.  In response to these changes, the Bureau took many actions to ensure that the Commission’s rules reflected these new realities.  Significantly, through the Modernization of Media </w:t>
            </w:r>
            <w:r w:rsidR="000F5108">
              <w:rPr>
                <w:sz w:val="22"/>
                <w:szCs w:val="22"/>
              </w:rPr>
              <w:t xml:space="preserve">Regulation </w:t>
            </w:r>
            <w:r w:rsidR="00B867D8">
              <w:rPr>
                <w:sz w:val="22"/>
                <w:szCs w:val="22"/>
              </w:rPr>
              <w:t xml:space="preserve">Initiative, the </w:t>
            </w:r>
            <w:r w:rsidR="00B8324A">
              <w:rPr>
                <w:sz w:val="22"/>
                <w:szCs w:val="22"/>
              </w:rPr>
              <w:t>Commission adopted</w:t>
            </w:r>
            <w:r w:rsidR="00B867D8">
              <w:rPr>
                <w:sz w:val="22"/>
                <w:szCs w:val="22"/>
              </w:rPr>
              <w:t xml:space="preserve"> 26 orders </w:t>
            </w:r>
            <w:r w:rsidR="00B8324A">
              <w:rPr>
                <w:sz w:val="22"/>
                <w:szCs w:val="22"/>
              </w:rPr>
              <w:t xml:space="preserve">prepared by the Bureau </w:t>
            </w:r>
            <w:r w:rsidR="00B867D8">
              <w:rPr>
                <w:sz w:val="22"/>
                <w:szCs w:val="22"/>
              </w:rPr>
              <w:t xml:space="preserve">that </w:t>
            </w:r>
            <w:r w:rsidRPr="00F6781B" w:rsidR="00B867D8">
              <w:rPr>
                <w:sz w:val="22"/>
                <w:szCs w:val="22"/>
              </w:rPr>
              <w:t xml:space="preserve">eliminated or updated a number of </w:t>
            </w:r>
            <w:r w:rsidR="00B8324A">
              <w:rPr>
                <w:sz w:val="22"/>
                <w:szCs w:val="22"/>
              </w:rPr>
              <w:t>outdate</w:t>
            </w:r>
            <w:r w:rsidR="00411399">
              <w:rPr>
                <w:sz w:val="22"/>
                <w:szCs w:val="22"/>
              </w:rPr>
              <w:t>d</w:t>
            </w:r>
            <w:r w:rsidR="00B8324A">
              <w:rPr>
                <w:sz w:val="22"/>
                <w:szCs w:val="22"/>
              </w:rPr>
              <w:t xml:space="preserve"> </w:t>
            </w:r>
            <w:r w:rsidRPr="00F6781B" w:rsidR="00B867D8">
              <w:rPr>
                <w:sz w:val="22"/>
                <w:szCs w:val="22"/>
              </w:rPr>
              <w:t>rules</w:t>
            </w:r>
            <w:r w:rsidR="00B867D8">
              <w:rPr>
                <w:sz w:val="22"/>
                <w:szCs w:val="22"/>
              </w:rPr>
              <w:t>, removing regulatory burdens and saving b</w:t>
            </w:r>
            <w:r w:rsidRPr="00F6781B" w:rsidR="00B867D8">
              <w:rPr>
                <w:sz w:val="22"/>
                <w:szCs w:val="22"/>
              </w:rPr>
              <w:t>roadcasters, cable</w:t>
            </w:r>
            <w:r w:rsidR="00386E79">
              <w:rPr>
                <w:sz w:val="22"/>
                <w:szCs w:val="22"/>
              </w:rPr>
              <w:t>,</w:t>
            </w:r>
            <w:r w:rsidRPr="00F6781B" w:rsidR="00B867D8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direct broadcast satellite</w:t>
            </w:r>
            <w:r w:rsidRPr="00F6781B">
              <w:rPr>
                <w:sz w:val="22"/>
                <w:szCs w:val="22"/>
              </w:rPr>
              <w:t xml:space="preserve"> </w:t>
            </w:r>
            <w:r w:rsidRPr="00F6781B" w:rsidR="00B867D8">
              <w:rPr>
                <w:sz w:val="22"/>
                <w:szCs w:val="22"/>
              </w:rPr>
              <w:t>operators costs</w:t>
            </w:r>
            <w:r w:rsidR="00B867D8">
              <w:rPr>
                <w:sz w:val="22"/>
                <w:szCs w:val="22"/>
              </w:rPr>
              <w:t xml:space="preserve"> and</w:t>
            </w:r>
            <w:r w:rsidRPr="00F6781B" w:rsidR="00B867D8">
              <w:rPr>
                <w:sz w:val="22"/>
                <w:szCs w:val="22"/>
              </w:rPr>
              <w:t xml:space="preserve"> time in complying with their FCC obligations.</w:t>
            </w:r>
            <w:r w:rsidR="00B867D8">
              <w:rPr>
                <w:sz w:val="22"/>
                <w:szCs w:val="22"/>
              </w:rPr>
              <w:t xml:space="preserve">  At the same time, the Bureau promoted rules to foster innovation among broadcasters through the authorization of new technologies including </w:t>
            </w:r>
            <w:r w:rsidRPr="00B06ABC" w:rsidR="00B867D8">
              <w:rPr>
                <w:sz w:val="22"/>
                <w:szCs w:val="22"/>
              </w:rPr>
              <w:t>ATSC 3.0, the next-generation broadcast television standard</w:t>
            </w:r>
            <w:r w:rsidR="00B867D8">
              <w:rPr>
                <w:sz w:val="22"/>
                <w:szCs w:val="22"/>
              </w:rPr>
              <w:t xml:space="preserve">, as well as rules permitting </w:t>
            </w:r>
            <w:r w:rsidR="006F7AD8">
              <w:rPr>
                <w:sz w:val="22"/>
                <w:szCs w:val="22"/>
              </w:rPr>
              <w:t xml:space="preserve">AM </w:t>
            </w:r>
            <w:r w:rsidR="00B867D8">
              <w:rPr>
                <w:sz w:val="22"/>
                <w:szCs w:val="22"/>
              </w:rPr>
              <w:t xml:space="preserve">radio stations to voluntarily transition to </w:t>
            </w:r>
            <w:r w:rsidRPr="00B06ABC" w:rsidR="00B867D8">
              <w:rPr>
                <w:sz w:val="22"/>
                <w:szCs w:val="22"/>
              </w:rPr>
              <w:t>all-digital operations</w:t>
            </w:r>
            <w:r w:rsidR="00B867D8">
              <w:rPr>
                <w:sz w:val="22"/>
                <w:szCs w:val="22"/>
              </w:rPr>
              <w:t xml:space="preserve">. </w:t>
            </w:r>
            <w:r w:rsidR="00D92743">
              <w:rPr>
                <w:sz w:val="22"/>
                <w:szCs w:val="22"/>
              </w:rPr>
              <w:t xml:space="preserve"> </w:t>
            </w:r>
            <w:r w:rsidR="00B235D5">
              <w:rPr>
                <w:sz w:val="22"/>
                <w:szCs w:val="22"/>
              </w:rPr>
              <w:t xml:space="preserve">The Bureau also worked to modernize the Commission’s media ownership rules and </w:t>
            </w:r>
            <w:r w:rsidR="00E971B8">
              <w:rPr>
                <w:sz w:val="22"/>
                <w:szCs w:val="22"/>
              </w:rPr>
              <w:t>promote diversity by establishing an innovative incubator program and working with the re-chartered Advisory Committee on Diversity and Digital Empowerment.</w:t>
            </w:r>
            <w:r w:rsidR="00E94DB0">
              <w:rPr>
                <w:sz w:val="22"/>
                <w:szCs w:val="22"/>
              </w:rPr>
              <w:t xml:space="preserve">  Next week, the U.S. Supreme Court will hold oral arguments to consider </w:t>
            </w:r>
            <w:r w:rsidR="00D951C3">
              <w:rPr>
                <w:sz w:val="22"/>
                <w:szCs w:val="22"/>
              </w:rPr>
              <w:t xml:space="preserve">both </w:t>
            </w:r>
            <w:r w:rsidR="0008405B">
              <w:rPr>
                <w:sz w:val="22"/>
                <w:szCs w:val="22"/>
              </w:rPr>
              <w:t>the Commission’s</w:t>
            </w:r>
            <w:r w:rsidR="00D951C3">
              <w:rPr>
                <w:sz w:val="22"/>
                <w:szCs w:val="22"/>
              </w:rPr>
              <w:t xml:space="preserve"> revised media ownership rules and the incubator program.</w:t>
            </w:r>
            <w:r w:rsidR="00E971B8">
              <w:rPr>
                <w:sz w:val="22"/>
                <w:szCs w:val="22"/>
              </w:rPr>
              <w:t xml:space="preserve">  </w:t>
            </w:r>
            <w:r w:rsidR="00B867D8">
              <w:rPr>
                <w:sz w:val="22"/>
                <w:szCs w:val="22"/>
              </w:rPr>
              <w:t>In addition to these major efforts, the Bureau was vigilant in ensuring compliance with the Commission’s rules and reviewed several major media transactions.</w:t>
            </w:r>
          </w:p>
          <w:p w:rsidR="000E4B54" w:rsidP="002E165B" w14:paraId="783F4443" w14:textId="77777777">
            <w:pPr>
              <w:rPr>
                <w:sz w:val="22"/>
                <w:szCs w:val="22"/>
              </w:rPr>
            </w:pPr>
          </w:p>
          <w:p w:rsidR="00AC1063" w:rsidRPr="00A73EAF" w:rsidP="002E165B" w14:paraId="660895F1" w14:textId="3FA80006">
            <w:pPr>
              <w:rPr>
                <w:b/>
                <w:bCs/>
                <w:sz w:val="22"/>
                <w:szCs w:val="22"/>
              </w:rPr>
            </w:pPr>
            <w:r w:rsidRPr="00A73EAF">
              <w:rPr>
                <w:b/>
                <w:bCs/>
                <w:sz w:val="22"/>
                <w:szCs w:val="22"/>
              </w:rPr>
              <w:t>In</w:t>
            </w:r>
            <w:r w:rsidR="00B1771B">
              <w:rPr>
                <w:b/>
                <w:bCs/>
                <w:sz w:val="22"/>
                <w:szCs w:val="22"/>
              </w:rPr>
              <w:t xml:space="preserve">centive Auction Task Force </w:t>
            </w:r>
          </w:p>
          <w:p w:rsidR="0008405B" w:rsidP="00544F12" w14:paraId="2D6F92B0" w14:textId="77777777">
            <w:pPr>
              <w:rPr>
                <w:i/>
                <w:iCs/>
                <w:sz w:val="22"/>
                <w:szCs w:val="22"/>
              </w:rPr>
            </w:pPr>
          </w:p>
          <w:p w:rsidR="00544F12" w:rsidRPr="00544F12" w:rsidP="00544F12" w14:paraId="0A25138A" w14:textId="6C72292E">
            <w:pPr>
              <w:rPr>
                <w:i/>
                <w:iCs/>
                <w:sz w:val="22"/>
                <w:szCs w:val="22"/>
              </w:rPr>
            </w:pPr>
            <w:r w:rsidRPr="00544F12">
              <w:rPr>
                <w:i/>
                <w:iCs/>
                <w:sz w:val="22"/>
                <w:szCs w:val="22"/>
              </w:rPr>
              <w:t xml:space="preserve">“Thanks to dedicated staff from Bureaus and Offices across the Commission and a strong partnership with industry, the Incentive Auction Task Force was able to deliver on the promise of the first ever spectrum incentive auction by clearing 84 MHz of spectrum in a 39-month transition period. </w:t>
            </w:r>
            <w:r w:rsidR="00A13F76">
              <w:rPr>
                <w:i/>
                <w:iCs/>
                <w:sz w:val="22"/>
                <w:szCs w:val="22"/>
              </w:rPr>
              <w:t xml:space="preserve"> </w:t>
            </w:r>
            <w:r w:rsidRPr="00544F12">
              <w:rPr>
                <w:i/>
                <w:iCs/>
                <w:sz w:val="22"/>
                <w:szCs w:val="22"/>
              </w:rPr>
              <w:t>For four years</w:t>
            </w:r>
            <w:r w:rsidR="00A96484">
              <w:rPr>
                <w:i/>
                <w:iCs/>
                <w:sz w:val="22"/>
                <w:szCs w:val="22"/>
              </w:rPr>
              <w:t>,</w:t>
            </w:r>
            <w:r w:rsidRPr="00544F12">
              <w:rPr>
                <w:i/>
                <w:iCs/>
                <w:sz w:val="22"/>
                <w:szCs w:val="22"/>
              </w:rPr>
              <w:t xml:space="preserve"> our dedicated staff have done everything humanly possible </w:t>
            </w:r>
            <w:r w:rsidRPr="00544F12">
              <w:rPr>
                <w:i/>
                <w:iCs/>
                <w:sz w:val="22"/>
                <w:szCs w:val="22"/>
              </w:rPr>
              <w:t xml:space="preserve">to find practical solutions to daunting scheduling challenges ranging from engineering and resource issues to a global pandemic.” </w:t>
            </w:r>
          </w:p>
          <w:p w:rsidR="00A73EAF" w:rsidRPr="00A73EAF" w:rsidP="00A73EAF" w14:paraId="00322EBA" w14:textId="4B63CD3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Jean Kiddoo</w:t>
            </w:r>
            <w:r w:rsidRPr="00A73EAF">
              <w:rPr>
                <w:i/>
                <w:iCs/>
                <w:sz w:val="22"/>
                <w:szCs w:val="22"/>
              </w:rPr>
              <w:t>, C</w:t>
            </w:r>
            <w:r>
              <w:rPr>
                <w:i/>
                <w:iCs/>
                <w:sz w:val="22"/>
                <w:szCs w:val="22"/>
              </w:rPr>
              <w:t>hair</w:t>
            </w:r>
            <w:r w:rsidR="00727D26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Incentive Auction Task Force</w:t>
            </w:r>
          </w:p>
          <w:p w:rsidR="00544F12" w:rsidP="00544F12" w14:paraId="39DE5D41" w14:textId="77777777">
            <w:pPr>
              <w:rPr>
                <w:sz w:val="22"/>
                <w:szCs w:val="22"/>
              </w:rPr>
            </w:pPr>
          </w:p>
          <w:p w:rsidR="00544F12" w:rsidP="00544F12" w14:paraId="22AC6B9E" w14:textId="09280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Task Force’s presentation to the Commissioners summarized the team’s accomplishments</w:t>
            </w:r>
            <w:r w:rsidR="00F53B61">
              <w:rPr>
                <w:sz w:val="22"/>
                <w:szCs w:val="22"/>
              </w:rPr>
              <w:t xml:space="preserve"> </w:t>
            </w:r>
            <w:r w:rsidR="00A96484">
              <w:rPr>
                <w:sz w:val="22"/>
                <w:szCs w:val="22"/>
              </w:rPr>
              <w:t xml:space="preserve">in the aftermath of </w:t>
            </w:r>
            <w:r w:rsidR="00F53B61">
              <w:rPr>
                <w:sz w:val="22"/>
                <w:szCs w:val="22"/>
              </w:rPr>
              <w:t>the first ever spectrum incentive auction</w:t>
            </w:r>
            <w:r>
              <w:rPr>
                <w:sz w:val="22"/>
                <w:szCs w:val="22"/>
              </w:rPr>
              <w:t>.  Fifty wireless winner bidders were granted 2,775 licenses</w:t>
            </w:r>
            <w:r w:rsidR="00AC24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600 MHz spectrum has already been deployed </w:t>
            </w:r>
            <w:r w:rsidR="00AC246E">
              <w:rPr>
                <w:sz w:val="22"/>
                <w:szCs w:val="22"/>
              </w:rPr>
              <w:t xml:space="preserve">to provide 5G service </w:t>
            </w:r>
            <w:r w:rsidR="00952FBA">
              <w:rPr>
                <w:sz w:val="22"/>
                <w:szCs w:val="22"/>
              </w:rPr>
              <w:t>across a large swathe of the nation</w:t>
            </w:r>
            <w:r>
              <w:rPr>
                <w:sz w:val="22"/>
                <w:szCs w:val="22"/>
              </w:rPr>
              <w:t>.  Repacked broadcast television stations vacated 987 pre-auction channels after constructing and moving to new facilities</w:t>
            </w:r>
            <w:r w:rsidR="000C03E1">
              <w:rPr>
                <w:sz w:val="22"/>
                <w:szCs w:val="22"/>
              </w:rPr>
              <w:t xml:space="preserve">, </w:t>
            </w:r>
            <w:r w:rsidR="00931411">
              <w:rPr>
                <w:sz w:val="22"/>
                <w:szCs w:val="22"/>
              </w:rPr>
              <w:t xml:space="preserve">and </w:t>
            </w:r>
            <w:r w:rsidR="000C03E1">
              <w:rPr>
                <w:sz w:val="22"/>
                <w:szCs w:val="22"/>
              </w:rPr>
              <w:t>all spectrum in the 600 MHz band was cleared by the end of the 39-month transition period.</w:t>
            </w:r>
            <w:r>
              <w:rPr>
                <w:sz w:val="22"/>
                <w:szCs w:val="22"/>
              </w:rPr>
              <w:t xml:space="preserve">  The Commission has verified $2.2 billion in estimates for transition costs for repacked stations, displaced LPTV/translator</w:t>
            </w:r>
            <w:r w:rsidR="00526B89">
              <w:rPr>
                <w:sz w:val="22"/>
                <w:szCs w:val="22"/>
              </w:rPr>
              <w:t xml:space="preserve"> stations,</w:t>
            </w:r>
            <w:r>
              <w:rPr>
                <w:sz w:val="22"/>
                <w:szCs w:val="22"/>
              </w:rPr>
              <w:t xml:space="preserve"> </w:t>
            </w:r>
            <w:r w:rsidR="00526B89">
              <w:rPr>
                <w:sz w:val="22"/>
                <w:szCs w:val="22"/>
              </w:rPr>
              <w:t xml:space="preserve">impacted </w:t>
            </w:r>
            <w:r>
              <w:rPr>
                <w:sz w:val="22"/>
                <w:szCs w:val="22"/>
              </w:rPr>
              <w:t>FM stations, and MVPDs, and has already paid over $1.4</w:t>
            </w:r>
            <w:r w:rsidR="00952F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billion on over 93,000 invoices.  To assure that over-the-air TV viewers could successfully rescan their TVs and stay connected to the new channels, the Commission’s consumer outreach successfully supported</w:t>
            </w:r>
            <w:r w:rsidRPr="00C51A82">
              <w:rPr>
                <w:sz w:val="22"/>
                <w:szCs w:val="22"/>
              </w:rPr>
              <w:t xml:space="preserve"> tens of millions of consumers</w:t>
            </w:r>
            <w:r>
              <w:rPr>
                <w:sz w:val="22"/>
                <w:szCs w:val="22"/>
              </w:rPr>
              <w:t xml:space="preserve"> throughout the transition, as </w:t>
            </w:r>
            <w:r w:rsidRPr="00C51A82">
              <w:rPr>
                <w:sz w:val="22"/>
                <w:szCs w:val="22"/>
              </w:rPr>
              <w:t xml:space="preserve">witnessed by </w:t>
            </w:r>
            <w:r>
              <w:rPr>
                <w:sz w:val="22"/>
                <w:szCs w:val="22"/>
              </w:rPr>
              <w:t>more than</w:t>
            </w:r>
            <w:r w:rsidRPr="00C51A82">
              <w:rPr>
                <w:sz w:val="22"/>
                <w:szCs w:val="22"/>
              </w:rPr>
              <w:t xml:space="preserve"> 5.6 million hits on </w:t>
            </w:r>
            <w:r>
              <w:rPr>
                <w:sz w:val="22"/>
                <w:szCs w:val="22"/>
              </w:rPr>
              <w:t>the</w:t>
            </w:r>
            <w:r w:rsidRPr="00C51A82">
              <w:rPr>
                <w:sz w:val="22"/>
                <w:szCs w:val="22"/>
              </w:rPr>
              <w:t xml:space="preserve"> FCC rescan </w:t>
            </w:r>
            <w:r>
              <w:rPr>
                <w:sz w:val="22"/>
                <w:szCs w:val="22"/>
              </w:rPr>
              <w:t>webpage</w:t>
            </w:r>
            <w:r w:rsidRPr="00C51A82">
              <w:rPr>
                <w:sz w:val="22"/>
                <w:szCs w:val="22"/>
              </w:rPr>
              <w:t xml:space="preserve"> and the over 116,000 consumers aided </w:t>
            </w:r>
            <w:r>
              <w:rPr>
                <w:sz w:val="22"/>
                <w:szCs w:val="22"/>
              </w:rPr>
              <w:t>by the</w:t>
            </w:r>
            <w:r w:rsidR="00713E89">
              <w:rPr>
                <w:sz w:val="22"/>
                <w:szCs w:val="22"/>
              </w:rPr>
              <w:t xml:space="preserve"> Commission’s</w:t>
            </w:r>
            <w:r>
              <w:rPr>
                <w:sz w:val="22"/>
                <w:szCs w:val="22"/>
              </w:rPr>
              <w:t xml:space="preserve"> </w:t>
            </w:r>
            <w:r w:rsidRPr="00C51A82">
              <w:rPr>
                <w:sz w:val="22"/>
                <w:szCs w:val="22"/>
              </w:rPr>
              <w:t>specialized call center</w:t>
            </w:r>
            <w:r>
              <w:rPr>
                <w:sz w:val="22"/>
                <w:szCs w:val="22"/>
              </w:rPr>
              <w:t xml:space="preserve">. </w:t>
            </w:r>
          </w:p>
          <w:p w:rsidR="00AC1063" w:rsidRPr="002E165B" w:rsidP="002E165B" w14:paraId="7FE44356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14BC2E1F" w14:textId="5AE18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presentations, video of this meeting, and Chairman and Commissioner statements will be available and archived at: </w:t>
            </w:r>
            <w:hyperlink r:id="rId5" w:history="1">
              <w:r w:rsidRPr="00487BE0">
                <w:rPr>
                  <w:rStyle w:val="Hyperlink"/>
                  <w:sz w:val="22"/>
                  <w:szCs w:val="22"/>
                </w:rPr>
                <w:t>https://www.fcc.gov/news-events/events/2021/01/january-2021-open-commission-meeting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12421A9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D0265E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00C02FF" w14:textId="3AC6C912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7DBAD5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1954E4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B3FA11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6503E6C"/>
    <w:multiLevelType w:val="hybridMultilevel"/>
    <w:tmpl w:val="99026F56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09"/>
    <w:multiLevelType w:val="hybridMultilevel"/>
    <w:tmpl w:val="B3C069D6"/>
    <w:lvl w:ilvl="0">
      <w:start w:val="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D5AB7"/>
    <w:multiLevelType w:val="hybridMultilevel"/>
    <w:tmpl w:val="5FCEC99E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8405B"/>
    <w:rsid w:val="00091E65"/>
    <w:rsid w:val="00096D4A"/>
    <w:rsid w:val="000A38EA"/>
    <w:rsid w:val="000C03E1"/>
    <w:rsid w:val="000C1E47"/>
    <w:rsid w:val="000C26F3"/>
    <w:rsid w:val="000C2E69"/>
    <w:rsid w:val="000E049E"/>
    <w:rsid w:val="000E4B54"/>
    <w:rsid w:val="000F5108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06C3"/>
    <w:rsid w:val="003727E3"/>
    <w:rsid w:val="00385A93"/>
    <w:rsid w:val="00386E79"/>
    <w:rsid w:val="003910F1"/>
    <w:rsid w:val="003E42FC"/>
    <w:rsid w:val="003E5991"/>
    <w:rsid w:val="003F344A"/>
    <w:rsid w:val="00403FF0"/>
    <w:rsid w:val="00411399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7BE0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27A"/>
    <w:rsid w:val="00526B89"/>
    <w:rsid w:val="00544F1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5F543A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5FD8"/>
    <w:rsid w:val="00674C86"/>
    <w:rsid w:val="0068015E"/>
    <w:rsid w:val="006861AB"/>
    <w:rsid w:val="00686B89"/>
    <w:rsid w:val="0069420F"/>
    <w:rsid w:val="006A2FC5"/>
    <w:rsid w:val="006A7D75"/>
    <w:rsid w:val="006B0A3A"/>
    <w:rsid w:val="006B0A70"/>
    <w:rsid w:val="006B606A"/>
    <w:rsid w:val="006B6F89"/>
    <w:rsid w:val="006C33AF"/>
    <w:rsid w:val="006D16EF"/>
    <w:rsid w:val="006D5D22"/>
    <w:rsid w:val="006E0324"/>
    <w:rsid w:val="006E4A76"/>
    <w:rsid w:val="006F1DBD"/>
    <w:rsid w:val="006F7AD8"/>
    <w:rsid w:val="00700556"/>
    <w:rsid w:val="0070589A"/>
    <w:rsid w:val="00713E89"/>
    <w:rsid w:val="007167DD"/>
    <w:rsid w:val="0072478B"/>
    <w:rsid w:val="00727D26"/>
    <w:rsid w:val="0073414D"/>
    <w:rsid w:val="007475A1"/>
    <w:rsid w:val="0075235E"/>
    <w:rsid w:val="007528A5"/>
    <w:rsid w:val="007534C3"/>
    <w:rsid w:val="00762079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3961"/>
    <w:rsid w:val="008D4D00"/>
    <w:rsid w:val="008D4E5E"/>
    <w:rsid w:val="008D7ABD"/>
    <w:rsid w:val="008E55A2"/>
    <w:rsid w:val="008F1609"/>
    <w:rsid w:val="008F78D8"/>
    <w:rsid w:val="00931411"/>
    <w:rsid w:val="0093373C"/>
    <w:rsid w:val="00952FBA"/>
    <w:rsid w:val="00961620"/>
    <w:rsid w:val="009734B6"/>
    <w:rsid w:val="0098096F"/>
    <w:rsid w:val="0098437A"/>
    <w:rsid w:val="00986C92"/>
    <w:rsid w:val="00993C47"/>
    <w:rsid w:val="009972BC"/>
    <w:rsid w:val="009B4B16"/>
    <w:rsid w:val="009C70B5"/>
    <w:rsid w:val="009E54A1"/>
    <w:rsid w:val="009F4E25"/>
    <w:rsid w:val="009F5B1F"/>
    <w:rsid w:val="00A13F76"/>
    <w:rsid w:val="00A225A9"/>
    <w:rsid w:val="00A22B34"/>
    <w:rsid w:val="00A3308E"/>
    <w:rsid w:val="00A35DFD"/>
    <w:rsid w:val="00A673F6"/>
    <w:rsid w:val="00A702DF"/>
    <w:rsid w:val="00A73EAF"/>
    <w:rsid w:val="00A775A3"/>
    <w:rsid w:val="00A81700"/>
    <w:rsid w:val="00A81B5B"/>
    <w:rsid w:val="00A82FAD"/>
    <w:rsid w:val="00A96484"/>
    <w:rsid w:val="00A9673A"/>
    <w:rsid w:val="00A96EF2"/>
    <w:rsid w:val="00AA5C35"/>
    <w:rsid w:val="00AA5ED9"/>
    <w:rsid w:val="00AB5CFA"/>
    <w:rsid w:val="00AC0A38"/>
    <w:rsid w:val="00AC1063"/>
    <w:rsid w:val="00AC246E"/>
    <w:rsid w:val="00AC4E0E"/>
    <w:rsid w:val="00AC517B"/>
    <w:rsid w:val="00AD0D19"/>
    <w:rsid w:val="00AD4184"/>
    <w:rsid w:val="00AF051B"/>
    <w:rsid w:val="00B037A2"/>
    <w:rsid w:val="00B06ABC"/>
    <w:rsid w:val="00B1771B"/>
    <w:rsid w:val="00B235D5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24A"/>
    <w:rsid w:val="00B867D8"/>
    <w:rsid w:val="00BA6350"/>
    <w:rsid w:val="00BB4E29"/>
    <w:rsid w:val="00BB74C9"/>
    <w:rsid w:val="00BC3AB6"/>
    <w:rsid w:val="00BD19E8"/>
    <w:rsid w:val="00BD4273"/>
    <w:rsid w:val="00C31ED8"/>
    <w:rsid w:val="00C432E4"/>
    <w:rsid w:val="00C51A82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6E8"/>
    <w:rsid w:val="00D46CB1"/>
    <w:rsid w:val="00D723F0"/>
    <w:rsid w:val="00D8133F"/>
    <w:rsid w:val="00D861EE"/>
    <w:rsid w:val="00D92743"/>
    <w:rsid w:val="00D951C3"/>
    <w:rsid w:val="00D95B05"/>
    <w:rsid w:val="00D97E2D"/>
    <w:rsid w:val="00DA103D"/>
    <w:rsid w:val="00DA45D3"/>
    <w:rsid w:val="00DA4772"/>
    <w:rsid w:val="00DA7B44"/>
    <w:rsid w:val="00DB119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1DDB"/>
    <w:rsid w:val="00E94CD9"/>
    <w:rsid w:val="00E94DB0"/>
    <w:rsid w:val="00E971B8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3B61"/>
    <w:rsid w:val="00F61155"/>
    <w:rsid w:val="00F6781B"/>
    <w:rsid w:val="00F708E3"/>
    <w:rsid w:val="00F76561"/>
    <w:rsid w:val="00F84736"/>
    <w:rsid w:val="00FC6C29"/>
    <w:rsid w:val="00FD3785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888DD3A-D11B-4E65-B58B-31EAEAC0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EA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F54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4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events/2021/01/january-2021-open-commission-meeti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