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F48C7" w:rsidRPr="00460F8B" w:rsidP="00460F8B">
      <w:pPr>
        <w:rPr>
          <w:b/>
          <w:sz w:val="28"/>
          <w:szCs w:val="22"/>
        </w:rPr>
      </w:pPr>
      <w:bookmarkStart w:id="0" w:name="_GoBack"/>
      <w:bookmarkEnd w:id="0"/>
      <w:r w:rsidRPr="00B20363">
        <w:rPr>
          <w:b/>
          <w:sz w:val="24"/>
        </w:rPr>
        <w:t>Report No.</w:t>
      </w:r>
      <w:r w:rsidR="00682EEF">
        <w:rPr>
          <w:b/>
          <w:sz w:val="24"/>
        </w:rPr>
        <w:t xml:space="preserve"> 3168</w:t>
      </w:r>
      <w:r w:rsidR="0056260A">
        <w:rPr>
          <w:b/>
          <w:sz w:val="24"/>
        </w:rPr>
        <w:tab/>
      </w:r>
      <w:r w:rsidR="0056260A">
        <w:rPr>
          <w:b/>
          <w:sz w:val="24"/>
        </w:rPr>
        <w:tab/>
      </w:r>
      <w:r w:rsidR="0056260A">
        <w:rPr>
          <w:b/>
          <w:sz w:val="24"/>
        </w:rPr>
        <w:tab/>
      </w:r>
      <w:r w:rsidR="00682EEF">
        <w:rPr>
          <w:b/>
          <w:sz w:val="24"/>
        </w:rPr>
        <w:t xml:space="preserve">                            </w:t>
      </w:r>
      <w:r>
        <w:rPr>
          <w:b/>
          <w:sz w:val="24"/>
        </w:rPr>
        <w:tab/>
      </w:r>
      <w:r>
        <w:rPr>
          <w:b/>
          <w:sz w:val="24"/>
        </w:rPr>
        <w:tab/>
      </w:r>
      <w:r>
        <w:rPr>
          <w:b/>
          <w:sz w:val="24"/>
        </w:rPr>
        <w:t xml:space="preserve">Released:  </w:t>
      </w:r>
      <w:r w:rsidR="0056260A">
        <w:rPr>
          <w:b/>
          <w:sz w:val="24"/>
        </w:rPr>
        <w:t xml:space="preserve">January </w:t>
      </w:r>
      <w:r w:rsidR="00682EEF">
        <w:rPr>
          <w:b/>
          <w:sz w:val="24"/>
        </w:rPr>
        <w:t>14</w:t>
      </w:r>
      <w:r w:rsidR="0056260A">
        <w:rPr>
          <w:b/>
          <w:sz w:val="24"/>
        </w:rPr>
        <w:t>, 2021</w:t>
      </w:r>
    </w:p>
    <w:p w:rsidR="00013A8B" w:rsidP="00013A8B">
      <w:pPr>
        <w:jc w:val="right"/>
        <w:rPr>
          <w:sz w:val="24"/>
        </w:rPr>
      </w:pPr>
    </w:p>
    <w:p w:rsidR="00F96F63" w:rsidP="002A6C07">
      <w:pPr>
        <w:jc w:val="center"/>
        <w:rPr>
          <w:rFonts w:ascii="Times New Roman Bold" w:hAnsi="Times New Roman Bold"/>
          <w:b/>
          <w:caps/>
          <w:sz w:val="24"/>
        </w:rPr>
      </w:pPr>
      <w:r>
        <w:rPr>
          <w:rFonts w:ascii="Times New Roman Bold" w:hAnsi="Times New Roman Bold"/>
          <w:b/>
          <w:caps/>
          <w:sz w:val="24"/>
        </w:rPr>
        <w:t>Petition for reconsideration of action in proceedings</w:t>
      </w:r>
    </w:p>
    <w:p w:rsidR="002A6C07" w:rsidRPr="0056260A" w:rsidP="002A6C07">
      <w:pPr>
        <w:jc w:val="center"/>
        <w:rPr>
          <w:rFonts w:ascii="Times New Roman Bold" w:hAnsi="Times New Roman Bold"/>
          <w:b/>
          <w:caps/>
          <w:sz w:val="24"/>
        </w:rPr>
      </w:pPr>
    </w:p>
    <w:p w:rsidR="00BA4337" w:rsidP="00BA4337">
      <w:pPr>
        <w:rPr>
          <w:sz w:val="24"/>
          <w:szCs w:val="24"/>
        </w:rPr>
      </w:pPr>
      <w:r>
        <w:rPr>
          <w:sz w:val="24"/>
          <w:szCs w:val="24"/>
        </w:rPr>
        <w:t>A Petition for Reconsideration has been filed in the Commission’s proceeding listed in this Public Notice and published pursuant to 47 CFR Section 1.429(e).  The full text of this document is available for viewing on the EC</w:t>
      </w:r>
      <w:r w:rsidR="005F5D3B">
        <w:rPr>
          <w:sz w:val="24"/>
          <w:szCs w:val="24"/>
        </w:rPr>
        <w:t>F</w:t>
      </w:r>
      <w:r>
        <w:rPr>
          <w:sz w:val="24"/>
          <w:szCs w:val="24"/>
        </w:rPr>
        <w:t xml:space="preserve">S database, </w:t>
      </w:r>
      <w:hyperlink r:id="rId4" w:history="1">
        <w:r w:rsidRPr="00E06706">
          <w:rPr>
            <w:rStyle w:val="Hyperlink"/>
            <w:sz w:val="24"/>
            <w:szCs w:val="24"/>
          </w:rPr>
          <w:t>https://www.fcc.gov/ecfs/</w:t>
        </w:r>
      </w:hyperlink>
      <w:r>
        <w:rPr>
          <w:sz w:val="24"/>
          <w:szCs w:val="24"/>
        </w:rPr>
        <w:t xml:space="preserve">.  Oppositions to the petition must be filed within 15 days of the date of publication of this public notice in the Federal Register.  </w:t>
      </w:r>
      <w:r w:rsidRPr="001D35EF">
        <w:rPr>
          <w:i/>
          <w:iCs/>
          <w:sz w:val="24"/>
          <w:szCs w:val="24"/>
        </w:rPr>
        <w:t>See</w:t>
      </w:r>
      <w:r>
        <w:rPr>
          <w:sz w:val="24"/>
          <w:szCs w:val="24"/>
        </w:rPr>
        <w:t xml:space="preserve"> Section 1.4(b)(1) of the Commission’s rules (47 CFR § 1.4(b)(1)).  Replies to an opposition must be filed within 10 days after the time for filing Oppositions has expired.</w:t>
      </w:r>
    </w:p>
    <w:p w:rsidR="00BA4337" w:rsidP="00BA4337">
      <w:pPr>
        <w:pBdr>
          <w:bottom w:val="single" w:sz="4" w:space="1" w:color="auto"/>
        </w:pBdr>
        <w:autoSpaceDE w:val="0"/>
        <w:autoSpaceDN w:val="0"/>
        <w:adjustRightInd w:val="0"/>
        <w:rPr>
          <w:rFonts w:ascii="TimesNewRomanPSMT" w:hAnsi="TimesNewRomanPSMT" w:cs="TimesNewRomanPSMT"/>
          <w:sz w:val="24"/>
          <w:szCs w:val="24"/>
        </w:rPr>
      </w:pPr>
    </w:p>
    <w:p w:rsidR="005F5D3B" w:rsidRPr="005F5D3B" w:rsidP="00BA4337">
      <w:pPr>
        <w:autoSpaceDE w:val="0"/>
        <w:autoSpaceDN w:val="0"/>
        <w:adjustRightInd w:val="0"/>
        <w:rPr>
          <w:rFonts w:ascii="TimesNewRomanPS-BoldMT" w:hAnsi="TimesNewRomanPS-BoldMT" w:cs="TimesNewRomanPS-BoldMT"/>
          <w:b/>
          <w:bCs/>
          <w:sz w:val="20"/>
        </w:rPr>
      </w:pPr>
    </w:p>
    <w:p w:rsidR="00BA4337" w:rsidP="00BA4337">
      <w:pP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Subject</w:t>
      </w:r>
      <w:r>
        <w:rPr>
          <w:rFonts w:ascii="TimesNewRomanPSMT" w:hAnsi="TimesNewRomanPSMT" w:cs="TimesNewRomanPSMT"/>
          <w:sz w:val="24"/>
          <w:szCs w:val="24"/>
        </w:rPr>
        <w:t>: - Implementation of State and Local Governments’ Obligation to Approve Certain Wireless Facility Modification Requests Under Section 6409(a) of the Spectrum Act of 2012 (WT Docket No. 19-250</w:t>
      </w:r>
      <w:r w:rsidR="00460F8B">
        <w:rPr>
          <w:rFonts w:ascii="TimesNewRomanPSMT" w:hAnsi="TimesNewRomanPSMT" w:cs="TimesNewRomanPSMT"/>
          <w:sz w:val="24"/>
          <w:szCs w:val="24"/>
        </w:rPr>
        <w:t xml:space="preserve"> and RM-11849</w:t>
      </w:r>
      <w:r>
        <w:rPr>
          <w:rFonts w:ascii="TimesNewRomanPSMT" w:hAnsi="TimesNewRomanPSMT" w:cs="TimesNewRomanPSMT"/>
          <w:sz w:val="24"/>
          <w:szCs w:val="24"/>
        </w:rPr>
        <w:t>)</w:t>
      </w:r>
    </w:p>
    <w:p w:rsidR="00BA4337" w:rsidP="00BA4337">
      <w:pPr>
        <w:autoSpaceDE w:val="0"/>
        <w:autoSpaceDN w:val="0"/>
        <w:adjustRightInd w:val="0"/>
        <w:rPr>
          <w:rFonts w:ascii="TimesNewRomanPSMT" w:hAnsi="TimesNewRomanPSMT" w:cs="TimesNewRomanPSMT"/>
          <w:sz w:val="24"/>
          <w:szCs w:val="24"/>
        </w:rPr>
      </w:pPr>
    </w:p>
    <w:p w:rsidR="00BA4337" w:rsidP="00BA4337">
      <w:pPr>
        <w:pBdr>
          <w:bottom w:val="single" w:sz="4" w:space="1" w:color="auto"/>
        </w:pBd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Filed By</w:t>
      </w:r>
      <w:r>
        <w:rPr>
          <w:rFonts w:ascii="TimesNewRomanPSMT" w:hAnsi="TimesNewRomanPSMT" w:cs="TimesNewRomanPSMT"/>
          <w:sz w:val="24"/>
          <w:szCs w:val="24"/>
        </w:rPr>
        <w:t xml:space="preserve">: </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Gerard Lavery Lederer and Nancy L. Werner, on behalf of Local Governments and National Association of Telecommunications Officers and Advisors (“NATOA”) (Filed January 4, 2021)</w:t>
      </w:r>
    </w:p>
    <w:p w:rsidR="005F5D3B" w:rsidRPr="005F5D3B" w:rsidP="00BA4337">
      <w:pPr>
        <w:pBdr>
          <w:bottom w:val="single" w:sz="4" w:space="1" w:color="auto"/>
        </w:pBdr>
        <w:autoSpaceDE w:val="0"/>
        <w:autoSpaceDN w:val="0"/>
        <w:adjustRightInd w:val="0"/>
        <w:rPr>
          <w:rFonts w:ascii="TimesNewRomanPSMT" w:hAnsi="TimesNewRomanPSMT" w:cs="TimesNewRomanPSMT"/>
          <w:sz w:val="20"/>
        </w:rPr>
      </w:pPr>
    </w:p>
    <w:p w:rsidR="00930ECF" w:rsidP="00F96F63">
      <w:pPr>
        <w:rPr>
          <w:sz w:val="24"/>
        </w:rPr>
      </w:pPr>
    </w:p>
    <w:p w:rsidR="002A6C07" w:rsidP="00F96F63">
      <w:pPr>
        <w:rPr>
          <w:sz w:val="24"/>
        </w:rPr>
      </w:pPr>
    </w:p>
    <w:p w:rsidR="002A6C07" w:rsidRPr="00930ECF" w:rsidP="002A6C07">
      <w:pPr>
        <w:jc w:val="center"/>
        <w:rPr>
          <w:sz w:val="24"/>
        </w:rPr>
      </w:pPr>
      <w:r w:rsidRPr="002A6C07">
        <w:rPr>
          <w:sz w:val="24"/>
        </w:rPr>
        <w:t>-</w:t>
      </w:r>
      <w:r>
        <w:rPr>
          <w:sz w:val="24"/>
        </w:rPr>
        <w:t xml:space="preserve"> FCC -</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pPr>
                            <w:rPr>
                              <w:rFonts w:ascii="Arial" w:hAnsi="Arial"/>
                              <w:b/>
                              <w:snapToGrid/>
                            </w:rPr>
                          </w:pPr>
                          <w:r>
                            <w:rPr>
                              <w:rFonts w:ascii="Arial" w:hAnsi="Arial"/>
                              <w:b/>
                            </w:rPr>
                            <w:t>Federal Communications Commission</w:t>
                          </w:r>
                        </w:p>
                        <w:p w:rsidR="00DE0AB8" w:rsidP="00DE0AB8">
                          <w:pPr>
                            <w:rPr>
                              <w:rFonts w:ascii="Arial" w:hAnsi="Arial"/>
                              <w:b/>
                            </w:rPr>
                          </w:pPr>
                          <w:r>
                            <w:rPr>
                              <w:rFonts w:ascii="Arial" w:hAnsi="Arial"/>
                              <w:b/>
                            </w:rPr>
                            <w:t>45 L Street NE</w:t>
                          </w:r>
                        </w:p>
                        <w:p w:rsidR="009838BC" w:rsidP="00DE0AB8">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pPr>
                      <w:rPr>
                        <w:rFonts w:ascii="Arial" w:hAnsi="Arial"/>
                        <w:b/>
                        <w:snapToGrid/>
                      </w:rPr>
                    </w:pPr>
                    <w:r>
                      <w:rPr>
                        <w:rFonts w:ascii="Arial" w:hAnsi="Arial"/>
                        <w:b/>
                      </w:rPr>
                      <w:t>Federal Communications Commission</w:t>
                    </w:r>
                  </w:p>
                  <w:p w:rsidR="00DE0AB8" w:rsidP="00DE0AB8">
                    <w:pPr>
                      <w:rPr>
                        <w:rFonts w:ascii="Arial" w:hAnsi="Arial"/>
                        <w:b/>
                      </w:rPr>
                    </w:pPr>
                    <w:r>
                      <w:rPr>
                        <w:rFonts w:ascii="Arial" w:hAnsi="Arial"/>
                        <w:b/>
                      </w:rPr>
                      <w:t>45 L Street NE</w:t>
                    </w:r>
                  </w:p>
                  <w:p w:rsidR="009838BC" w:rsidP="00DE0AB8">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9520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2A395C"/>
    <w:multiLevelType w:val="hybridMultilevel"/>
    <w:tmpl w:val="46CEBE9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010752D"/>
    <w:multiLevelType w:val="hybridMultilevel"/>
    <w:tmpl w:val="0672800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37"/>
    <w:rsid w:val="000072CE"/>
    <w:rsid w:val="00013A8B"/>
    <w:rsid w:val="00021445"/>
    <w:rsid w:val="00036039"/>
    <w:rsid w:val="00037F90"/>
    <w:rsid w:val="000875BF"/>
    <w:rsid w:val="00096D8C"/>
    <w:rsid w:val="000C0B65"/>
    <w:rsid w:val="000E3D42"/>
    <w:rsid w:val="000E5884"/>
    <w:rsid w:val="00122BD5"/>
    <w:rsid w:val="001979D9"/>
    <w:rsid w:val="001D35EF"/>
    <w:rsid w:val="001D6BCF"/>
    <w:rsid w:val="001E01CA"/>
    <w:rsid w:val="002060D9"/>
    <w:rsid w:val="00223E7E"/>
    <w:rsid w:val="00226822"/>
    <w:rsid w:val="00260594"/>
    <w:rsid w:val="00285017"/>
    <w:rsid w:val="002A2D2E"/>
    <w:rsid w:val="002A6C07"/>
    <w:rsid w:val="002F5E1F"/>
    <w:rsid w:val="00336B29"/>
    <w:rsid w:val="00343749"/>
    <w:rsid w:val="00357D50"/>
    <w:rsid w:val="003925DC"/>
    <w:rsid w:val="003B0550"/>
    <w:rsid w:val="003B694F"/>
    <w:rsid w:val="003F171C"/>
    <w:rsid w:val="00412FC5"/>
    <w:rsid w:val="00422276"/>
    <w:rsid w:val="004242F1"/>
    <w:rsid w:val="00445A00"/>
    <w:rsid w:val="00451B0F"/>
    <w:rsid w:val="00460F8B"/>
    <w:rsid w:val="0046125F"/>
    <w:rsid w:val="00487524"/>
    <w:rsid w:val="00491E3A"/>
    <w:rsid w:val="00496106"/>
    <w:rsid w:val="004C12D0"/>
    <w:rsid w:val="004C2EE3"/>
    <w:rsid w:val="004E4A22"/>
    <w:rsid w:val="00511968"/>
    <w:rsid w:val="0055614C"/>
    <w:rsid w:val="0056260A"/>
    <w:rsid w:val="005F5D3B"/>
    <w:rsid w:val="00607BA5"/>
    <w:rsid w:val="00625B02"/>
    <w:rsid w:val="00626EB6"/>
    <w:rsid w:val="006353A3"/>
    <w:rsid w:val="00655D03"/>
    <w:rsid w:val="00682EEF"/>
    <w:rsid w:val="00683F84"/>
    <w:rsid w:val="006A6A81"/>
    <w:rsid w:val="006E26AF"/>
    <w:rsid w:val="006F7393"/>
    <w:rsid w:val="0070224F"/>
    <w:rsid w:val="007115F7"/>
    <w:rsid w:val="007651EB"/>
    <w:rsid w:val="00785689"/>
    <w:rsid w:val="0079754B"/>
    <w:rsid w:val="007A1E6D"/>
    <w:rsid w:val="008201B5"/>
    <w:rsid w:val="00822CE0"/>
    <w:rsid w:val="00837C62"/>
    <w:rsid w:val="00841AB1"/>
    <w:rsid w:val="008C22FD"/>
    <w:rsid w:val="008D2C9B"/>
    <w:rsid w:val="00910F12"/>
    <w:rsid w:val="00926503"/>
    <w:rsid w:val="00930ECF"/>
    <w:rsid w:val="009838BC"/>
    <w:rsid w:val="00A42490"/>
    <w:rsid w:val="00A45F4F"/>
    <w:rsid w:val="00A600A9"/>
    <w:rsid w:val="00A866AC"/>
    <w:rsid w:val="00AA55B7"/>
    <w:rsid w:val="00AA5B9E"/>
    <w:rsid w:val="00AB2407"/>
    <w:rsid w:val="00AB53DF"/>
    <w:rsid w:val="00B07E5C"/>
    <w:rsid w:val="00B20363"/>
    <w:rsid w:val="00B326E3"/>
    <w:rsid w:val="00B811F7"/>
    <w:rsid w:val="00BA4337"/>
    <w:rsid w:val="00BA5DC6"/>
    <w:rsid w:val="00BA6196"/>
    <w:rsid w:val="00BC6D8C"/>
    <w:rsid w:val="00BF48C7"/>
    <w:rsid w:val="00C16AF2"/>
    <w:rsid w:val="00C34006"/>
    <w:rsid w:val="00C426B1"/>
    <w:rsid w:val="00C82B6B"/>
    <w:rsid w:val="00C90D6A"/>
    <w:rsid w:val="00CC72B6"/>
    <w:rsid w:val="00D0218D"/>
    <w:rsid w:val="00D216CD"/>
    <w:rsid w:val="00DA2529"/>
    <w:rsid w:val="00DB130A"/>
    <w:rsid w:val="00DC10A1"/>
    <w:rsid w:val="00DC655F"/>
    <w:rsid w:val="00DD7EBD"/>
    <w:rsid w:val="00DE0AB8"/>
    <w:rsid w:val="00DF62B6"/>
    <w:rsid w:val="00E06706"/>
    <w:rsid w:val="00E07225"/>
    <w:rsid w:val="00E155B7"/>
    <w:rsid w:val="00E46FCD"/>
    <w:rsid w:val="00E5409F"/>
    <w:rsid w:val="00EC0185"/>
    <w:rsid w:val="00F021FA"/>
    <w:rsid w:val="00F21DF2"/>
    <w:rsid w:val="00F51936"/>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E0750A4-9909-44F6-86E3-4614B57A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