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Ind w:w="-180" w:type="dxa"/>
        <w:tblLook w:val="0000"/>
      </w:tblPr>
      <w:tblGrid>
        <w:gridCol w:w="8820"/>
      </w:tblGrid>
      <w:tr w14:paraId="40A8AB04" w14:textId="77777777" w:rsidTr="35152DB7">
        <w:tblPrEx>
          <w:tblW w:w="0" w:type="auto"/>
          <w:tblInd w:w="-180" w:type="dxa"/>
          <w:tblLook w:val="0000"/>
        </w:tblPrEx>
        <w:trPr>
          <w:trHeight w:val="2181"/>
        </w:trPr>
        <w:tc>
          <w:tcPr>
            <w:tcW w:w="8820" w:type="dxa"/>
          </w:tcPr>
          <w:p w:rsidR="00426518" w:rsidRPr="004A729A" w:rsidP="70D11E32" w14:paraId="2BCA2D29" w14:textId="281714BB">
            <w:pPr>
              <w:rPr>
                <w:b/>
                <w:bCs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AF2E25"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892459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 w14:paraId="063341A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70D11E32" w14:paraId="77699F1E" w14:textId="399B2AC2">
            <w:pPr>
              <w:rPr>
                <w:sz w:val="22"/>
                <w:szCs w:val="22"/>
              </w:rPr>
            </w:pPr>
            <w:r w:rsidRPr="70D11E32">
              <w:rPr>
                <w:sz w:val="22"/>
                <w:szCs w:val="22"/>
              </w:rPr>
              <w:t>Anne Veigle</w:t>
            </w:r>
            <w:r w:rsidRPr="70D11E32" w:rsidR="00AF2E25">
              <w:rPr>
                <w:sz w:val="22"/>
                <w:szCs w:val="22"/>
              </w:rPr>
              <w:t xml:space="preserve">, </w:t>
            </w:r>
            <w:r w:rsidRPr="70D11E32" w:rsidR="00AC0A38">
              <w:rPr>
                <w:sz w:val="22"/>
                <w:szCs w:val="22"/>
              </w:rPr>
              <w:t>(</w:t>
            </w:r>
            <w:r w:rsidRPr="70D11E32" w:rsidR="00AF2E25">
              <w:rPr>
                <w:sz w:val="22"/>
                <w:szCs w:val="22"/>
              </w:rPr>
              <w:t>202</w:t>
            </w:r>
            <w:r w:rsidRPr="70D11E32" w:rsidR="00AC0A38">
              <w:rPr>
                <w:sz w:val="22"/>
                <w:szCs w:val="22"/>
              </w:rPr>
              <w:t xml:space="preserve">) </w:t>
            </w:r>
            <w:r w:rsidRPr="70D11E32" w:rsidR="00AF2E25">
              <w:rPr>
                <w:sz w:val="22"/>
                <w:szCs w:val="22"/>
              </w:rPr>
              <w:t>418-0</w:t>
            </w:r>
            <w:r w:rsidRPr="70D11E32" w:rsidR="56D2342F">
              <w:rPr>
                <w:sz w:val="22"/>
                <w:szCs w:val="22"/>
              </w:rPr>
              <w:t>506</w:t>
            </w:r>
          </w:p>
          <w:p w:rsidR="00FF232D" w:rsidRPr="008A3940" w:rsidP="70D11E32" w14:paraId="2A0A35BD" w14:textId="2D66F97C">
            <w:pPr>
              <w:rPr>
                <w:sz w:val="22"/>
                <w:szCs w:val="22"/>
              </w:rPr>
            </w:pPr>
            <w:r w:rsidRPr="70D11E32">
              <w:rPr>
                <w:sz w:val="22"/>
                <w:szCs w:val="22"/>
              </w:rPr>
              <w:t>anne.veigle</w:t>
            </w:r>
            <w:r w:rsidRPr="70D11E32" w:rsidR="007A44F8">
              <w:rPr>
                <w:sz w:val="22"/>
                <w:szCs w:val="22"/>
              </w:rPr>
              <w:t>@fcc.gov</w:t>
            </w:r>
          </w:p>
          <w:p w:rsidR="007A44F8" w:rsidRPr="008A3940" w:rsidP="00BB4E29" w14:paraId="64BC66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AB9251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5E4B0A" w:rsidP="004278DB" w14:paraId="147A8C73" w14:textId="2E457035">
            <w:pPr>
              <w:tabs>
                <w:tab w:val="left" w:pos="8625"/>
              </w:tabs>
              <w:rPr>
                <w:b/>
                <w:bCs/>
                <w:sz w:val="26"/>
                <w:szCs w:val="26"/>
              </w:rPr>
            </w:pPr>
            <w:r w:rsidRPr="4CB210C1">
              <w:rPr>
                <w:b/>
                <w:bCs/>
                <w:sz w:val="26"/>
                <w:szCs w:val="26"/>
              </w:rPr>
              <w:t xml:space="preserve"> </w:t>
            </w:r>
          </w:p>
          <w:p w:rsidR="005E4B0A" w:rsidP="006A15BC" w14:paraId="433CAB89" w14:textId="55427CD4">
            <w:pPr>
              <w:jc w:val="center"/>
              <w:rPr>
                <w:b/>
                <w:bCs/>
                <w:sz w:val="26"/>
                <w:szCs w:val="26"/>
              </w:rPr>
            </w:pPr>
            <w:r w:rsidRPr="4CB210C1">
              <w:rPr>
                <w:b/>
                <w:bCs/>
                <w:sz w:val="26"/>
                <w:szCs w:val="26"/>
              </w:rPr>
              <w:t xml:space="preserve">FCC </w:t>
            </w:r>
            <w:r w:rsidR="00091B19">
              <w:rPr>
                <w:b/>
                <w:bCs/>
                <w:sz w:val="26"/>
                <w:szCs w:val="26"/>
              </w:rPr>
              <w:t xml:space="preserve">RELEASES </w:t>
            </w:r>
            <w:r w:rsidRPr="4CB210C1" w:rsidR="00AF2E25">
              <w:rPr>
                <w:b/>
                <w:bCs/>
                <w:sz w:val="26"/>
                <w:szCs w:val="26"/>
              </w:rPr>
              <w:t>PAPER</w:t>
            </w:r>
            <w:r w:rsidR="00305028">
              <w:rPr>
                <w:b/>
                <w:bCs/>
                <w:sz w:val="26"/>
                <w:szCs w:val="26"/>
              </w:rPr>
              <w:t xml:space="preserve"> ANALYZ</w:t>
            </w:r>
            <w:r w:rsidR="00091B19">
              <w:rPr>
                <w:b/>
                <w:bCs/>
                <w:sz w:val="26"/>
                <w:szCs w:val="26"/>
              </w:rPr>
              <w:t>ING</w:t>
            </w:r>
            <w:r w:rsidR="00305028">
              <w:rPr>
                <w:b/>
                <w:bCs/>
                <w:sz w:val="26"/>
                <w:szCs w:val="26"/>
              </w:rPr>
              <w:t xml:space="preserve"> </w:t>
            </w:r>
            <w:r w:rsidRPr="4CB210C1" w:rsidR="005B3E18">
              <w:rPr>
                <w:b/>
                <w:bCs/>
                <w:sz w:val="26"/>
                <w:szCs w:val="26"/>
              </w:rPr>
              <w:t xml:space="preserve">LOCAL TELEVISION NEWS </w:t>
            </w:r>
            <w:r w:rsidR="00305028">
              <w:rPr>
                <w:b/>
                <w:bCs/>
                <w:sz w:val="26"/>
                <w:szCs w:val="26"/>
              </w:rPr>
              <w:t xml:space="preserve">OPERATIONS MEASURED AGAINST </w:t>
            </w:r>
            <w:r w:rsidRPr="4CB210C1" w:rsidR="005B3E18">
              <w:rPr>
                <w:b/>
                <w:bCs/>
                <w:sz w:val="26"/>
                <w:szCs w:val="26"/>
              </w:rPr>
              <w:t>MARKET</w:t>
            </w:r>
            <w:r w:rsidR="00305028">
              <w:rPr>
                <w:b/>
                <w:bCs/>
                <w:sz w:val="26"/>
                <w:szCs w:val="26"/>
              </w:rPr>
              <w:t xml:space="preserve"> SIZE</w:t>
            </w:r>
          </w:p>
          <w:p w:rsidR="002F2596" w:rsidRPr="002F2596" w:rsidP="006A15BC" w14:paraId="71B86DB0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BB37A4" w:rsidRPr="0098782D" w:rsidP="00FB42B7" w14:paraId="47032CC4" w14:textId="2B7ACE7C">
            <w:pPr>
              <w:rPr>
                <w:sz w:val="22"/>
                <w:szCs w:val="22"/>
              </w:rPr>
            </w:pPr>
            <w:r w:rsidRPr="0098782D">
              <w:rPr>
                <w:sz w:val="22"/>
                <w:szCs w:val="22"/>
              </w:rPr>
              <w:t xml:space="preserve">WASHINGTON, </w:t>
            </w:r>
            <w:r w:rsidRPr="0098782D" w:rsidR="088140BF">
              <w:rPr>
                <w:sz w:val="22"/>
                <w:szCs w:val="22"/>
              </w:rPr>
              <w:t>January 1</w:t>
            </w:r>
            <w:r w:rsidR="00166F1E">
              <w:rPr>
                <w:sz w:val="22"/>
                <w:szCs w:val="22"/>
              </w:rPr>
              <w:t>5</w:t>
            </w:r>
            <w:r w:rsidRPr="0098782D" w:rsidR="00F45504">
              <w:rPr>
                <w:sz w:val="22"/>
                <w:szCs w:val="22"/>
              </w:rPr>
              <w:t>, 202</w:t>
            </w:r>
            <w:r w:rsidRPr="0098782D" w:rsidR="3F759607">
              <w:rPr>
                <w:sz w:val="22"/>
                <w:szCs w:val="22"/>
              </w:rPr>
              <w:t>1</w:t>
            </w:r>
            <w:r w:rsidRPr="0098782D" w:rsidR="00D861EE">
              <w:rPr>
                <w:sz w:val="22"/>
                <w:szCs w:val="22"/>
              </w:rPr>
              <w:t>—</w:t>
            </w:r>
            <w:r w:rsidRPr="0098782D" w:rsidR="00541512">
              <w:rPr>
                <w:sz w:val="22"/>
                <w:szCs w:val="22"/>
              </w:rPr>
              <w:t>T</w:t>
            </w:r>
            <w:r w:rsidRPr="0098782D" w:rsidR="000E049E">
              <w:rPr>
                <w:sz w:val="22"/>
                <w:szCs w:val="22"/>
              </w:rPr>
              <w:t xml:space="preserve">he </w:t>
            </w:r>
            <w:r w:rsidRPr="0098782D" w:rsidR="001C3072">
              <w:rPr>
                <w:sz w:val="22"/>
                <w:szCs w:val="22"/>
              </w:rPr>
              <w:t xml:space="preserve">FCC’s Office of Economics and Analytics </w:t>
            </w:r>
            <w:r w:rsidRPr="0098782D" w:rsidR="005E654C">
              <w:rPr>
                <w:sz w:val="22"/>
                <w:szCs w:val="22"/>
              </w:rPr>
              <w:t>today</w:t>
            </w:r>
            <w:r w:rsidRPr="0098782D" w:rsidR="00EB4F33">
              <w:rPr>
                <w:sz w:val="22"/>
                <w:szCs w:val="22"/>
              </w:rPr>
              <w:t xml:space="preserve"> </w:t>
            </w:r>
            <w:r w:rsidRPr="0098782D" w:rsidR="00B34A81">
              <w:rPr>
                <w:sz w:val="22"/>
                <w:szCs w:val="22"/>
              </w:rPr>
              <w:t xml:space="preserve">released </w:t>
            </w:r>
            <w:r w:rsidRPr="0098782D" w:rsidR="00541512">
              <w:rPr>
                <w:sz w:val="22"/>
                <w:szCs w:val="22"/>
              </w:rPr>
              <w:t>a new paper titled “</w:t>
            </w:r>
            <w:r w:rsidRPr="0098782D" w:rsidR="005B3E18">
              <w:rPr>
                <w:sz w:val="22"/>
                <w:szCs w:val="22"/>
              </w:rPr>
              <w:t xml:space="preserve">Market </w:t>
            </w:r>
            <w:r w:rsidRPr="0098782D" w:rsidR="0EE7D723">
              <w:rPr>
                <w:sz w:val="22"/>
                <w:szCs w:val="22"/>
              </w:rPr>
              <w:t>Size</w:t>
            </w:r>
            <w:r w:rsidRPr="0098782D" w:rsidR="005B3E18">
              <w:rPr>
                <w:sz w:val="22"/>
                <w:szCs w:val="22"/>
              </w:rPr>
              <w:t xml:space="preserve"> and Local Television News.</w:t>
            </w:r>
            <w:r w:rsidRPr="0098782D">
              <w:rPr>
                <w:sz w:val="22"/>
                <w:szCs w:val="22"/>
              </w:rPr>
              <w:t xml:space="preserve">” </w:t>
            </w:r>
            <w:r w:rsidRPr="0098782D" w:rsidR="572E56BC">
              <w:rPr>
                <w:sz w:val="22"/>
                <w:szCs w:val="22"/>
              </w:rPr>
              <w:t xml:space="preserve"> </w:t>
            </w:r>
            <w:r w:rsidRPr="0098782D" w:rsidR="00E752BE">
              <w:rPr>
                <w:sz w:val="22"/>
                <w:szCs w:val="22"/>
              </w:rPr>
              <w:t>T</w:t>
            </w:r>
            <w:r w:rsidRPr="0098782D" w:rsidR="5FACAB09">
              <w:rPr>
                <w:sz w:val="22"/>
                <w:szCs w:val="22"/>
              </w:rPr>
              <w:t>his</w:t>
            </w:r>
            <w:r w:rsidRPr="0098782D" w:rsidR="572E56BC">
              <w:rPr>
                <w:sz w:val="22"/>
                <w:szCs w:val="22"/>
              </w:rPr>
              <w:t xml:space="preserve"> report</w:t>
            </w:r>
            <w:r w:rsidRPr="0098782D" w:rsidR="006A15BC">
              <w:rPr>
                <w:sz w:val="22"/>
                <w:szCs w:val="22"/>
              </w:rPr>
              <w:t xml:space="preserve"> </w:t>
            </w:r>
            <w:r w:rsidRPr="0098782D" w:rsidR="00843716">
              <w:rPr>
                <w:sz w:val="22"/>
                <w:szCs w:val="22"/>
              </w:rPr>
              <w:t>f</w:t>
            </w:r>
            <w:r w:rsidRPr="0098782D" w:rsidR="00D87DCF">
              <w:rPr>
                <w:sz w:val="22"/>
                <w:szCs w:val="22"/>
              </w:rPr>
              <w:t xml:space="preserve">ocuses on the relationship between the number of independent local television news operations in a market and </w:t>
            </w:r>
            <w:r w:rsidRPr="0098782D" w:rsidR="51D3FA82">
              <w:rPr>
                <w:sz w:val="22"/>
                <w:szCs w:val="22"/>
              </w:rPr>
              <w:t xml:space="preserve">the size of the </w:t>
            </w:r>
            <w:r w:rsidRPr="0098782D" w:rsidR="00D87DCF">
              <w:rPr>
                <w:sz w:val="22"/>
                <w:szCs w:val="22"/>
              </w:rPr>
              <w:t xml:space="preserve">market, </w:t>
            </w:r>
            <w:r w:rsidRPr="0098782D" w:rsidR="3F4CA7F5">
              <w:rPr>
                <w:sz w:val="22"/>
                <w:szCs w:val="22"/>
              </w:rPr>
              <w:t xml:space="preserve">as </w:t>
            </w:r>
            <w:r w:rsidRPr="0098782D" w:rsidR="00D87DCF">
              <w:rPr>
                <w:sz w:val="22"/>
                <w:szCs w:val="22"/>
              </w:rPr>
              <w:t>measured by number of television households</w:t>
            </w:r>
            <w:r w:rsidR="00305028">
              <w:rPr>
                <w:sz w:val="22"/>
                <w:szCs w:val="22"/>
              </w:rPr>
              <w:t>.  The paper is expected to help policymakers assess the state of competition, localism</w:t>
            </w:r>
            <w:r w:rsidR="004C677F">
              <w:rPr>
                <w:sz w:val="22"/>
                <w:szCs w:val="22"/>
              </w:rPr>
              <w:t>,</w:t>
            </w:r>
            <w:r w:rsidR="00305028">
              <w:rPr>
                <w:sz w:val="22"/>
                <w:szCs w:val="22"/>
              </w:rPr>
              <w:t xml:space="preserve"> and diversity in the media market.</w:t>
            </w:r>
          </w:p>
          <w:p w:rsidR="00D87DCF" w:rsidRPr="0098782D" w:rsidP="00FB42B7" w14:paraId="51A99943" w14:textId="726992BA">
            <w:pPr>
              <w:rPr>
                <w:sz w:val="22"/>
                <w:szCs w:val="22"/>
              </w:rPr>
            </w:pPr>
          </w:p>
          <w:p w:rsidR="00A110F8" w:rsidRPr="00FB42B7" w:rsidP="0098782D" w14:paraId="4D82FD73" w14:textId="74C51CA2">
            <w:pPr>
              <w:rPr>
                <w:sz w:val="22"/>
                <w:szCs w:val="22"/>
              </w:rPr>
            </w:pPr>
            <w:r w:rsidRPr="00FB42B7">
              <w:rPr>
                <w:sz w:val="22"/>
                <w:szCs w:val="22"/>
              </w:rPr>
              <w:t xml:space="preserve">“The Commission is called upon to review media ownership regulations every four years, and it is my hope that </w:t>
            </w:r>
            <w:r w:rsidR="00FC0D42">
              <w:rPr>
                <w:sz w:val="22"/>
                <w:szCs w:val="22"/>
              </w:rPr>
              <w:t>t</w:t>
            </w:r>
            <w:r w:rsidRPr="00FB42B7">
              <w:rPr>
                <w:sz w:val="22"/>
                <w:szCs w:val="22"/>
              </w:rPr>
              <w:t xml:space="preserve">his paper </w:t>
            </w:r>
            <w:r w:rsidR="00FC0D42">
              <w:rPr>
                <w:sz w:val="22"/>
                <w:szCs w:val="22"/>
              </w:rPr>
              <w:t>will be</w:t>
            </w:r>
            <w:r w:rsidRPr="00FB42B7" w:rsidR="00FC0D42">
              <w:rPr>
                <w:sz w:val="22"/>
                <w:szCs w:val="22"/>
              </w:rPr>
              <w:t xml:space="preserve"> </w:t>
            </w:r>
            <w:r w:rsidRPr="00FB42B7">
              <w:rPr>
                <w:sz w:val="22"/>
                <w:szCs w:val="22"/>
              </w:rPr>
              <w:t xml:space="preserve">a </w:t>
            </w:r>
            <w:r w:rsidRPr="0098782D">
              <w:rPr>
                <w:sz w:val="22"/>
                <w:szCs w:val="22"/>
              </w:rPr>
              <w:t>valuable input to that enterprise</w:t>
            </w:r>
            <w:r w:rsidRPr="0098782D" w:rsidR="3C1004C3">
              <w:rPr>
                <w:sz w:val="22"/>
                <w:szCs w:val="22"/>
              </w:rPr>
              <w:t>,</w:t>
            </w:r>
            <w:r w:rsidRPr="0098782D">
              <w:rPr>
                <w:sz w:val="22"/>
                <w:szCs w:val="22"/>
              </w:rPr>
              <w:t xml:space="preserve">” </w:t>
            </w:r>
            <w:r w:rsidRPr="0098782D" w:rsidR="0B78EA89">
              <w:rPr>
                <w:sz w:val="22"/>
                <w:szCs w:val="22"/>
              </w:rPr>
              <w:t>said FCC Chairman Ajit Pai.</w:t>
            </w:r>
            <w:r w:rsidR="00EA45F0">
              <w:rPr>
                <w:sz w:val="22"/>
                <w:szCs w:val="22"/>
              </w:rPr>
              <w:t xml:space="preserve">  “More generally, I’m pleased at this latest evidence that the Office of Economics and Analytics, which we created in 2018, has built a culture in which our economists are now able and willing to write white papers exploring important topics.”</w:t>
            </w:r>
          </w:p>
          <w:p w:rsidR="00A446AB" w:rsidRPr="0098782D" w:rsidP="0098782D" w14:paraId="5659AAEE" w14:textId="410A0BED">
            <w:pPr>
              <w:rPr>
                <w:sz w:val="22"/>
                <w:szCs w:val="22"/>
              </w:rPr>
            </w:pPr>
          </w:p>
          <w:p w:rsidR="00A110F8" w:rsidRPr="0098782D" w:rsidP="0098782D" w14:paraId="41F6CC5F" w14:textId="1C15B791">
            <w:pPr>
              <w:rPr>
                <w:sz w:val="22"/>
                <w:szCs w:val="22"/>
              </w:rPr>
            </w:pPr>
            <w:r w:rsidRPr="0098782D">
              <w:rPr>
                <w:sz w:val="22"/>
                <w:szCs w:val="22"/>
              </w:rPr>
              <w:t xml:space="preserve">The findings are relevant for the Commission’s Quadrennial Review of media ownership regulations, as well </w:t>
            </w:r>
            <w:r w:rsidRPr="0098782D" w:rsidR="6E629A92">
              <w:rPr>
                <w:sz w:val="22"/>
                <w:szCs w:val="22"/>
              </w:rPr>
              <w:t xml:space="preserve">as </w:t>
            </w:r>
            <w:r w:rsidRPr="0098782D">
              <w:rPr>
                <w:sz w:val="22"/>
                <w:szCs w:val="22"/>
              </w:rPr>
              <w:t xml:space="preserve">the evaluation of individual applications for local television station mergers.  FCC media ownership policy has three goals—competition, localism, and diversity—as </w:t>
            </w:r>
            <w:r w:rsidRPr="0098782D" w:rsidR="2D4306C1">
              <w:rPr>
                <w:sz w:val="22"/>
                <w:szCs w:val="22"/>
              </w:rPr>
              <w:t xml:space="preserve">outlined </w:t>
            </w:r>
            <w:r w:rsidRPr="0098782D">
              <w:rPr>
                <w:sz w:val="22"/>
                <w:szCs w:val="22"/>
              </w:rPr>
              <w:t xml:space="preserve">in the </w:t>
            </w:r>
            <w:r w:rsidR="00ED70EB">
              <w:rPr>
                <w:sz w:val="22"/>
                <w:szCs w:val="22"/>
              </w:rPr>
              <w:t>Notice of Proposed Rulemaking</w:t>
            </w:r>
            <w:r w:rsidRPr="0098782D" w:rsidR="00ED70EB">
              <w:rPr>
                <w:sz w:val="22"/>
                <w:szCs w:val="22"/>
              </w:rPr>
              <w:t xml:space="preserve"> </w:t>
            </w:r>
            <w:r w:rsidRPr="0098782D">
              <w:rPr>
                <w:sz w:val="22"/>
                <w:szCs w:val="22"/>
              </w:rPr>
              <w:t>that opened the current Quadrennial Review</w:t>
            </w:r>
            <w:r w:rsidR="00305028">
              <w:rPr>
                <w:sz w:val="22"/>
                <w:szCs w:val="22"/>
              </w:rPr>
              <w:t xml:space="preserve">.  </w:t>
            </w:r>
            <w:r w:rsidRPr="0098782D">
              <w:rPr>
                <w:sz w:val="22"/>
                <w:szCs w:val="22"/>
              </w:rPr>
              <w:t>Th</w:t>
            </w:r>
            <w:r w:rsidRPr="0098782D" w:rsidR="00CA78D0">
              <w:rPr>
                <w:sz w:val="22"/>
                <w:szCs w:val="22"/>
              </w:rPr>
              <w:t>e</w:t>
            </w:r>
            <w:r w:rsidRPr="0098782D">
              <w:rPr>
                <w:sz w:val="22"/>
                <w:szCs w:val="22"/>
              </w:rPr>
              <w:t xml:space="preserve"> analysis</w:t>
            </w:r>
            <w:r w:rsidRPr="0098782D" w:rsidR="00CA78D0">
              <w:rPr>
                <w:sz w:val="22"/>
                <w:szCs w:val="22"/>
              </w:rPr>
              <w:t xml:space="preserve"> in this paper</w:t>
            </w:r>
            <w:r w:rsidRPr="0098782D">
              <w:rPr>
                <w:sz w:val="22"/>
                <w:szCs w:val="22"/>
              </w:rPr>
              <w:t xml:space="preserve"> could help policymakers assess whether a market is likely to sustain the current number of local news operations or whether a proposed merger is likely to result in a favorable tradeoff of diversity for localism</w:t>
            </w:r>
            <w:r w:rsidRPr="0098782D" w:rsidR="00CA78D0">
              <w:rPr>
                <w:sz w:val="22"/>
                <w:szCs w:val="22"/>
              </w:rPr>
              <w:t>, an important complement to examination of the merger’s impact on competition.</w:t>
            </w:r>
          </w:p>
          <w:p w:rsidR="0029794E" w:rsidRPr="0098782D" w:rsidP="0098782D" w14:paraId="30B9803D" w14:textId="77777777">
            <w:pPr>
              <w:rPr>
                <w:sz w:val="22"/>
                <w:szCs w:val="22"/>
              </w:rPr>
            </w:pPr>
          </w:p>
          <w:p w:rsidR="0089257B" w:rsidRPr="0098782D" w:rsidP="0098782D" w14:paraId="5B51D429" w14:textId="7D70EA54">
            <w:pPr>
              <w:rPr>
                <w:sz w:val="22"/>
                <w:szCs w:val="22"/>
              </w:rPr>
            </w:pPr>
            <w:r w:rsidRPr="0098782D">
              <w:rPr>
                <w:sz w:val="22"/>
                <w:szCs w:val="22"/>
              </w:rPr>
              <w:t xml:space="preserve">The working paper was written by economist Kim </w:t>
            </w:r>
            <w:r w:rsidRPr="0098782D">
              <w:rPr>
                <w:sz w:val="22"/>
                <w:szCs w:val="22"/>
              </w:rPr>
              <w:t>Makuch</w:t>
            </w:r>
            <w:r w:rsidRPr="0098782D">
              <w:rPr>
                <w:sz w:val="22"/>
                <w:szCs w:val="22"/>
              </w:rPr>
              <w:t xml:space="preserve"> and </w:t>
            </w:r>
            <w:r w:rsidRPr="0098782D" w:rsidR="47EA36BF">
              <w:rPr>
                <w:sz w:val="22"/>
                <w:szCs w:val="22"/>
              </w:rPr>
              <w:t xml:space="preserve">former </w:t>
            </w:r>
            <w:r w:rsidRPr="0098782D">
              <w:rPr>
                <w:sz w:val="22"/>
                <w:szCs w:val="22"/>
              </w:rPr>
              <w:t>FCC Deputy Chief Economist</w:t>
            </w:r>
            <w:r w:rsidRPr="0098782D" w:rsidR="2957D853">
              <w:rPr>
                <w:sz w:val="22"/>
                <w:szCs w:val="22"/>
              </w:rPr>
              <w:t xml:space="preserve"> </w:t>
            </w:r>
            <w:r w:rsidRPr="0098782D">
              <w:rPr>
                <w:sz w:val="22"/>
                <w:szCs w:val="22"/>
              </w:rPr>
              <w:t>Jona</w:t>
            </w:r>
            <w:r w:rsidRPr="00FB42B7">
              <w:rPr>
                <w:sz w:val="22"/>
                <w:szCs w:val="22"/>
              </w:rPr>
              <w:t>than Levy.</w:t>
            </w:r>
            <w:r w:rsidRPr="00FB42B7" w:rsidR="0029794E">
              <w:rPr>
                <w:sz w:val="22"/>
                <w:szCs w:val="22"/>
              </w:rPr>
              <w:t xml:space="preserve"> </w:t>
            </w:r>
            <w:r w:rsidRPr="00FB42B7" w:rsidR="00A446AB">
              <w:rPr>
                <w:sz w:val="22"/>
                <w:szCs w:val="22"/>
              </w:rPr>
              <w:t xml:space="preserve"> “</w:t>
            </w:r>
            <w:r w:rsidRPr="0098782D" w:rsidR="0029794E">
              <w:rPr>
                <w:sz w:val="22"/>
                <w:szCs w:val="22"/>
              </w:rPr>
              <w:t xml:space="preserve">Kim and Jonathan’s work, the third OEA working paper released </w:t>
            </w:r>
            <w:r w:rsidRPr="0098782D" w:rsidR="12025976">
              <w:rPr>
                <w:sz w:val="22"/>
                <w:szCs w:val="22"/>
              </w:rPr>
              <w:t>since</w:t>
            </w:r>
            <w:r w:rsidRPr="0098782D" w:rsidR="0029794E">
              <w:rPr>
                <w:sz w:val="22"/>
                <w:szCs w:val="22"/>
              </w:rPr>
              <w:t xml:space="preserve"> December, demonstrates the breadth and versatility of economic analysis that the office provides to the agency,</w:t>
            </w:r>
            <w:r w:rsidRPr="0098782D" w:rsidR="00A446AB">
              <w:rPr>
                <w:sz w:val="22"/>
                <w:szCs w:val="22"/>
              </w:rPr>
              <w:t>”</w:t>
            </w:r>
            <w:r w:rsidRPr="0098782D" w:rsidR="0029794E">
              <w:rPr>
                <w:sz w:val="22"/>
                <w:szCs w:val="22"/>
              </w:rPr>
              <w:t xml:space="preserve"> </w:t>
            </w:r>
            <w:r w:rsidRPr="0098782D" w:rsidR="00D0B0D6">
              <w:rPr>
                <w:sz w:val="22"/>
                <w:szCs w:val="22"/>
              </w:rPr>
              <w:t xml:space="preserve">said </w:t>
            </w:r>
            <w:r w:rsidRPr="0098782D">
              <w:rPr>
                <w:sz w:val="22"/>
                <w:szCs w:val="22"/>
              </w:rPr>
              <w:t>OEA Chief Giulia McHenry.  “</w:t>
            </w:r>
            <w:r w:rsidRPr="0098782D" w:rsidR="0029794E">
              <w:rPr>
                <w:sz w:val="22"/>
                <w:szCs w:val="22"/>
              </w:rPr>
              <w:t xml:space="preserve">The </w:t>
            </w:r>
            <w:r w:rsidRPr="0098782D" w:rsidR="00A446AB">
              <w:rPr>
                <w:sz w:val="22"/>
                <w:szCs w:val="22"/>
              </w:rPr>
              <w:t>Commission</w:t>
            </w:r>
            <w:r w:rsidRPr="0098782D" w:rsidR="0029794E">
              <w:rPr>
                <w:sz w:val="22"/>
                <w:szCs w:val="22"/>
              </w:rPr>
              <w:t xml:space="preserve"> is called upon to make important tradeoffs among sometimes competing media ownership policy goals, and this paper provides it with an important tool for doing so.”</w:t>
            </w:r>
          </w:p>
          <w:p w:rsidR="0029794E" w:rsidRPr="0098782D" w:rsidP="0098782D" w14:paraId="25DC9E6E" w14:textId="77777777">
            <w:pPr>
              <w:rPr>
                <w:sz w:val="22"/>
                <w:szCs w:val="22"/>
              </w:rPr>
            </w:pPr>
          </w:p>
          <w:p w:rsidR="0089257B" w:rsidRPr="0098782D" w:rsidP="00FB42B7" w14:paraId="7F7E1950" w14:textId="25876AB9">
            <w:pPr>
              <w:rPr>
                <w:rStyle w:val="Hyperlink"/>
                <w:sz w:val="22"/>
                <w:szCs w:val="22"/>
              </w:rPr>
            </w:pPr>
            <w:r w:rsidRPr="0098782D">
              <w:rPr>
                <w:sz w:val="22"/>
                <w:szCs w:val="22"/>
              </w:rPr>
              <w:t>The paper is available at</w:t>
            </w:r>
            <w:r w:rsidR="00305028">
              <w:rPr>
                <w:sz w:val="22"/>
                <w:szCs w:val="22"/>
              </w:rPr>
              <w:t xml:space="preserve"> </w:t>
            </w:r>
            <w:hyperlink r:id="rId5" w:history="1">
              <w:r w:rsidRPr="003617A9" w:rsidR="009F0AF9">
                <w:rPr>
                  <w:rStyle w:val="Hyperlink"/>
                  <w:sz w:val="22"/>
                  <w:szCs w:val="22"/>
                </w:rPr>
                <w:t>https://docs.fcc.gov/public/attachments/DOC-369214A1.pdf</w:t>
              </w:r>
            </w:hyperlink>
            <w:r w:rsidRPr="0098782D">
              <w:rPr>
                <w:sz w:val="22"/>
                <w:szCs w:val="22"/>
              </w:rPr>
              <w:t xml:space="preserve">.  For more information about the Office of Economics and Analytics, see </w:t>
            </w:r>
            <w:hyperlink r:id="rId6" w:history="1">
              <w:r w:rsidRPr="0098782D">
                <w:rPr>
                  <w:rStyle w:val="Hyperlink"/>
                  <w:sz w:val="22"/>
                  <w:szCs w:val="22"/>
                </w:rPr>
                <w:t>https://www.fcc.gov/economics-and-analytics</w:t>
              </w:r>
            </w:hyperlink>
            <w:r w:rsidRPr="00FB42B7">
              <w:rPr>
                <w:sz w:val="22"/>
                <w:szCs w:val="22"/>
              </w:rPr>
              <w:t>.</w:t>
            </w:r>
          </w:p>
          <w:p w:rsidR="0089257B" w:rsidP="0089257B" w14:paraId="0226ECC4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9257B" w:rsidRPr="007475A1" w:rsidP="0089257B" w14:paraId="0458251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89257B" w:rsidRPr="0080486B" w:rsidP="0089257B" w14:paraId="44947D89" w14:textId="682FF7EE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9257B" w:rsidRPr="00EE0E90" w:rsidP="0089257B" w14:paraId="0FA0CCD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4C677F" w:rsidP="004C677F" w14:paraId="5DD18B17" w14:textId="77777777">
            <w:pPr>
              <w:tabs>
                <w:tab w:val="left" w:pos="864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89257B" w:rsidP="00166F1E" w14:paraId="0AC060E5" w14:textId="3DDCE1DC">
            <w:pPr>
              <w:tabs>
                <w:tab w:val="left" w:pos="864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  <w:p w:rsidR="00A446AB" w:rsidP="0089257B" w14:paraId="73A7D01C" w14:textId="07E7C1EE">
            <w:pPr>
              <w:tabs>
                <w:tab w:val="left" w:pos="8640"/>
              </w:tabs>
              <w:rPr>
                <w:bCs/>
                <w:i/>
                <w:sz w:val="16"/>
                <w:szCs w:val="16"/>
              </w:rPr>
            </w:pPr>
          </w:p>
          <w:p w:rsidR="00A446AB" w:rsidP="0089257B" w14:paraId="61076F6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72AA7" w:rsidP="00040127" w14:paraId="49C0E4FB" w14:textId="04F8FE2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B3E18" w:rsidP="005B3E18" w14:paraId="0A726211" w14:textId="4D3BDFF2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B3E18" w:rsidP="00040127" w14:paraId="14D3163E" w14:textId="0109087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B3E18" w:rsidP="00040127" w14:paraId="5295883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E0E90" w:rsidRPr="00EF729B" w:rsidP="00850E26" w14:paraId="50CC175A" w14:textId="43C98339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14:paraId="500CD73B" w14:textId="77777777" w:rsidTr="35152DB7">
        <w:tblPrEx>
          <w:tblW w:w="0" w:type="auto"/>
          <w:tblInd w:w="-180" w:type="dxa"/>
          <w:tblLook w:val="0000"/>
        </w:tblPrEx>
        <w:trPr>
          <w:trHeight w:val="2181"/>
        </w:trPr>
        <w:tc>
          <w:tcPr>
            <w:tcW w:w="8820" w:type="dxa"/>
          </w:tcPr>
          <w:p w:rsidR="005B3E18" w:rsidP="70D11E32" w14:paraId="05A2C283" w14:textId="77777777">
            <w:pPr>
              <w:rPr>
                <w:noProof/>
              </w:rPr>
            </w:pPr>
          </w:p>
        </w:tc>
      </w:tr>
    </w:tbl>
    <w:p w:rsidR="00D24C3D" w:rsidRPr="007528A5" w14:paraId="21B591B2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5"/>
    <w:rsid w:val="0002500C"/>
    <w:rsid w:val="000311FC"/>
    <w:rsid w:val="000333C6"/>
    <w:rsid w:val="00040127"/>
    <w:rsid w:val="00057DDB"/>
    <w:rsid w:val="00065E2D"/>
    <w:rsid w:val="00071516"/>
    <w:rsid w:val="00072652"/>
    <w:rsid w:val="000732F8"/>
    <w:rsid w:val="00081232"/>
    <w:rsid w:val="0008795A"/>
    <w:rsid w:val="00091B19"/>
    <w:rsid w:val="00091E65"/>
    <w:rsid w:val="00096D4A"/>
    <w:rsid w:val="000A38EA"/>
    <w:rsid w:val="000A3BF9"/>
    <w:rsid w:val="000A4C29"/>
    <w:rsid w:val="000B7D4E"/>
    <w:rsid w:val="000C1355"/>
    <w:rsid w:val="000C1E47"/>
    <w:rsid w:val="000C26F3"/>
    <w:rsid w:val="000C6C9E"/>
    <w:rsid w:val="000D013E"/>
    <w:rsid w:val="000E049E"/>
    <w:rsid w:val="000E1CF9"/>
    <w:rsid w:val="000F68FB"/>
    <w:rsid w:val="00103B3D"/>
    <w:rsid w:val="001064ED"/>
    <w:rsid w:val="0010799B"/>
    <w:rsid w:val="001113A8"/>
    <w:rsid w:val="00117D31"/>
    <w:rsid w:val="00117DB2"/>
    <w:rsid w:val="00123ED2"/>
    <w:rsid w:val="00125BE0"/>
    <w:rsid w:val="00125F7C"/>
    <w:rsid w:val="00131419"/>
    <w:rsid w:val="0013481A"/>
    <w:rsid w:val="00134A58"/>
    <w:rsid w:val="00142C13"/>
    <w:rsid w:val="001463C6"/>
    <w:rsid w:val="00152776"/>
    <w:rsid w:val="00153222"/>
    <w:rsid w:val="00153B63"/>
    <w:rsid w:val="001549A0"/>
    <w:rsid w:val="001577D3"/>
    <w:rsid w:val="00166F1E"/>
    <w:rsid w:val="001731C3"/>
    <w:rsid w:val="001733A6"/>
    <w:rsid w:val="00186368"/>
    <w:rsid w:val="001865A9"/>
    <w:rsid w:val="00187DB2"/>
    <w:rsid w:val="00193245"/>
    <w:rsid w:val="001B0E4A"/>
    <w:rsid w:val="001B20BB"/>
    <w:rsid w:val="001C3072"/>
    <w:rsid w:val="001C4370"/>
    <w:rsid w:val="001C4B95"/>
    <w:rsid w:val="001D3779"/>
    <w:rsid w:val="001D4492"/>
    <w:rsid w:val="001F0469"/>
    <w:rsid w:val="0020047B"/>
    <w:rsid w:val="00203A98"/>
    <w:rsid w:val="00206EDD"/>
    <w:rsid w:val="0021247E"/>
    <w:rsid w:val="002146F6"/>
    <w:rsid w:val="00223D14"/>
    <w:rsid w:val="00224888"/>
    <w:rsid w:val="00231C32"/>
    <w:rsid w:val="00240345"/>
    <w:rsid w:val="002421F0"/>
    <w:rsid w:val="0024290D"/>
    <w:rsid w:val="00247274"/>
    <w:rsid w:val="00260F09"/>
    <w:rsid w:val="0026295B"/>
    <w:rsid w:val="00266966"/>
    <w:rsid w:val="00267096"/>
    <w:rsid w:val="00277A18"/>
    <w:rsid w:val="0028103F"/>
    <w:rsid w:val="00285C36"/>
    <w:rsid w:val="00294C0C"/>
    <w:rsid w:val="0029794E"/>
    <w:rsid w:val="002A0934"/>
    <w:rsid w:val="002A2438"/>
    <w:rsid w:val="002B1013"/>
    <w:rsid w:val="002B5E89"/>
    <w:rsid w:val="002B71D5"/>
    <w:rsid w:val="002D03E5"/>
    <w:rsid w:val="002E3F1D"/>
    <w:rsid w:val="002E5408"/>
    <w:rsid w:val="002F2596"/>
    <w:rsid w:val="002F259F"/>
    <w:rsid w:val="002F31D0"/>
    <w:rsid w:val="002F77DF"/>
    <w:rsid w:val="00300359"/>
    <w:rsid w:val="003040EA"/>
    <w:rsid w:val="00305028"/>
    <w:rsid w:val="00313B72"/>
    <w:rsid w:val="0031773E"/>
    <w:rsid w:val="00322D0D"/>
    <w:rsid w:val="00327DA3"/>
    <w:rsid w:val="00333871"/>
    <w:rsid w:val="003401E7"/>
    <w:rsid w:val="0034338B"/>
    <w:rsid w:val="00347716"/>
    <w:rsid w:val="003506E1"/>
    <w:rsid w:val="003617A9"/>
    <w:rsid w:val="003727E3"/>
    <w:rsid w:val="00382939"/>
    <w:rsid w:val="00385323"/>
    <w:rsid w:val="00385A93"/>
    <w:rsid w:val="003910F1"/>
    <w:rsid w:val="00393F3C"/>
    <w:rsid w:val="003A3232"/>
    <w:rsid w:val="003B0BAA"/>
    <w:rsid w:val="003B72C0"/>
    <w:rsid w:val="003D7D68"/>
    <w:rsid w:val="003E0D2F"/>
    <w:rsid w:val="003E261E"/>
    <w:rsid w:val="003E42FC"/>
    <w:rsid w:val="003E5991"/>
    <w:rsid w:val="003F344A"/>
    <w:rsid w:val="00403FF0"/>
    <w:rsid w:val="0041167C"/>
    <w:rsid w:val="004117E1"/>
    <w:rsid w:val="00413E12"/>
    <w:rsid w:val="0042046D"/>
    <w:rsid w:val="0042116E"/>
    <w:rsid w:val="00425AEF"/>
    <w:rsid w:val="00426518"/>
    <w:rsid w:val="004278DB"/>
    <w:rsid w:val="00427B06"/>
    <w:rsid w:val="00436922"/>
    <w:rsid w:val="00441F59"/>
    <w:rsid w:val="0044263F"/>
    <w:rsid w:val="00444E07"/>
    <w:rsid w:val="00444FA9"/>
    <w:rsid w:val="00451FE9"/>
    <w:rsid w:val="00465842"/>
    <w:rsid w:val="00471E7E"/>
    <w:rsid w:val="00473E9C"/>
    <w:rsid w:val="00480099"/>
    <w:rsid w:val="00490653"/>
    <w:rsid w:val="004941A2"/>
    <w:rsid w:val="00497858"/>
    <w:rsid w:val="004A729A"/>
    <w:rsid w:val="004B4FEA"/>
    <w:rsid w:val="004C0ADA"/>
    <w:rsid w:val="004C433E"/>
    <w:rsid w:val="004C4512"/>
    <w:rsid w:val="004C4F36"/>
    <w:rsid w:val="004C677F"/>
    <w:rsid w:val="004D30EB"/>
    <w:rsid w:val="004D3688"/>
    <w:rsid w:val="004D3D85"/>
    <w:rsid w:val="004E1CB8"/>
    <w:rsid w:val="004E2BD8"/>
    <w:rsid w:val="004E4F55"/>
    <w:rsid w:val="004F0F1F"/>
    <w:rsid w:val="004F35B3"/>
    <w:rsid w:val="005022AA"/>
    <w:rsid w:val="0050464C"/>
    <w:rsid w:val="00504845"/>
    <w:rsid w:val="0050757F"/>
    <w:rsid w:val="00516AD2"/>
    <w:rsid w:val="00523395"/>
    <w:rsid w:val="00536391"/>
    <w:rsid w:val="00537093"/>
    <w:rsid w:val="00541512"/>
    <w:rsid w:val="005423ED"/>
    <w:rsid w:val="00545DAE"/>
    <w:rsid w:val="0056400A"/>
    <w:rsid w:val="00571B83"/>
    <w:rsid w:val="00575A00"/>
    <w:rsid w:val="00582EF2"/>
    <w:rsid w:val="0058673C"/>
    <w:rsid w:val="005A00B8"/>
    <w:rsid w:val="005A387C"/>
    <w:rsid w:val="005A7972"/>
    <w:rsid w:val="005A7BDB"/>
    <w:rsid w:val="005B17E7"/>
    <w:rsid w:val="005B2643"/>
    <w:rsid w:val="005B3E18"/>
    <w:rsid w:val="005D17FD"/>
    <w:rsid w:val="005E4ACF"/>
    <w:rsid w:val="005E4B0A"/>
    <w:rsid w:val="005E654C"/>
    <w:rsid w:val="005F0D55"/>
    <w:rsid w:val="005F183E"/>
    <w:rsid w:val="00600DDA"/>
    <w:rsid w:val="00604211"/>
    <w:rsid w:val="00613498"/>
    <w:rsid w:val="0061784E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5BC"/>
    <w:rsid w:val="006A2FC5"/>
    <w:rsid w:val="006A7D75"/>
    <w:rsid w:val="006B0A70"/>
    <w:rsid w:val="006B606A"/>
    <w:rsid w:val="006C2024"/>
    <w:rsid w:val="006C33AF"/>
    <w:rsid w:val="006D3A4D"/>
    <w:rsid w:val="006D5D22"/>
    <w:rsid w:val="006E0324"/>
    <w:rsid w:val="006E4A76"/>
    <w:rsid w:val="006F1DBD"/>
    <w:rsid w:val="006F67C5"/>
    <w:rsid w:val="00700556"/>
    <w:rsid w:val="0070589A"/>
    <w:rsid w:val="00711E16"/>
    <w:rsid w:val="007167DD"/>
    <w:rsid w:val="00722F67"/>
    <w:rsid w:val="0072478B"/>
    <w:rsid w:val="007314A1"/>
    <w:rsid w:val="0073414D"/>
    <w:rsid w:val="007360DD"/>
    <w:rsid w:val="00742385"/>
    <w:rsid w:val="007475A1"/>
    <w:rsid w:val="0075235E"/>
    <w:rsid w:val="007528A5"/>
    <w:rsid w:val="00755E8F"/>
    <w:rsid w:val="00760395"/>
    <w:rsid w:val="0076282D"/>
    <w:rsid w:val="007732CC"/>
    <w:rsid w:val="00774079"/>
    <w:rsid w:val="0077752B"/>
    <w:rsid w:val="007815B7"/>
    <w:rsid w:val="00786BE0"/>
    <w:rsid w:val="00792C05"/>
    <w:rsid w:val="00793D6F"/>
    <w:rsid w:val="00794090"/>
    <w:rsid w:val="007A44F8"/>
    <w:rsid w:val="007D21BF"/>
    <w:rsid w:val="007F3C12"/>
    <w:rsid w:val="007F5205"/>
    <w:rsid w:val="0080486B"/>
    <w:rsid w:val="00805735"/>
    <w:rsid w:val="00814239"/>
    <w:rsid w:val="00815271"/>
    <w:rsid w:val="008215E7"/>
    <w:rsid w:val="00823051"/>
    <w:rsid w:val="008247FD"/>
    <w:rsid w:val="00830FC6"/>
    <w:rsid w:val="00837482"/>
    <w:rsid w:val="00843716"/>
    <w:rsid w:val="008443A9"/>
    <w:rsid w:val="00850E26"/>
    <w:rsid w:val="0085482F"/>
    <w:rsid w:val="0085713A"/>
    <w:rsid w:val="00865EAA"/>
    <w:rsid w:val="00866F06"/>
    <w:rsid w:val="008728F5"/>
    <w:rsid w:val="00881FE0"/>
    <w:rsid w:val="008824C2"/>
    <w:rsid w:val="0089257B"/>
    <w:rsid w:val="008960E4"/>
    <w:rsid w:val="008A00CD"/>
    <w:rsid w:val="008A3940"/>
    <w:rsid w:val="008A7B5F"/>
    <w:rsid w:val="008B13C9"/>
    <w:rsid w:val="008C248C"/>
    <w:rsid w:val="008C320A"/>
    <w:rsid w:val="008C3628"/>
    <w:rsid w:val="008C5432"/>
    <w:rsid w:val="008C7BF1"/>
    <w:rsid w:val="008D00D6"/>
    <w:rsid w:val="008D143A"/>
    <w:rsid w:val="008D4D00"/>
    <w:rsid w:val="008D4E5E"/>
    <w:rsid w:val="008D7ABD"/>
    <w:rsid w:val="008E55A2"/>
    <w:rsid w:val="008E59E8"/>
    <w:rsid w:val="008F0327"/>
    <w:rsid w:val="008F1609"/>
    <w:rsid w:val="008F1D29"/>
    <w:rsid w:val="008F78D8"/>
    <w:rsid w:val="009126B5"/>
    <w:rsid w:val="00912885"/>
    <w:rsid w:val="0093120E"/>
    <w:rsid w:val="0093373C"/>
    <w:rsid w:val="00936AD7"/>
    <w:rsid w:val="00961620"/>
    <w:rsid w:val="009734B6"/>
    <w:rsid w:val="0098096F"/>
    <w:rsid w:val="0098330E"/>
    <w:rsid w:val="0098437A"/>
    <w:rsid w:val="00986C92"/>
    <w:rsid w:val="0098782D"/>
    <w:rsid w:val="00991CCB"/>
    <w:rsid w:val="00993C47"/>
    <w:rsid w:val="00996696"/>
    <w:rsid w:val="009972BC"/>
    <w:rsid w:val="009A03D3"/>
    <w:rsid w:val="009A04DB"/>
    <w:rsid w:val="009B4B16"/>
    <w:rsid w:val="009B7591"/>
    <w:rsid w:val="009C521A"/>
    <w:rsid w:val="009D34CC"/>
    <w:rsid w:val="009E31E2"/>
    <w:rsid w:val="009E54A1"/>
    <w:rsid w:val="009F0AF9"/>
    <w:rsid w:val="009F3B35"/>
    <w:rsid w:val="009F4E25"/>
    <w:rsid w:val="009F59D8"/>
    <w:rsid w:val="009F5B1F"/>
    <w:rsid w:val="00A110F8"/>
    <w:rsid w:val="00A13850"/>
    <w:rsid w:val="00A225A9"/>
    <w:rsid w:val="00A3308E"/>
    <w:rsid w:val="00A34867"/>
    <w:rsid w:val="00A35DFD"/>
    <w:rsid w:val="00A40CA1"/>
    <w:rsid w:val="00A446AB"/>
    <w:rsid w:val="00A575E7"/>
    <w:rsid w:val="00A62DE8"/>
    <w:rsid w:val="00A702DF"/>
    <w:rsid w:val="00A7697E"/>
    <w:rsid w:val="00A775A3"/>
    <w:rsid w:val="00A81700"/>
    <w:rsid w:val="00A81B5B"/>
    <w:rsid w:val="00A82FAD"/>
    <w:rsid w:val="00A84BFF"/>
    <w:rsid w:val="00A91280"/>
    <w:rsid w:val="00A9673A"/>
    <w:rsid w:val="00A96EF2"/>
    <w:rsid w:val="00AA5C35"/>
    <w:rsid w:val="00AA5ED9"/>
    <w:rsid w:val="00AB0116"/>
    <w:rsid w:val="00AB2F56"/>
    <w:rsid w:val="00AB47DD"/>
    <w:rsid w:val="00AC0A38"/>
    <w:rsid w:val="00AC16BF"/>
    <w:rsid w:val="00AC44B3"/>
    <w:rsid w:val="00AC4E0E"/>
    <w:rsid w:val="00AC517B"/>
    <w:rsid w:val="00AD0D19"/>
    <w:rsid w:val="00AD5DFF"/>
    <w:rsid w:val="00AF051B"/>
    <w:rsid w:val="00AF2E25"/>
    <w:rsid w:val="00B037A2"/>
    <w:rsid w:val="00B1283F"/>
    <w:rsid w:val="00B31870"/>
    <w:rsid w:val="00B320B8"/>
    <w:rsid w:val="00B34A81"/>
    <w:rsid w:val="00B35EE2"/>
    <w:rsid w:val="00B36DEF"/>
    <w:rsid w:val="00B57131"/>
    <w:rsid w:val="00B61360"/>
    <w:rsid w:val="00B61477"/>
    <w:rsid w:val="00B62F2C"/>
    <w:rsid w:val="00B64E56"/>
    <w:rsid w:val="00B65074"/>
    <w:rsid w:val="00B654FF"/>
    <w:rsid w:val="00B66AAD"/>
    <w:rsid w:val="00B727C9"/>
    <w:rsid w:val="00B735C8"/>
    <w:rsid w:val="00B76A63"/>
    <w:rsid w:val="00B92E76"/>
    <w:rsid w:val="00B94387"/>
    <w:rsid w:val="00BA1DA0"/>
    <w:rsid w:val="00BA6350"/>
    <w:rsid w:val="00BB1C19"/>
    <w:rsid w:val="00BB37A4"/>
    <w:rsid w:val="00BB4E29"/>
    <w:rsid w:val="00BB74C9"/>
    <w:rsid w:val="00BC3AB6"/>
    <w:rsid w:val="00BD19E8"/>
    <w:rsid w:val="00BD4273"/>
    <w:rsid w:val="00C02BDC"/>
    <w:rsid w:val="00C06FF4"/>
    <w:rsid w:val="00C31ED8"/>
    <w:rsid w:val="00C33CE9"/>
    <w:rsid w:val="00C42828"/>
    <w:rsid w:val="00C432E4"/>
    <w:rsid w:val="00C46D58"/>
    <w:rsid w:val="00C60367"/>
    <w:rsid w:val="00C70C26"/>
    <w:rsid w:val="00C72001"/>
    <w:rsid w:val="00C72AA7"/>
    <w:rsid w:val="00C772B7"/>
    <w:rsid w:val="00C80347"/>
    <w:rsid w:val="00C8699F"/>
    <w:rsid w:val="00C90561"/>
    <w:rsid w:val="00C97474"/>
    <w:rsid w:val="00CA78D0"/>
    <w:rsid w:val="00CB7C1A"/>
    <w:rsid w:val="00CC5E08"/>
    <w:rsid w:val="00CE14FD"/>
    <w:rsid w:val="00CF45F7"/>
    <w:rsid w:val="00CF6860"/>
    <w:rsid w:val="00D02807"/>
    <w:rsid w:val="00D02AC6"/>
    <w:rsid w:val="00D03F0C"/>
    <w:rsid w:val="00D04312"/>
    <w:rsid w:val="00D0758C"/>
    <w:rsid w:val="00D0B0D6"/>
    <w:rsid w:val="00D16A7F"/>
    <w:rsid w:val="00D16AD2"/>
    <w:rsid w:val="00D2159E"/>
    <w:rsid w:val="00D22596"/>
    <w:rsid w:val="00D22691"/>
    <w:rsid w:val="00D22CF8"/>
    <w:rsid w:val="00D24C3D"/>
    <w:rsid w:val="00D46CB1"/>
    <w:rsid w:val="00D723F0"/>
    <w:rsid w:val="00D74E17"/>
    <w:rsid w:val="00D757EE"/>
    <w:rsid w:val="00D8133F"/>
    <w:rsid w:val="00D816EE"/>
    <w:rsid w:val="00D861EE"/>
    <w:rsid w:val="00D87DCF"/>
    <w:rsid w:val="00D9363D"/>
    <w:rsid w:val="00D95B05"/>
    <w:rsid w:val="00D97E2D"/>
    <w:rsid w:val="00DA103D"/>
    <w:rsid w:val="00DA45D3"/>
    <w:rsid w:val="00DA4772"/>
    <w:rsid w:val="00DA7B44"/>
    <w:rsid w:val="00DB1C91"/>
    <w:rsid w:val="00DB2667"/>
    <w:rsid w:val="00DB640C"/>
    <w:rsid w:val="00DB67B7"/>
    <w:rsid w:val="00DC15A9"/>
    <w:rsid w:val="00DC3422"/>
    <w:rsid w:val="00DC40AA"/>
    <w:rsid w:val="00DD1750"/>
    <w:rsid w:val="00DD184C"/>
    <w:rsid w:val="00DD6009"/>
    <w:rsid w:val="00DE46C7"/>
    <w:rsid w:val="00DE5902"/>
    <w:rsid w:val="00E11CE8"/>
    <w:rsid w:val="00E12608"/>
    <w:rsid w:val="00E2071B"/>
    <w:rsid w:val="00E220F6"/>
    <w:rsid w:val="00E349AA"/>
    <w:rsid w:val="00E41390"/>
    <w:rsid w:val="00E41CA0"/>
    <w:rsid w:val="00E4366B"/>
    <w:rsid w:val="00E50A4A"/>
    <w:rsid w:val="00E606DE"/>
    <w:rsid w:val="00E62585"/>
    <w:rsid w:val="00E644FE"/>
    <w:rsid w:val="00E677B2"/>
    <w:rsid w:val="00E72733"/>
    <w:rsid w:val="00E742FA"/>
    <w:rsid w:val="00E752BE"/>
    <w:rsid w:val="00E76816"/>
    <w:rsid w:val="00E83DBF"/>
    <w:rsid w:val="00E87C13"/>
    <w:rsid w:val="00E94CD9"/>
    <w:rsid w:val="00E96761"/>
    <w:rsid w:val="00EA1A76"/>
    <w:rsid w:val="00EA290B"/>
    <w:rsid w:val="00EA342C"/>
    <w:rsid w:val="00EA45F0"/>
    <w:rsid w:val="00EA529F"/>
    <w:rsid w:val="00EA54B1"/>
    <w:rsid w:val="00EB4F33"/>
    <w:rsid w:val="00EB5202"/>
    <w:rsid w:val="00EC187B"/>
    <w:rsid w:val="00ED0B0B"/>
    <w:rsid w:val="00ED281D"/>
    <w:rsid w:val="00ED70EB"/>
    <w:rsid w:val="00EE0E90"/>
    <w:rsid w:val="00EE1F55"/>
    <w:rsid w:val="00EF3BCA"/>
    <w:rsid w:val="00EF6E7C"/>
    <w:rsid w:val="00EF729B"/>
    <w:rsid w:val="00EF74D8"/>
    <w:rsid w:val="00F01B0D"/>
    <w:rsid w:val="00F03267"/>
    <w:rsid w:val="00F1238F"/>
    <w:rsid w:val="00F163CC"/>
    <w:rsid w:val="00F16485"/>
    <w:rsid w:val="00F228ED"/>
    <w:rsid w:val="00F2366E"/>
    <w:rsid w:val="00F23E17"/>
    <w:rsid w:val="00F26E31"/>
    <w:rsid w:val="00F27C6C"/>
    <w:rsid w:val="00F34A8D"/>
    <w:rsid w:val="00F45504"/>
    <w:rsid w:val="00F50D25"/>
    <w:rsid w:val="00F535D8"/>
    <w:rsid w:val="00F550E5"/>
    <w:rsid w:val="00F61155"/>
    <w:rsid w:val="00F708E3"/>
    <w:rsid w:val="00F76561"/>
    <w:rsid w:val="00F84736"/>
    <w:rsid w:val="00F87674"/>
    <w:rsid w:val="00F911EE"/>
    <w:rsid w:val="00FA0253"/>
    <w:rsid w:val="00FA39ED"/>
    <w:rsid w:val="00FB2497"/>
    <w:rsid w:val="00FB42B7"/>
    <w:rsid w:val="00FC0D42"/>
    <w:rsid w:val="00FC6C29"/>
    <w:rsid w:val="00FD58E0"/>
    <w:rsid w:val="00FD71AE"/>
    <w:rsid w:val="00FE0198"/>
    <w:rsid w:val="00FE2EF9"/>
    <w:rsid w:val="00FE3A7C"/>
    <w:rsid w:val="00FF1C0B"/>
    <w:rsid w:val="00FF232D"/>
    <w:rsid w:val="00FF28C0"/>
    <w:rsid w:val="00FF7F9B"/>
    <w:rsid w:val="01859C35"/>
    <w:rsid w:val="02C2B710"/>
    <w:rsid w:val="035E1158"/>
    <w:rsid w:val="04990124"/>
    <w:rsid w:val="04B38BD7"/>
    <w:rsid w:val="0695B21A"/>
    <w:rsid w:val="06CF42CD"/>
    <w:rsid w:val="07DBB55C"/>
    <w:rsid w:val="083C8E22"/>
    <w:rsid w:val="087A42EB"/>
    <w:rsid w:val="088140BF"/>
    <w:rsid w:val="0B78EA89"/>
    <w:rsid w:val="0BB1E3AD"/>
    <w:rsid w:val="0BF38137"/>
    <w:rsid w:val="0C5CE630"/>
    <w:rsid w:val="0C8FA197"/>
    <w:rsid w:val="0D00FE90"/>
    <w:rsid w:val="0E34E979"/>
    <w:rsid w:val="0EE7D723"/>
    <w:rsid w:val="1168049A"/>
    <w:rsid w:val="12025976"/>
    <w:rsid w:val="1494333F"/>
    <w:rsid w:val="15BC0B69"/>
    <w:rsid w:val="17E85947"/>
    <w:rsid w:val="18676C15"/>
    <w:rsid w:val="1A62218E"/>
    <w:rsid w:val="1B1FFA09"/>
    <w:rsid w:val="1CBBCA6A"/>
    <w:rsid w:val="1DCB5318"/>
    <w:rsid w:val="1DF5B1FE"/>
    <w:rsid w:val="1E6A97C0"/>
    <w:rsid w:val="20FEF48E"/>
    <w:rsid w:val="2291AE43"/>
    <w:rsid w:val="24E1700A"/>
    <w:rsid w:val="2957D853"/>
    <w:rsid w:val="2C8DCAD3"/>
    <w:rsid w:val="2D4306C1"/>
    <w:rsid w:val="2DCEFF30"/>
    <w:rsid w:val="2DEC055C"/>
    <w:rsid w:val="2DF7F510"/>
    <w:rsid w:val="2E368493"/>
    <w:rsid w:val="2F0C7EB2"/>
    <w:rsid w:val="2FF8541F"/>
    <w:rsid w:val="30A84F13"/>
    <w:rsid w:val="31915FDF"/>
    <w:rsid w:val="3327BF17"/>
    <w:rsid w:val="3422243D"/>
    <w:rsid w:val="35152DB7"/>
    <w:rsid w:val="359D8C5E"/>
    <w:rsid w:val="35A7BCC4"/>
    <w:rsid w:val="36806DB0"/>
    <w:rsid w:val="36EE26A3"/>
    <w:rsid w:val="38E123EE"/>
    <w:rsid w:val="3A7CEE9D"/>
    <w:rsid w:val="3C1004C3"/>
    <w:rsid w:val="3CADA2E3"/>
    <w:rsid w:val="3CBDAECA"/>
    <w:rsid w:val="3E50538D"/>
    <w:rsid w:val="3F4CA7F5"/>
    <w:rsid w:val="3F759607"/>
    <w:rsid w:val="3FCCE16B"/>
    <w:rsid w:val="3FF54F8C"/>
    <w:rsid w:val="401776BE"/>
    <w:rsid w:val="401FE54E"/>
    <w:rsid w:val="40325D84"/>
    <w:rsid w:val="4515D320"/>
    <w:rsid w:val="45371E70"/>
    <w:rsid w:val="47A2F029"/>
    <w:rsid w:val="47EA36BF"/>
    <w:rsid w:val="48AB63F4"/>
    <w:rsid w:val="4AEE2941"/>
    <w:rsid w:val="4B385167"/>
    <w:rsid w:val="4CB210C1"/>
    <w:rsid w:val="51D3FA82"/>
    <w:rsid w:val="547BF705"/>
    <w:rsid w:val="556B1BEB"/>
    <w:rsid w:val="56D2342F"/>
    <w:rsid w:val="572E56BC"/>
    <w:rsid w:val="58FD1B6F"/>
    <w:rsid w:val="5FACAB09"/>
    <w:rsid w:val="60A3AE1F"/>
    <w:rsid w:val="6150AED1"/>
    <w:rsid w:val="64489C3D"/>
    <w:rsid w:val="67FAAA83"/>
    <w:rsid w:val="68A86415"/>
    <w:rsid w:val="6919B04A"/>
    <w:rsid w:val="6D8EFC5A"/>
    <w:rsid w:val="6E629A92"/>
    <w:rsid w:val="6EED4347"/>
    <w:rsid w:val="70BB0964"/>
    <w:rsid w:val="70D11E32"/>
    <w:rsid w:val="73F30536"/>
    <w:rsid w:val="744F7C05"/>
    <w:rsid w:val="78E29262"/>
    <w:rsid w:val="7A1917DE"/>
    <w:rsid w:val="7C3DDD92"/>
    <w:rsid w:val="7F642C50"/>
    <w:rsid w:val="7FAB6E5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A5CE4A-8262-4676-B8D9-F369018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E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B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B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B0A"/>
    <w:rPr>
      <w:b/>
      <w:bCs/>
    </w:rPr>
  </w:style>
  <w:style w:type="character" w:customStyle="1" w:styleId="UnresolvedMention2">
    <w:name w:val="Unresolved Mention2"/>
    <w:basedOn w:val="DefaultParagraphFont"/>
    <w:rsid w:val="005233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5B3E1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E1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B3E18"/>
    <w:rPr>
      <w:vertAlign w:val="superscript"/>
    </w:rPr>
  </w:style>
  <w:style w:type="paragraph" w:customStyle="1" w:styleId="Pa5">
    <w:name w:val="Pa5"/>
    <w:basedOn w:val="Normal"/>
    <w:next w:val="Normal"/>
    <w:uiPriority w:val="99"/>
    <w:rsid w:val="0029794E"/>
    <w:pPr>
      <w:autoSpaceDE w:val="0"/>
      <w:autoSpaceDN w:val="0"/>
      <w:adjustRightInd w:val="0"/>
      <w:spacing w:line="251" w:lineRule="atLeast"/>
    </w:pPr>
  </w:style>
  <w:style w:type="character" w:customStyle="1" w:styleId="A6">
    <w:name w:val="A6"/>
    <w:uiPriority w:val="99"/>
    <w:rsid w:val="0029794E"/>
    <w:rPr>
      <w:color w:val="211D1E"/>
      <w:sz w:val="25"/>
      <w:szCs w:val="25"/>
      <w:u w:val="single"/>
    </w:rPr>
  </w:style>
  <w:style w:type="paragraph" w:styleId="Header">
    <w:name w:val="header"/>
    <w:basedOn w:val="Normal"/>
    <w:link w:val="HeaderChar"/>
    <w:semiHidden/>
    <w:unhideWhenUsed/>
    <w:rsid w:val="0032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27DA3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32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327DA3"/>
    <w:rPr>
      <w:sz w:val="24"/>
      <w:szCs w:val="24"/>
    </w:rPr>
  </w:style>
  <w:style w:type="character" w:customStyle="1" w:styleId="UnresolvedMention">
    <w:name w:val="Unresolved Mention"/>
    <w:basedOn w:val="DefaultParagraphFont"/>
    <w:rsid w:val="0036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9214A1.pdf" TargetMode="External" /><Relationship Id="rId6" Type="http://schemas.openxmlformats.org/officeDocument/2006/relationships/hyperlink" Target="https://www.fcc.gov/economics-and-analytic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